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FC4F" w14:textId="77777777" w:rsidR="0084563F" w:rsidRPr="00775566" w:rsidRDefault="0084563F" w:rsidP="0084563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5566">
        <w:rPr>
          <w:rFonts w:ascii="Arial" w:hAnsi="Arial" w:cs="Arial"/>
          <w:b/>
          <w:bCs/>
          <w:sz w:val="32"/>
          <w:szCs w:val="32"/>
        </w:rPr>
        <w:t>Р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Ц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Е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Н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З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И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75566">
        <w:rPr>
          <w:rFonts w:ascii="Arial" w:hAnsi="Arial" w:cs="Arial"/>
          <w:b/>
          <w:bCs/>
          <w:sz w:val="32"/>
          <w:szCs w:val="32"/>
        </w:rPr>
        <w:t>Я</w:t>
      </w:r>
    </w:p>
    <w:p w14:paraId="27EF12BB" w14:textId="77777777" w:rsidR="0084563F" w:rsidRPr="00DB32DF" w:rsidRDefault="0084563F" w:rsidP="0084563F">
      <w:pPr>
        <w:jc w:val="center"/>
        <w:rPr>
          <w:rFonts w:ascii="Arial" w:hAnsi="Arial" w:cs="Arial"/>
          <w:sz w:val="26"/>
          <w:szCs w:val="26"/>
        </w:rPr>
      </w:pPr>
      <w:r w:rsidRPr="00DB32DF">
        <w:rPr>
          <w:rFonts w:ascii="Arial" w:hAnsi="Arial" w:cs="Arial"/>
          <w:sz w:val="26"/>
          <w:szCs w:val="26"/>
        </w:rPr>
        <w:t>от проф. д-р инж. Ефросима Петрова Занева-Добранова,</w:t>
      </w:r>
    </w:p>
    <w:p w14:paraId="19AE53F9" w14:textId="77777777" w:rsidR="0084563F" w:rsidRDefault="0084563F" w:rsidP="0084563F">
      <w:pPr>
        <w:rPr>
          <w:rFonts w:ascii="Arial" w:hAnsi="Arial" w:cs="Arial"/>
          <w:sz w:val="24"/>
          <w:szCs w:val="24"/>
        </w:rPr>
      </w:pPr>
    </w:p>
    <w:p w14:paraId="4FD8283C" w14:textId="77777777" w:rsidR="0084563F" w:rsidRPr="00DB32DF" w:rsidRDefault="0084563F" w:rsidP="0084563F">
      <w:pPr>
        <w:pStyle w:val="Default"/>
        <w:spacing w:line="276" w:lineRule="auto"/>
        <w:jc w:val="both"/>
        <w:rPr>
          <w:sz w:val="26"/>
          <w:szCs w:val="26"/>
        </w:rPr>
      </w:pPr>
      <w:r w:rsidRPr="00DB32DF">
        <w:rPr>
          <w:b/>
          <w:bCs/>
          <w:sz w:val="26"/>
          <w:szCs w:val="26"/>
          <w:u w:val="single"/>
        </w:rPr>
        <w:t xml:space="preserve">Относно: </w:t>
      </w:r>
      <w:r w:rsidRPr="00DB32DF">
        <w:rPr>
          <w:sz w:val="26"/>
          <w:szCs w:val="26"/>
        </w:rPr>
        <w:t>конкурс за заемане на академична длъжност „професор“, проф. направление: 5.8. „Проучване, добив и обработка на полезни изкопаеми“, научна специалност: „Транспорт и съхранение на нефт, газ и твърди минерални продукти”, обявен в Държавен вестник, брой 71 от 29. 08. 2025 г.</w:t>
      </w:r>
    </w:p>
    <w:p w14:paraId="328C6927" w14:textId="77777777" w:rsidR="0084563F" w:rsidRPr="00DB32DF" w:rsidRDefault="0084563F" w:rsidP="0084563F">
      <w:pPr>
        <w:pStyle w:val="Default"/>
        <w:spacing w:line="276" w:lineRule="auto"/>
        <w:jc w:val="both"/>
        <w:rPr>
          <w:sz w:val="26"/>
          <w:szCs w:val="26"/>
        </w:rPr>
      </w:pPr>
    </w:p>
    <w:p w14:paraId="4FAAD176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Развитие на конкурса и основания за изготвяне на рецензията</w:t>
      </w:r>
    </w:p>
    <w:p w14:paraId="673282F7" w14:textId="77777777" w:rsidR="0084563F" w:rsidRPr="00DB32DF" w:rsidRDefault="0084563F" w:rsidP="0084563F">
      <w:pPr>
        <w:pStyle w:val="Default"/>
        <w:spacing w:line="276" w:lineRule="auto"/>
        <w:jc w:val="both"/>
        <w:rPr>
          <w:sz w:val="26"/>
          <w:szCs w:val="26"/>
        </w:rPr>
      </w:pPr>
    </w:p>
    <w:p w14:paraId="17D73B8A" w14:textId="77777777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Конкурсът е обявен за нуждите на катедра „Сондиране, добив и транспорт на нефт и газ“ в Геологопроучвателен факултет (ГПФ) на Минно-геоложки университет „Св. Ив. Рилски“.</w:t>
      </w:r>
    </w:p>
    <w:p w14:paraId="3713CFA3" w14:textId="5F1861CF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Съставът на научното жури по конкурса е предложен от ФС на ГПФ (Протокол 12/29.09.2025 г.). Със заповед на ректора на университета №Р</w:t>
      </w:r>
      <w:r w:rsidR="0027741B" w:rsidRPr="00DB32DF">
        <w:rPr>
          <w:sz w:val="26"/>
          <w:szCs w:val="26"/>
        </w:rPr>
        <w:t>А-13-39 01.10.</w:t>
      </w:r>
      <w:r w:rsidRPr="00DB32DF">
        <w:rPr>
          <w:sz w:val="26"/>
          <w:szCs w:val="26"/>
        </w:rPr>
        <w:t>2025 г. е утвърден съставът на научно жури за провеждане на конкурса.</w:t>
      </w:r>
    </w:p>
    <w:p w14:paraId="0E116407" w14:textId="77777777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Единствен участник в конкурса е доц. д-р инж. Мартин Минков Бояджиев, преподавател в кат. „Сондиране, добив и транспорт на нефт и газ“.</w:t>
      </w:r>
    </w:p>
    <w:p w14:paraId="4C3722C7" w14:textId="77777777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На свое заседание, проведено на 11.11.2025 г., научното жури определя рецензентите, срок за представяне на рецензиите (становища) и датата на второ заседание (23.01.2026 г.).</w:t>
      </w:r>
    </w:p>
    <w:p w14:paraId="7A3E1C02" w14:textId="77777777" w:rsidR="0084563F" w:rsidRPr="00DB32DF" w:rsidRDefault="0084563F" w:rsidP="0084563F">
      <w:pPr>
        <w:pStyle w:val="Default"/>
        <w:spacing w:line="276" w:lineRule="auto"/>
        <w:jc w:val="both"/>
        <w:rPr>
          <w:sz w:val="26"/>
          <w:szCs w:val="26"/>
        </w:rPr>
      </w:pPr>
    </w:p>
    <w:p w14:paraId="3BC57243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Общо описание на представените документи и материали от кандидата:</w:t>
      </w:r>
    </w:p>
    <w:p w14:paraId="20BD3FCB" w14:textId="77777777" w:rsidR="0084563F" w:rsidRPr="00DB32DF" w:rsidRDefault="0084563F" w:rsidP="0084563F">
      <w:pPr>
        <w:pStyle w:val="Default"/>
        <w:spacing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 </w:t>
      </w:r>
    </w:p>
    <w:p w14:paraId="17452537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1. Копие от Държавен вестник, брой 71 от 29.08. 2025 г. </w:t>
      </w:r>
    </w:p>
    <w:p w14:paraId="52B179FC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2. Копие от дипломи, съответно: </w:t>
      </w:r>
    </w:p>
    <w:p w14:paraId="7DA18B90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- диплома за завършено Висше образование №102017 от 07.03.1993 г.; </w:t>
      </w:r>
    </w:p>
    <w:p w14:paraId="39741D68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- диплома за придобиване на ОНС „Доктор“ № 18/29.07.2013г; </w:t>
      </w:r>
    </w:p>
    <w:p w14:paraId="3698EFA1" w14:textId="77777777" w:rsidR="0084563F" w:rsidRPr="00DB32DF" w:rsidRDefault="0084563F" w:rsidP="000B2790">
      <w:pPr>
        <w:pStyle w:val="Default"/>
        <w:spacing w:after="32" w:line="276" w:lineRule="auto"/>
        <w:ind w:firstLine="709"/>
        <w:rPr>
          <w:sz w:val="26"/>
          <w:szCs w:val="26"/>
        </w:rPr>
      </w:pPr>
      <w:r w:rsidRPr="00DB32DF">
        <w:rPr>
          <w:sz w:val="26"/>
          <w:szCs w:val="26"/>
        </w:rPr>
        <w:t xml:space="preserve">- документ удостоверяващ заемане на академичната длъжност доцент № Д-37/05.04.2016 г. </w:t>
      </w:r>
    </w:p>
    <w:p w14:paraId="242DCCF4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3. Автобиография. </w:t>
      </w:r>
    </w:p>
    <w:p w14:paraId="0C1C81D6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4. Документ, удостоверяващ изискванията за трудов стаж. </w:t>
      </w:r>
    </w:p>
    <w:p w14:paraId="3CADB660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>5. Списък на  научните публикации в две части;</w:t>
      </w:r>
    </w:p>
    <w:p w14:paraId="6F3A4D39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lastRenderedPageBreak/>
        <w:t>5.1. Научни публикации, представени за придобиване на ОНС „доктор“;</w:t>
      </w:r>
    </w:p>
    <w:p w14:paraId="2AB1876F" w14:textId="77777777" w:rsidR="0084563F" w:rsidRPr="00DB32DF" w:rsidRDefault="0084563F" w:rsidP="000B2790">
      <w:pPr>
        <w:pStyle w:val="Default"/>
        <w:spacing w:after="32" w:line="276" w:lineRule="auto"/>
        <w:ind w:firstLine="720"/>
        <w:rPr>
          <w:sz w:val="26"/>
          <w:szCs w:val="26"/>
        </w:rPr>
      </w:pPr>
      <w:r w:rsidRPr="00DB32DF">
        <w:rPr>
          <w:sz w:val="26"/>
          <w:szCs w:val="26"/>
        </w:rPr>
        <w:t>5.2. Научни публикации, представени в конкурса за заемане на академична длъжност „професор“;</w:t>
      </w:r>
    </w:p>
    <w:p w14:paraId="77A56D63" w14:textId="77777777" w:rsidR="0084563F" w:rsidRPr="00DB32DF" w:rsidRDefault="0084563F" w:rsidP="000B2790">
      <w:pPr>
        <w:pStyle w:val="Default"/>
        <w:spacing w:after="32" w:line="276" w:lineRule="auto"/>
        <w:ind w:firstLine="720"/>
        <w:rPr>
          <w:sz w:val="26"/>
          <w:szCs w:val="26"/>
        </w:rPr>
      </w:pPr>
      <w:r w:rsidRPr="00DB32DF">
        <w:rPr>
          <w:sz w:val="26"/>
          <w:szCs w:val="26"/>
        </w:rPr>
        <w:t>6. Пълен комплект на научните публикации, доклади от конференции, разделени в съответствие с т.8;</w:t>
      </w:r>
    </w:p>
    <w:p w14:paraId="2062546C" w14:textId="1EB34670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>7. Справка за научните и научно</w:t>
      </w:r>
      <w:r w:rsidR="00760D47" w:rsidRPr="00DB32DF">
        <w:rPr>
          <w:sz w:val="26"/>
          <w:szCs w:val="26"/>
        </w:rPr>
        <w:t>-</w:t>
      </w:r>
      <w:r w:rsidRPr="00DB32DF">
        <w:rPr>
          <w:sz w:val="26"/>
          <w:szCs w:val="26"/>
        </w:rPr>
        <w:t>приложните приноси;</w:t>
      </w:r>
    </w:p>
    <w:p w14:paraId="774D649C" w14:textId="56A5D615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>8. Списък на научно-изследователските разработки, про</w:t>
      </w:r>
      <w:r w:rsidR="000B2790" w:rsidRPr="00DB32DF">
        <w:rPr>
          <w:sz w:val="26"/>
          <w:szCs w:val="26"/>
        </w:rPr>
        <w:t>е</w:t>
      </w:r>
      <w:r w:rsidRPr="00DB32DF">
        <w:rPr>
          <w:sz w:val="26"/>
          <w:szCs w:val="26"/>
        </w:rPr>
        <w:t>кти и програми;</w:t>
      </w:r>
    </w:p>
    <w:p w14:paraId="6F19A968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>9. Научно ръководство на докторанти;</w:t>
      </w:r>
    </w:p>
    <w:p w14:paraId="4684FAFC" w14:textId="77777777" w:rsidR="0084563F" w:rsidRPr="00DB32DF" w:rsidRDefault="0084563F" w:rsidP="0084563F">
      <w:pPr>
        <w:pStyle w:val="Default"/>
        <w:spacing w:after="32"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>10. Цитирания на научни трудове;</w:t>
      </w:r>
    </w:p>
    <w:p w14:paraId="769D674A" w14:textId="77777777" w:rsidR="0084563F" w:rsidRPr="00DB32DF" w:rsidRDefault="0084563F" w:rsidP="000B2790">
      <w:pPr>
        <w:pStyle w:val="Default"/>
        <w:spacing w:after="32" w:line="276" w:lineRule="auto"/>
        <w:ind w:firstLine="720"/>
        <w:rPr>
          <w:sz w:val="26"/>
          <w:szCs w:val="26"/>
        </w:rPr>
      </w:pPr>
      <w:r w:rsidRPr="00DB32DF">
        <w:rPr>
          <w:sz w:val="26"/>
          <w:szCs w:val="26"/>
        </w:rPr>
        <w:t>11. Резюмета на трудове за участие в конкурса за заемане на академична длъжност „професор“.</w:t>
      </w:r>
    </w:p>
    <w:p w14:paraId="36D56C90" w14:textId="6E2EEBF1" w:rsidR="0084563F" w:rsidRPr="00DB32DF" w:rsidRDefault="0084563F" w:rsidP="0073602E">
      <w:pPr>
        <w:pStyle w:val="Default"/>
        <w:spacing w:line="276" w:lineRule="auto"/>
        <w:ind w:left="720"/>
        <w:rPr>
          <w:sz w:val="26"/>
          <w:szCs w:val="26"/>
        </w:rPr>
      </w:pPr>
      <w:r w:rsidRPr="00DB32DF">
        <w:rPr>
          <w:sz w:val="26"/>
          <w:szCs w:val="26"/>
        </w:rPr>
        <w:t xml:space="preserve"> </w:t>
      </w:r>
    </w:p>
    <w:p w14:paraId="34B2AA61" w14:textId="77777777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Посочените документи са в съответствие с Правилата за заемане на академични длъжности в МГУ и предоставят възможност за оценка на кандидата.</w:t>
      </w:r>
    </w:p>
    <w:p w14:paraId="453F0B74" w14:textId="77777777" w:rsidR="0084563F" w:rsidRPr="00DB32DF" w:rsidRDefault="0084563F" w:rsidP="0084563F">
      <w:pPr>
        <w:pStyle w:val="Default"/>
        <w:spacing w:line="276" w:lineRule="auto"/>
        <w:ind w:left="360"/>
        <w:jc w:val="both"/>
        <w:rPr>
          <w:sz w:val="26"/>
          <w:szCs w:val="26"/>
        </w:rPr>
      </w:pPr>
    </w:p>
    <w:p w14:paraId="1EA72E2B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Обща характеристика на научната, научно приложната и педагогическата дейност на кандидата.</w:t>
      </w:r>
    </w:p>
    <w:p w14:paraId="0EA2F6F9" w14:textId="77777777" w:rsidR="0084563F" w:rsidRPr="00DB32DF" w:rsidRDefault="0084563F" w:rsidP="0084563F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1CE96FA6" w14:textId="093C1EAD" w:rsidR="0084563F" w:rsidRPr="00DB32DF" w:rsidRDefault="0084563F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Кандидатът участва в конкурса с общо </w:t>
      </w:r>
      <w:r w:rsidRPr="00DB32DF">
        <w:rPr>
          <w:sz w:val="26"/>
          <w:szCs w:val="26"/>
          <w:lang w:val="en-US"/>
        </w:rPr>
        <w:t>26</w:t>
      </w:r>
      <w:r w:rsidRPr="00DB32DF">
        <w:rPr>
          <w:sz w:val="26"/>
          <w:szCs w:val="26"/>
        </w:rPr>
        <w:t xml:space="preserve"> научни труда, от които: автореферат на дисертация за ОНС „доктор“, една монография,  една книга на база защитен дисертационен труд, </w:t>
      </w:r>
      <w:r w:rsidR="00797FFA" w:rsidRPr="00DB32DF">
        <w:rPr>
          <w:sz w:val="26"/>
          <w:szCs w:val="26"/>
        </w:rPr>
        <w:t>учебник, учебно пособие за студентите от специалност „</w:t>
      </w:r>
      <w:r w:rsidR="00636C28" w:rsidRPr="00DB32DF">
        <w:rPr>
          <w:sz w:val="26"/>
          <w:szCs w:val="26"/>
        </w:rPr>
        <w:t xml:space="preserve">Сондиране, добив и транспорт на нефт и газ“, </w:t>
      </w:r>
      <w:r w:rsidRPr="00DB32DF">
        <w:rPr>
          <w:sz w:val="26"/>
          <w:szCs w:val="26"/>
        </w:rPr>
        <w:t xml:space="preserve">две статии в реферирани и индексирани в световно известни база данни и 21 статии в нереферирани сборници от доклади с научно рецензиране. Осем от публикациите са самостоятелни, а останалите – в съавторство с водещ принос на автора. </w:t>
      </w:r>
      <w:r w:rsidR="00641B17" w:rsidRPr="00DB32DF">
        <w:rPr>
          <w:sz w:val="26"/>
          <w:szCs w:val="26"/>
        </w:rPr>
        <w:t>Шест</w:t>
      </w:r>
      <w:r w:rsidRPr="00DB32DF">
        <w:rPr>
          <w:sz w:val="26"/>
          <w:szCs w:val="26"/>
        </w:rPr>
        <w:t xml:space="preserve"> от статиите са на английски, а останалите </w:t>
      </w:r>
      <w:r w:rsidR="000911CA">
        <w:rPr>
          <w:sz w:val="26"/>
          <w:szCs w:val="26"/>
        </w:rPr>
        <w:t xml:space="preserve">- </w:t>
      </w:r>
      <w:r w:rsidRPr="00DB32DF">
        <w:rPr>
          <w:sz w:val="26"/>
          <w:szCs w:val="26"/>
        </w:rPr>
        <w:t xml:space="preserve">на български език. </w:t>
      </w:r>
    </w:p>
    <w:p w14:paraId="426CE7D4" w14:textId="4E162701" w:rsidR="0084563F" w:rsidRPr="00DB32DF" w:rsidRDefault="0084563F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Количеството на публикациите и приноса на автора в тях </w:t>
      </w:r>
      <w:r w:rsidR="0073602E" w:rsidRPr="00DB32DF">
        <w:rPr>
          <w:sz w:val="26"/>
          <w:szCs w:val="26"/>
        </w:rPr>
        <w:t>покриват</w:t>
      </w:r>
      <w:r w:rsidRPr="00DB32DF">
        <w:rPr>
          <w:sz w:val="26"/>
          <w:szCs w:val="26"/>
        </w:rPr>
        <w:t xml:space="preserve"> минималните изисквания за участие в конкурса за академична длъжност „</w:t>
      </w:r>
      <w:r w:rsidR="0073602E" w:rsidRPr="00DB32DF">
        <w:rPr>
          <w:sz w:val="26"/>
          <w:szCs w:val="26"/>
        </w:rPr>
        <w:t>професор</w:t>
      </w:r>
      <w:r w:rsidRPr="00DB32DF">
        <w:rPr>
          <w:sz w:val="26"/>
          <w:szCs w:val="26"/>
        </w:rPr>
        <w:t>“.</w:t>
      </w:r>
    </w:p>
    <w:p w14:paraId="67069684" w14:textId="7531A272" w:rsidR="0084563F" w:rsidRPr="00DB32DF" w:rsidRDefault="0084563F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Научно-приложните</w:t>
      </w:r>
      <w:r w:rsidR="005E5B06" w:rsidRPr="00DB32DF">
        <w:rPr>
          <w:sz w:val="26"/>
          <w:szCs w:val="26"/>
        </w:rPr>
        <w:t>,</w:t>
      </w:r>
      <w:r w:rsidRPr="00DB32DF">
        <w:rPr>
          <w:sz w:val="26"/>
          <w:szCs w:val="26"/>
        </w:rPr>
        <w:t xml:space="preserve"> изследователски</w:t>
      </w:r>
      <w:r w:rsidR="005E5B06" w:rsidRPr="00DB32DF">
        <w:rPr>
          <w:sz w:val="26"/>
          <w:szCs w:val="26"/>
        </w:rPr>
        <w:t>те, професионалните и научните</w:t>
      </w:r>
      <w:r w:rsidRPr="00DB32DF">
        <w:rPr>
          <w:sz w:val="26"/>
          <w:szCs w:val="26"/>
        </w:rPr>
        <w:t xml:space="preserve"> интереси на кандидата са насочени към: </w:t>
      </w:r>
      <w:r w:rsidR="005E5B06" w:rsidRPr="00DB32DF">
        <w:rPr>
          <w:sz w:val="26"/>
          <w:szCs w:val="26"/>
        </w:rPr>
        <w:t>транспорт и съхранение на нефт и природен газ; газоснабдяване; газови съоръжения и мрежи; технически надзор и съоръжения; използване на водород и горивни клетки.</w:t>
      </w:r>
    </w:p>
    <w:p w14:paraId="02C93261" w14:textId="2A719DC6" w:rsidR="0084563F" w:rsidRPr="00DB32DF" w:rsidRDefault="005E5B06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И</w:t>
      </w:r>
      <w:r w:rsidR="0084563F" w:rsidRPr="00DB32DF">
        <w:rPr>
          <w:sz w:val="26"/>
          <w:szCs w:val="26"/>
        </w:rPr>
        <w:t>зследователски</w:t>
      </w:r>
      <w:r w:rsidRPr="00DB32DF">
        <w:rPr>
          <w:sz w:val="26"/>
          <w:szCs w:val="26"/>
        </w:rPr>
        <w:t>ят</w:t>
      </w:r>
      <w:r w:rsidR="0084563F" w:rsidRPr="00DB32DF">
        <w:rPr>
          <w:sz w:val="26"/>
          <w:szCs w:val="26"/>
        </w:rPr>
        <w:t xml:space="preserve"> и практически опит на автора, оригиналният инструментариум на </w:t>
      </w:r>
      <w:r w:rsidRPr="00DB32DF">
        <w:rPr>
          <w:sz w:val="26"/>
          <w:szCs w:val="26"/>
        </w:rPr>
        <w:t>прилож</w:t>
      </w:r>
      <w:r w:rsidR="00C91E57" w:rsidRPr="00DB32DF">
        <w:rPr>
          <w:sz w:val="26"/>
          <w:szCs w:val="26"/>
        </w:rPr>
        <w:t>е</w:t>
      </w:r>
      <w:r w:rsidRPr="00DB32DF">
        <w:rPr>
          <w:sz w:val="26"/>
          <w:szCs w:val="26"/>
        </w:rPr>
        <w:t>н</w:t>
      </w:r>
      <w:r w:rsidR="00C91E57" w:rsidRPr="00DB32DF">
        <w:rPr>
          <w:sz w:val="26"/>
          <w:szCs w:val="26"/>
        </w:rPr>
        <w:t>и</w:t>
      </w:r>
      <w:r w:rsidRPr="00DB32DF">
        <w:rPr>
          <w:sz w:val="26"/>
          <w:szCs w:val="26"/>
        </w:rPr>
        <w:t xml:space="preserve">я и </w:t>
      </w:r>
      <w:r w:rsidR="0084563F" w:rsidRPr="00DB32DF">
        <w:rPr>
          <w:sz w:val="26"/>
          <w:szCs w:val="26"/>
        </w:rPr>
        <w:t>науч</w:t>
      </w:r>
      <w:r w:rsidRPr="00DB32DF">
        <w:rPr>
          <w:sz w:val="26"/>
          <w:szCs w:val="26"/>
        </w:rPr>
        <w:t>ен</w:t>
      </w:r>
      <w:r w:rsidR="0084563F" w:rsidRPr="00DB32DF">
        <w:rPr>
          <w:sz w:val="26"/>
          <w:szCs w:val="26"/>
        </w:rPr>
        <w:t xml:space="preserve"> анализ намират достойно </w:t>
      </w:r>
      <w:r w:rsidR="0084563F" w:rsidRPr="00DB32DF">
        <w:rPr>
          <w:sz w:val="26"/>
          <w:szCs w:val="26"/>
        </w:rPr>
        <w:lastRenderedPageBreak/>
        <w:t>отражение в пуб</w:t>
      </w:r>
      <w:r w:rsidR="00C91E57" w:rsidRPr="00DB32DF">
        <w:rPr>
          <w:sz w:val="26"/>
          <w:szCs w:val="26"/>
        </w:rPr>
        <w:t>л</w:t>
      </w:r>
      <w:r w:rsidR="0084563F" w:rsidRPr="00DB32DF">
        <w:rPr>
          <w:sz w:val="26"/>
          <w:szCs w:val="26"/>
        </w:rPr>
        <w:t>икуваните научни статии, представената монография, приложните разработки</w:t>
      </w:r>
      <w:r w:rsidRPr="00DB32DF">
        <w:rPr>
          <w:sz w:val="26"/>
          <w:szCs w:val="26"/>
        </w:rPr>
        <w:t xml:space="preserve"> и</w:t>
      </w:r>
      <w:r w:rsidR="0084563F" w:rsidRPr="00DB32DF">
        <w:rPr>
          <w:sz w:val="26"/>
          <w:szCs w:val="26"/>
        </w:rPr>
        <w:t xml:space="preserve"> при обучението на студентите.</w:t>
      </w:r>
    </w:p>
    <w:p w14:paraId="7B9E6058" w14:textId="77777777" w:rsidR="0084563F" w:rsidRPr="00DB32DF" w:rsidRDefault="0084563F" w:rsidP="0084563F">
      <w:pPr>
        <w:pStyle w:val="Default"/>
        <w:spacing w:line="276" w:lineRule="auto"/>
        <w:ind w:left="360" w:firstLine="348"/>
        <w:jc w:val="both"/>
        <w:rPr>
          <w:sz w:val="26"/>
          <w:szCs w:val="26"/>
        </w:rPr>
      </w:pPr>
    </w:p>
    <w:p w14:paraId="05E2F727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Учебна дейност на кандидата</w:t>
      </w:r>
    </w:p>
    <w:p w14:paraId="6F303BDA" w14:textId="77777777" w:rsidR="0084563F" w:rsidRPr="00DB32DF" w:rsidRDefault="0084563F" w:rsidP="0084563F">
      <w:pPr>
        <w:pStyle w:val="Default"/>
        <w:spacing w:line="276" w:lineRule="auto"/>
        <w:jc w:val="both"/>
        <w:rPr>
          <w:sz w:val="26"/>
          <w:szCs w:val="26"/>
        </w:rPr>
      </w:pPr>
    </w:p>
    <w:p w14:paraId="28750C3D" w14:textId="6C6B5549" w:rsidR="0084563F" w:rsidRPr="00DB32DF" w:rsidRDefault="0084563F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От издадената служебна бележка (№ ГПФ </w:t>
      </w:r>
      <w:r w:rsidR="00D622C5" w:rsidRPr="00DB32DF">
        <w:rPr>
          <w:sz w:val="26"/>
          <w:szCs w:val="26"/>
        </w:rPr>
        <w:t>151.16.10</w:t>
      </w:r>
      <w:r w:rsidRPr="00DB32DF">
        <w:rPr>
          <w:sz w:val="26"/>
          <w:szCs w:val="26"/>
        </w:rPr>
        <w:t>.</w:t>
      </w:r>
      <w:r w:rsidR="00D622C5" w:rsidRPr="00DB32DF">
        <w:rPr>
          <w:sz w:val="26"/>
          <w:szCs w:val="26"/>
        </w:rPr>
        <w:t>2025</w:t>
      </w:r>
      <w:r w:rsidRPr="00DB32DF">
        <w:rPr>
          <w:sz w:val="26"/>
          <w:szCs w:val="26"/>
        </w:rPr>
        <w:t xml:space="preserve"> г.) от деканата на ГПФ се вижда, че </w:t>
      </w:r>
      <w:r w:rsidR="00D622C5" w:rsidRPr="00DB32DF">
        <w:rPr>
          <w:sz w:val="26"/>
          <w:szCs w:val="26"/>
        </w:rPr>
        <w:t>доц</w:t>
      </w:r>
      <w:r w:rsidRPr="00DB32DF">
        <w:rPr>
          <w:sz w:val="26"/>
          <w:szCs w:val="26"/>
        </w:rPr>
        <w:t xml:space="preserve">. д-р инж. </w:t>
      </w:r>
      <w:r w:rsidR="00D622C5" w:rsidRPr="00DB32DF">
        <w:rPr>
          <w:sz w:val="26"/>
          <w:szCs w:val="26"/>
        </w:rPr>
        <w:t>М. Бояджиев</w:t>
      </w:r>
      <w:r w:rsidRPr="00DB32DF">
        <w:rPr>
          <w:sz w:val="26"/>
          <w:szCs w:val="26"/>
        </w:rPr>
        <w:t xml:space="preserve"> води лекции на студентите на ОКС „бакалавър“ </w:t>
      </w:r>
      <w:r w:rsidR="00D622C5" w:rsidRPr="00DB32DF">
        <w:rPr>
          <w:sz w:val="26"/>
          <w:szCs w:val="26"/>
        </w:rPr>
        <w:t xml:space="preserve">и ОКС „магистър“ </w:t>
      </w:r>
      <w:r w:rsidRPr="00DB32DF">
        <w:rPr>
          <w:sz w:val="26"/>
          <w:szCs w:val="26"/>
        </w:rPr>
        <w:t xml:space="preserve">от специалност СДТНГ, </w:t>
      </w:r>
      <w:r w:rsidR="00D622C5" w:rsidRPr="00DB32DF">
        <w:rPr>
          <w:sz w:val="26"/>
          <w:szCs w:val="26"/>
        </w:rPr>
        <w:t>УГИ</w:t>
      </w:r>
      <w:r w:rsidRPr="00DB32DF">
        <w:rPr>
          <w:sz w:val="26"/>
          <w:szCs w:val="26"/>
        </w:rPr>
        <w:t xml:space="preserve">, </w:t>
      </w:r>
      <w:r w:rsidR="00D622C5" w:rsidRPr="00DB32DF">
        <w:rPr>
          <w:sz w:val="26"/>
          <w:szCs w:val="26"/>
        </w:rPr>
        <w:t>ДТСНГ и</w:t>
      </w:r>
      <w:r w:rsidRPr="00DB32DF">
        <w:rPr>
          <w:sz w:val="26"/>
          <w:szCs w:val="26"/>
        </w:rPr>
        <w:t xml:space="preserve"> </w:t>
      </w:r>
      <w:r w:rsidR="00D622C5" w:rsidRPr="00DB32DF">
        <w:rPr>
          <w:sz w:val="26"/>
          <w:szCs w:val="26"/>
        </w:rPr>
        <w:t>МАСПБП, общо по 7</w:t>
      </w:r>
      <w:r w:rsidRPr="00DB32DF">
        <w:rPr>
          <w:sz w:val="26"/>
          <w:szCs w:val="26"/>
        </w:rPr>
        <w:t xml:space="preserve"> дисциплини. Всички те са свързани с обявения конкурс за нуждите на МГУ.</w:t>
      </w:r>
    </w:p>
    <w:p w14:paraId="5467275D" w14:textId="399269A3" w:rsidR="0084563F" w:rsidRPr="00DB32DF" w:rsidRDefault="000212AE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Доц. д-р М. Бояджиев </w:t>
      </w:r>
      <w:r w:rsidR="0084563F" w:rsidRPr="00DB32DF">
        <w:rPr>
          <w:sz w:val="26"/>
          <w:szCs w:val="26"/>
        </w:rPr>
        <w:t xml:space="preserve">е научен </w:t>
      </w:r>
      <w:r w:rsidRPr="00DB32DF">
        <w:rPr>
          <w:sz w:val="26"/>
          <w:szCs w:val="26"/>
        </w:rPr>
        <w:t>ръководител</w:t>
      </w:r>
      <w:r w:rsidR="0084563F" w:rsidRPr="00DB32DF">
        <w:rPr>
          <w:sz w:val="26"/>
          <w:szCs w:val="26"/>
        </w:rPr>
        <w:t xml:space="preserve"> на </w:t>
      </w:r>
      <w:r w:rsidRPr="00DB32DF">
        <w:rPr>
          <w:sz w:val="26"/>
          <w:szCs w:val="26"/>
        </w:rPr>
        <w:t>трима успешно защитили</w:t>
      </w:r>
      <w:r w:rsidR="0084563F" w:rsidRPr="00DB32DF">
        <w:rPr>
          <w:sz w:val="26"/>
          <w:szCs w:val="26"/>
        </w:rPr>
        <w:t xml:space="preserve"> докторанти от кат. СДТНГ.</w:t>
      </w:r>
    </w:p>
    <w:p w14:paraId="145E0D0E" w14:textId="4CAEE3F0" w:rsidR="0084563F" w:rsidRPr="00DB32DF" w:rsidRDefault="0084563F" w:rsidP="0084563F">
      <w:pPr>
        <w:pStyle w:val="Default"/>
        <w:spacing w:line="276" w:lineRule="auto"/>
        <w:ind w:firstLine="34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Изброеното е свидетелство за високата учебна ангажираност на кандидата в обучението на студенти</w:t>
      </w:r>
      <w:r w:rsidR="00D622C5" w:rsidRPr="00DB32DF">
        <w:rPr>
          <w:sz w:val="26"/>
          <w:szCs w:val="26"/>
        </w:rPr>
        <w:t>те</w:t>
      </w:r>
      <w:r w:rsidRPr="00DB32DF">
        <w:rPr>
          <w:sz w:val="26"/>
          <w:szCs w:val="26"/>
        </w:rPr>
        <w:t xml:space="preserve">, която </w:t>
      </w:r>
      <w:r w:rsidR="00EA55A5" w:rsidRPr="00DB32DF">
        <w:rPr>
          <w:sz w:val="26"/>
          <w:szCs w:val="26"/>
        </w:rPr>
        <w:t>покрива</w:t>
      </w:r>
      <w:r w:rsidRPr="00DB32DF">
        <w:rPr>
          <w:sz w:val="26"/>
          <w:szCs w:val="26"/>
        </w:rPr>
        <w:t xml:space="preserve"> изискванията за заемане на академична длъжност „</w:t>
      </w:r>
      <w:r w:rsidR="00EA55A5" w:rsidRPr="00DB32DF">
        <w:rPr>
          <w:sz w:val="26"/>
          <w:szCs w:val="26"/>
        </w:rPr>
        <w:t>професор</w:t>
      </w:r>
      <w:r w:rsidRPr="00DB32DF">
        <w:rPr>
          <w:sz w:val="26"/>
          <w:szCs w:val="26"/>
        </w:rPr>
        <w:t>“.</w:t>
      </w:r>
    </w:p>
    <w:p w14:paraId="772785A2" w14:textId="77777777" w:rsidR="0084563F" w:rsidRPr="00DB32DF" w:rsidRDefault="0084563F" w:rsidP="0084563F">
      <w:pPr>
        <w:pStyle w:val="Default"/>
        <w:spacing w:line="276" w:lineRule="auto"/>
        <w:jc w:val="both"/>
        <w:rPr>
          <w:sz w:val="26"/>
          <w:szCs w:val="26"/>
        </w:rPr>
      </w:pPr>
    </w:p>
    <w:p w14:paraId="423E96DB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Основни научни и научно-приложни приноси на кандидата</w:t>
      </w:r>
    </w:p>
    <w:p w14:paraId="762E24E6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b/>
          <w:bCs/>
          <w:sz w:val="26"/>
          <w:szCs w:val="26"/>
        </w:rPr>
      </w:pPr>
    </w:p>
    <w:p w14:paraId="634A877C" w14:textId="0FBBC3EB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Представените за рецензиране нау</w:t>
      </w:r>
      <w:r w:rsidR="00157DC2" w:rsidRPr="00DB32DF">
        <w:rPr>
          <w:sz w:val="26"/>
          <w:szCs w:val="26"/>
        </w:rPr>
        <w:t xml:space="preserve">чни трудове формират научните, </w:t>
      </w:r>
      <w:r w:rsidRPr="00DB32DF">
        <w:rPr>
          <w:sz w:val="26"/>
          <w:szCs w:val="26"/>
        </w:rPr>
        <w:t xml:space="preserve">научно-приложните и приложните постижения на кандидата, обединени в </w:t>
      </w:r>
      <w:r w:rsidR="00837055" w:rsidRPr="00DB32DF">
        <w:rPr>
          <w:sz w:val="26"/>
          <w:szCs w:val="26"/>
        </w:rPr>
        <w:t>три</w:t>
      </w:r>
      <w:r w:rsidRPr="00DB32DF">
        <w:rPr>
          <w:sz w:val="26"/>
          <w:szCs w:val="26"/>
        </w:rPr>
        <w:t xml:space="preserve"> групи:</w:t>
      </w:r>
    </w:p>
    <w:p w14:paraId="3D3C8AAC" w14:textId="43FF4DC4" w:rsidR="0084563F" w:rsidRPr="00DB32DF" w:rsidRDefault="00837055" w:rsidP="0084563F">
      <w:pPr>
        <w:pStyle w:val="Default"/>
        <w:numPr>
          <w:ilvl w:val="0"/>
          <w:numId w:val="2"/>
        </w:numPr>
        <w:spacing w:line="276" w:lineRule="auto"/>
        <w:jc w:val="both"/>
        <w:rPr>
          <w:b/>
          <w:i/>
          <w:sz w:val="26"/>
          <w:szCs w:val="26"/>
        </w:rPr>
      </w:pPr>
      <w:r w:rsidRPr="00DB32DF">
        <w:rPr>
          <w:b/>
          <w:i/>
          <w:sz w:val="26"/>
          <w:szCs w:val="26"/>
        </w:rPr>
        <w:t>Научни</w:t>
      </w:r>
    </w:p>
    <w:p w14:paraId="32F7EBC6" w14:textId="2C6C8024" w:rsidR="00845C3C" w:rsidRPr="00DB32DF" w:rsidRDefault="0084563F" w:rsidP="00C91E57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Към тази група са включени </w:t>
      </w:r>
      <w:r w:rsidR="00845C3C" w:rsidRPr="00DB32DF">
        <w:rPr>
          <w:sz w:val="26"/>
          <w:szCs w:val="26"/>
        </w:rPr>
        <w:t>методика и модел за изчисляване на газодинамично триене при движение на реален флуид, като са изследвани процесите на движение в полиетиленови тръбопроводни системи на п</w:t>
      </w:r>
      <w:r w:rsidR="00641B17" w:rsidRPr="00DB32DF">
        <w:rPr>
          <w:sz w:val="26"/>
          <w:szCs w:val="26"/>
        </w:rPr>
        <w:t xml:space="preserve">рироден газ в преходната област. </w:t>
      </w:r>
      <w:r w:rsidR="00481B58" w:rsidRPr="00DB32DF">
        <w:rPr>
          <w:sz w:val="26"/>
          <w:szCs w:val="26"/>
        </w:rPr>
        <w:t>Въз основа на сравнителен анализ на симулационни модели</w:t>
      </w:r>
      <w:r w:rsidR="00E56704">
        <w:rPr>
          <w:sz w:val="26"/>
          <w:szCs w:val="26"/>
        </w:rPr>
        <w:t>,</w:t>
      </w:r>
      <w:r w:rsidR="00481B58" w:rsidRPr="00DB32DF">
        <w:rPr>
          <w:sz w:val="26"/>
          <w:szCs w:val="26"/>
        </w:rPr>
        <w:t xml:space="preserve"> с реални експериментални данни</w:t>
      </w:r>
      <w:r w:rsidR="00E56704">
        <w:rPr>
          <w:sz w:val="26"/>
          <w:szCs w:val="26"/>
        </w:rPr>
        <w:t>,</w:t>
      </w:r>
      <w:r w:rsidR="00481B58" w:rsidRPr="00DB32DF">
        <w:rPr>
          <w:sz w:val="26"/>
          <w:szCs w:val="26"/>
        </w:rPr>
        <w:t xml:space="preserve"> е представен опит за решаване на задачи за изчисляване на параметри, свързани с хидравлични пресмятания.  </w:t>
      </w:r>
      <w:r w:rsidR="00641B17" w:rsidRPr="00DB32DF">
        <w:rPr>
          <w:sz w:val="26"/>
          <w:szCs w:val="26"/>
        </w:rPr>
        <w:t>П</w:t>
      </w:r>
      <w:r w:rsidR="00845C3C" w:rsidRPr="00DB32DF">
        <w:rPr>
          <w:sz w:val="26"/>
          <w:szCs w:val="26"/>
        </w:rPr>
        <w:t xml:space="preserve">олучените резултати </w:t>
      </w:r>
      <w:r w:rsidR="00481B58" w:rsidRPr="00DB32DF">
        <w:rPr>
          <w:sz w:val="26"/>
          <w:szCs w:val="26"/>
        </w:rPr>
        <w:t>са отразени в</w:t>
      </w:r>
      <w:r w:rsidR="00845C3C" w:rsidRPr="00DB32DF">
        <w:rPr>
          <w:sz w:val="26"/>
          <w:szCs w:val="26"/>
        </w:rPr>
        <w:t xml:space="preserve"> емпирична зависимост при определяне на коефицие</w:t>
      </w:r>
      <w:r w:rsidR="00641B17" w:rsidRPr="00DB32DF">
        <w:rPr>
          <w:sz w:val="26"/>
          <w:szCs w:val="26"/>
        </w:rPr>
        <w:t>нт на хидравлично съпротивление. С</w:t>
      </w:r>
      <w:r w:rsidR="00845C3C" w:rsidRPr="00DB32DF">
        <w:rPr>
          <w:sz w:val="26"/>
          <w:szCs w:val="26"/>
        </w:rPr>
        <w:t>ъздадена е нова формула за определянето на коефициент</w:t>
      </w:r>
      <w:r w:rsidR="00613F72" w:rsidRPr="00DB32DF">
        <w:rPr>
          <w:sz w:val="26"/>
          <w:szCs w:val="26"/>
        </w:rPr>
        <w:t>а на триене (ламбда, λ) за преци</w:t>
      </w:r>
      <w:r w:rsidR="00845C3C" w:rsidRPr="00DB32DF">
        <w:rPr>
          <w:sz w:val="26"/>
          <w:szCs w:val="26"/>
        </w:rPr>
        <w:t>зирано определяне на загуби на налягане в реални условия при преходни режими на движение на газообразни флуиди в тръбопроводи от газова инфраструктура</w:t>
      </w:r>
      <w:r w:rsidR="00821566" w:rsidRPr="00DB32DF">
        <w:rPr>
          <w:sz w:val="26"/>
          <w:szCs w:val="26"/>
        </w:rPr>
        <w:t>.</w:t>
      </w:r>
    </w:p>
    <w:p w14:paraId="60D78938" w14:textId="4E147DA4" w:rsidR="00821566" w:rsidRPr="00DB32DF" w:rsidRDefault="00821566" w:rsidP="00C91E57">
      <w:pPr>
        <w:pStyle w:val="Default"/>
        <w:numPr>
          <w:ilvl w:val="0"/>
          <w:numId w:val="2"/>
        </w:numPr>
        <w:spacing w:line="276" w:lineRule="auto"/>
        <w:jc w:val="both"/>
        <w:rPr>
          <w:b/>
          <w:i/>
          <w:sz w:val="26"/>
          <w:szCs w:val="26"/>
        </w:rPr>
      </w:pPr>
      <w:r w:rsidRPr="00DB32DF">
        <w:rPr>
          <w:b/>
          <w:i/>
          <w:sz w:val="26"/>
          <w:szCs w:val="26"/>
        </w:rPr>
        <w:t>Научно-приложни</w:t>
      </w:r>
    </w:p>
    <w:p w14:paraId="3961E01A" w14:textId="5EF211BD" w:rsidR="00821566" w:rsidRPr="00DB32DF" w:rsidRDefault="00821566" w:rsidP="009B5CE7">
      <w:pPr>
        <w:pStyle w:val="Default"/>
        <w:spacing w:line="276" w:lineRule="auto"/>
        <w:ind w:firstLine="426"/>
        <w:jc w:val="both"/>
        <w:rPr>
          <w:sz w:val="26"/>
          <w:szCs w:val="26"/>
          <w:lang w:val="en-US"/>
        </w:rPr>
      </w:pPr>
      <w:r w:rsidRPr="00DB32DF">
        <w:rPr>
          <w:sz w:val="26"/>
          <w:szCs w:val="26"/>
        </w:rPr>
        <w:t xml:space="preserve"> Разработена е методика и модел за прогнозиране на потреблението на природен газ за битови клиенти. На тази основа е създадена платформа за определяне на потреблението с цел решаване на задача за баланса на газа. Резултатът е използван от газоснабдителна компания </w:t>
      </w:r>
      <w:r w:rsidRPr="00DB32DF">
        <w:rPr>
          <w:sz w:val="26"/>
          <w:szCs w:val="26"/>
        </w:rPr>
        <w:lastRenderedPageBreak/>
        <w:t>за осигуряване на надеждност на газоснабдяването и прогнозиране на консумацията на природен газ</w:t>
      </w:r>
      <w:r w:rsidR="00613F72" w:rsidRPr="00DB32DF">
        <w:rPr>
          <w:sz w:val="26"/>
          <w:szCs w:val="26"/>
        </w:rPr>
        <w:t>. И</w:t>
      </w:r>
      <w:r w:rsidRPr="00DB32DF">
        <w:rPr>
          <w:sz w:val="26"/>
          <w:szCs w:val="26"/>
        </w:rPr>
        <w:t>зучена е връзката между потреблението на природен газ и поведението на потребители</w:t>
      </w:r>
      <w:r w:rsidR="00613F72" w:rsidRPr="00DB32DF">
        <w:rPr>
          <w:sz w:val="26"/>
          <w:szCs w:val="26"/>
        </w:rPr>
        <w:t>те</w:t>
      </w:r>
      <w:r w:rsidRPr="00DB32DF">
        <w:rPr>
          <w:sz w:val="26"/>
          <w:szCs w:val="26"/>
        </w:rPr>
        <w:t xml:space="preserve"> на природен газ въз основа на важни критерии (температура, влажност, история, ден от седмицата). На базата на разработени методики са създадени програмни продукти за определяне на прогнозното потребление</w:t>
      </w:r>
      <w:r w:rsidR="00613F72" w:rsidRPr="00DB32DF">
        <w:rPr>
          <w:sz w:val="26"/>
          <w:szCs w:val="26"/>
        </w:rPr>
        <w:t>.</w:t>
      </w:r>
      <w:r w:rsidR="007E6085" w:rsidRPr="00DB32DF">
        <w:rPr>
          <w:sz w:val="26"/>
          <w:szCs w:val="26"/>
        </w:rPr>
        <w:t xml:space="preserve">  </w:t>
      </w:r>
      <w:r w:rsidR="00613F72" w:rsidRPr="00DB32DF">
        <w:rPr>
          <w:sz w:val="26"/>
          <w:szCs w:val="26"/>
        </w:rPr>
        <w:t>Р</w:t>
      </w:r>
      <w:r w:rsidR="007E6085" w:rsidRPr="00DB32DF">
        <w:rPr>
          <w:sz w:val="26"/>
          <w:szCs w:val="26"/>
        </w:rPr>
        <w:t xml:space="preserve">азработена е технологична схема на технология за подгряване на </w:t>
      </w:r>
      <w:r w:rsidR="00925B2D" w:rsidRPr="00DB32DF">
        <w:rPr>
          <w:sz w:val="26"/>
          <w:szCs w:val="26"/>
        </w:rPr>
        <w:t>природния га</w:t>
      </w:r>
      <w:r w:rsidR="00613F72" w:rsidRPr="00DB32DF">
        <w:rPr>
          <w:sz w:val="26"/>
          <w:szCs w:val="26"/>
        </w:rPr>
        <w:t>з</w:t>
      </w:r>
      <w:r w:rsidR="007E6085" w:rsidRPr="00DB32DF">
        <w:rPr>
          <w:sz w:val="26"/>
          <w:szCs w:val="26"/>
        </w:rPr>
        <w:t xml:space="preserve"> по термодинамичния принцип на тръба на Ранк.</w:t>
      </w:r>
    </w:p>
    <w:p w14:paraId="57653D3A" w14:textId="3C48CCA6" w:rsidR="00572D7C" w:rsidRPr="00DB32DF" w:rsidRDefault="00572D7C" w:rsidP="00C91E57">
      <w:pPr>
        <w:pStyle w:val="Default"/>
        <w:numPr>
          <w:ilvl w:val="0"/>
          <w:numId w:val="2"/>
        </w:numPr>
        <w:spacing w:line="276" w:lineRule="auto"/>
        <w:jc w:val="both"/>
        <w:rPr>
          <w:b/>
          <w:i/>
          <w:sz w:val="26"/>
          <w:szCs w:val="26"/>
        </w:rPr>
      </w:pPr>
      <w:r w:rsidRPr="00DB32DF">
        <w:rPr>
          <w:b/>
          <w:i/>
          <w:sz w:val="26"/>
          <w:szCs w:val="26"/>
        </w:rPr>
        <w:t>Приложни</w:t>
      </w:r>
    </w:p>
    <w:p w14:paraId="3AC273E2" w14:textId="606B995D" w:rsidR="00613F72" w:rsidRPr="00DB32DF" w:rsidRDefault="005759CB" w:rsidP="00613F72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613F72" w:rsidRPr="00DB32DF">
        <w:rPr>
          <w:sz w:val="26"/>
          <w:szCs w:val="26"/>
        </w:rPr>
        <w:t>ази група постиженията на кандидата са насочени към проблемите, които касаят обучението на студентите и специалистите с интереси и дейност, свързана с разработването и експлоатацията на находища</w:t>
      </w:r>
      <w:r w:rsidR="001679EF" w:rsidRPr="00DB32DF">
        <w:rPr>
          <w:sz w:val="26"/>
          <w:szCs w:val="26"/>
        </w:rPr>
        <w:t xml:space="preserve"> на въглеводородни суровини</w:t>
      </w:r>
      <w:r w:rsidR="00613F72" w:rsidRPr="00DB32DF">
        <w:rPr>
          <w:sz w:val="26"/>
          <w:szCs w:val="26"/>
        </w:rPr>
        <w:t>. Те са обособени в две подгрупи:</w:t>
      </w:r>
    </w:p>
    <w:p w14:paraId="365A98AE" w14:textId="5ED72CBE" w:rsidR="0084563F" w:rsidRPr="00DB32DF" w:rsidRDefault="0084563F" w:rsidP="00845C3C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Организационно-методически приноси в обучението по разработка и експлоатация на нефтени, га</w:t>
      </w:r>
      <w:r w:rsidR="001679EF" w:rsidRPr="00DB32DF">
        <w:rPr>
          <w:sz w:val="26"/>
          <w:szCs w:val="26"/>
        </w:rPr>
        <w:t>зови и газокондензатни находища;</w:t>
      </w:r>
    </w:p>
    <w:p w14:paraId="1AEC1839" w14:textId="77777777" w:rsidR="001679EF" w:rsidRPr="00DB32DF" w:rsidRDefault="00613F72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М</w:t>
      </w:r>
      <w:r w:rsidR="0084563F" w:rsidRPr="00DB32DF">
        <w:rPr>
          <w:sz w:val="26"/>
          <w:szCs w:val="26"/>
        </w:rPr>
        <w:t>етодически насоки за осъществяване на връзка между природо</w:t>
      </w:r>
      <w:r w:rsidRPr="00DB32DF">
        <w:rPr>
          <w:sz w:val="26"/>
          <w:szCs w:val="26"/>
        </w:rPr>
        <w:t>-</w:t>
      </w:r>
      <w:r w:rsidR="0084563F" w:rsidRPr="00DB32DF">
        <w:rPr>
          <w:sz w:val="26"/>
          <w:szCs w:val="26"/>
        </w:rPr>
        <w:t xml:space="preserve">математическите дисциплини и </w:t>
      </w:r>
      <w:r w:rsidR="001679EF" w:rsidRPr="00DB32DF">
        <w:rPr>
          <w:sz w:val="26"/>
          <w:szCs w:val="26"/>
        </w:rPr>
        <w:t>професионално-техническия цикъл.</w:t>
      </w:r>
      <w:r w:rsidR="0084563F" w:rsidRPr="00DB32DF">
        <w:rPr>
          <w:sz w:val="26"/>
          <w:szCs w:val="26"/>
        </w:rPr>
        <w:t xml:space="preserve"> </w:t>
      </w:r>
    </w:p>
    <w:p w14:paraId="4CA00B33" w14:textId="14C5C9D8" w:rsidR="0084563F" w:rsidRPr="00DB32DF" w:rsidRDefault="001679E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Като резултат</w:t>
      </w:r>
      <w:r w:rsidR="0084563F" w:rsidRPr="00DB32DF">
        <w:rPr>
          <w:sz w:val="26"/>
          <w:szCs w:val="26"/>
        </w:rPr>
        <w:t xml:space="preserve"> са </w:t>
      </w:r>
      <w:r w:rsidRPr="00DB32DF">
        <w:rPr>
          <w:sz w:val="26"/>
          <w:szCs w:val="26"/>
        </w:rPr>
        <w:t>разработени</w:t>
      </w:r>
      <w:r w:rsidR="0084563F" w:rsidRPr="00DB32DF">
        <w:rPr>
          <w:sz w:val="26"/>
          <w:szCs w:val="26"/>
        </w:rPr>
        <w:t xml:space="preserve"> актуализирани учебни програми в рамките на образователния процес на студентите в кат. „Сондиране, добив и транспорт на нефт и газ“. </w:t>
      </w:r>
    </w:p>
    <w:p w14:paraId="32DA8203" w14:textId="77777777" w:rsidR="0084563F" w:rsidRPr="00DB32DF" w:rsidRDefault="0084563F" w:rsidP="0084563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r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Основните приноси на кандидата са с научен, научно приложен и приложен характер. Получените резултати са с доказана възможност за приложение в теорията и практиката на модели за решаване на инженерни задачи за разработката и експлоатацията на нефтени, газови и газокондензатни находища,  използването на природния газ и обучението в образователните и научните структури на висшето образование по Технически науки. </w:t>
      </w:r>
    </w:p>
    <w:p w14:paraId="03BA88CE" w14:textId="75A260A0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>Приносите</w:t>
      </w:r>
      <w:r w:rsidR="005E211E">
        <w:rPr>
          <w:sz w:val="26"/>
          <w:szCs w:val="26"/>
        </w:rPr>
        <w:t xml:space="preserve">, съдържащи се </w:t>
      </w:r>
      <w:r w:rsidR="00D31BB7">
        <w:rPr>
          <w:sz w:val="26"/>
          <w:szCs w:val="26"/>
        </w:rPr>
        <w:t>в представените документи,</w:t>
      </w:r>
      <w:r w:rsidRPr="00DB32DF">
        <w:rPr>
          <w:sz w:val="26"/>
          <w:szCs w:val="26"/>
        </w:rPr>
        <w:t xml:space="preserve"> са самостоятелно дело на кандидата и успешно защитават претенциите за научния, научно приложния и приложния им характер.</w:t>
      </w:r>
    </w:p>
    <w:p w14:paraId="261F06E7" w14:textId="77777777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</w:p>
    <w:p w14:paraId="0F588B03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Отражение на научните публикации на кандидата в специализираната литература</w:t>
      </w:r>
    </w:p>
    <w:p w14:paraId="52D9A351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sz w:val="26"/>
          <w:szCs w:val="26"/>
        </w:rPr>
      </w:pPr>
    </w:p>
    <w:p w14:paraId="025B413B" w14:textId="4CB83A6D" w:rsidR="0084563F" w:rsidRPr="00DB32DF" w:rsidRDefault="0084563F" w:rsidP="00C91E57">
      <w:pPr>
        <w:pStyle w:val="Default"/>
        <w:spacing w:line="276" w:lineRule="auto"/>
        <w:ind w:firstLine="426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От предоставената справка за цитиранията се вижда, че кандидатът има </w:t>
      </w:r>
      <w:r w:rsidR="003A73B7" w:rsidRPr="00DB32DF">
        <w:rPr>
          <w:sz w:val="26"/>
          <w:szCs w:val="26"/>
        </w:rPr>
        <w:t>цитирани 15</w:t>
      </w:r>
      <w:r w:rsidRPr="00DB32DF">
        <w:rPr>
          <w:sz w:val="26"/>
          <w:szCs w:val="26"/>
        </w:rPr>
        <w:t xml:space="preserve"> броя </w:t>
      </w:r>
      <w:r w:rsidR="003A73B7" w:rsidRPr="00DB32DF">
        <w:rPr>
          <w:sz w:val="26"/>
          <w:szCs w:val="26"/>
        </w:rPr>
        <w:t>научни публикации, от които 8</w:t>
      </w:r>
      <w:r w:rsidRPr="00DB32DF">
        <w:rPr>
          <w:sz w:val="26"/>
          <w:szCs w:val="26"/>
        </w:rPr>
        <w:t xml:space="preserve"> са в научни издания, реферирани и индексирани в световноизвестни бази данни с научна информация или мон</w:t>
      </w:r>
      <w:r w:rsidR="00D120D1" w:rsidRPr="00DB32DF">
        <w:rPr>
          <w:sz w:val="26"/>
          <w:szCs w:val="26"/>
        </w:rPr>
        <w:t>ографии и колективни трудове,</w:t>
      </w:r>
      <w:r w:rsidR="003A73B7" w:rsidRPr="00DB32DF">
        <w:rPr>
          <w:sz w:val="26"/>
          <w:szCs w:val="26"/>
        </w:rPr>
        <w:t xml:space="preserve"> 5</w:t>
      </w:r>
      <w:r w:rsidRPr="00DB32DF">
        <w:rPr>
          <w:sz w:val="26"/>
          <w:szCs w:val="26"/>
        </w:rPr>
        <w:t xml:space="preserve"> - в монографии и колекти</w:t>
      </w:r>
      <w:r w:rsidR="00D120D1" w:rsidRPr="00DB32DF">
        <w:rPr>
          <w:sz w:val="26"/>
          <w:szCs w:val="26"/>
        </w:rPr>
        <w:t>вни томове с научно рецензиране и 2 – в нереферирани списания с научно рецензиране.</w:t>
      </w:r>
      <w:r w:rsidRPr="00DB32DF">
        <w:rPr>
          <w:sz w:val="26"/>
          <w:szCs w:val="26"/>
        </w:rPr>
        <w:t xml:space="preserve"> </w:t>
      </w:r>
    </w:p>
    <w:p w14:paraId="01E23001" w14:textId="77777777" w:rsidR="0084563F" w:rsidRPr="00DB32DF" w:rsidRDefault="0084563F" w:rsidP="00C91E57">
      <w:pPr>
        <w:pStyle w:val="Default"/>
        <w:spacing w:line="276" w:lineRule="auto"/>
        <w:ind w:firstLine="567"/>
        <w:jc w:val="both"/>
        <w:rPr>
          <w:sz w:val="26"/>
          <w:szCs w:val="26"/>
        </w:rPr>
      </w:pPr>
      <w:r w:rsidRPr="00DB32DF">
        <w:rPr>
          <w:sz w:val="26"/>
          <w:szCs w:val="26"/>
        </w:rPr>
        <w:lastRenderedPageBreak/>
        <w:t>Прави впечатление големият брой цитирания, което показва изявен научен интерес сред професионалната общност.</w:t>
      </w:r>
    </w:p>
    <w:p w14:paraId="5D58595A" w14:textId="77777777" w:rsidR="0084563F" w:rsidRPr="00DB32DF" w:rsidRDefault="0084563F" w:rsidP="0084563F">
      <w:pPr>
        <w:pStyle w:val="Default"/>
        <w:spacing w:line="276" w:lineRule="auto"/>
        <w:ind w:left="360" w:firstLine="348"/>
        <w:jc w:val="both"/>
        <w:rPr>
          <w:sz w:val="26"/>
          <w:szCs w:val="26"/>
        </w:rPr>
      </w:pPr>
    </w:p>
    <w:p w14:paraId="2168AB02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Съответствие с минималните национални и институционални изисквания</w:t>
      </w:r>
    </w:p>
    <w:p w14:paraId="47752B57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b/>
          <w:bCs/>
          <w:sz w:val="26"/>
          <w:szCs w:val="26"/>
        </w:rPr>
      </w:pPr>
    </w:p>
    <w:p w14:paraId="750C8A9C" w14:textId="77777777" w:rsidR="0084563F" w:rsidRPr="00DB32DF" w:rsidRDefault="0084563F" w:rsidP="0084563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r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Кандидатът е представил акуратно справка за съответствие с минималните национални и институционални изисквания по отделните групи показатели с посочени заглавия, номера в приложените описи и съответния брой точки. </w:t>
      </w:r>
    </w:p>
    <w:p w14:paraId="7D2E72FC" w14:textId="11652C43" w:rsidR="0084563F" w:rsidRPr="00DB32DF" w:rsidRDefault="0084563F" w:rsidP="0084563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r w:rsidRPr="00DB32DF">
        <w:rPr>
          <w:rFonts w:ascii="Arial" w:hAnsi="Arial" w:cs="Arial"/>
          <w:color w:val="000000"/>
          <w:kern w:val="0"/>
          <w:sz w:val="26"/>
          <w:szCs w:val="26"/>
        </w:rPr>
        <w:t>Количествената оценка на представените от кандидата публикации, справки и документи са в съответствие с минималните изисквания за заемане на академичната длъжност „</w:t>
      </w:r>
      <w:r w:rsidR="00477D54" w:rsidRPr="00DB32DF">
        <w:rPr>
          <w:rFonts w:ascii="Arial" w:hAnsi="Arial" w:cs="Arial"/>
          <w:color w:val="000000"/>
          <w:kern w:val="0"/>
          <w:sz w:val="26"/>
          <w:szCs w:val="26"/>
        </w:rPr>
        <w:t>професор</w:t>
      </w:r>
      <w:r w:rsidRPr="00DB32DF">
        <w:rPr>
          <w:rFonts w:ascii="Arial" w:hAnsi="Arial" w:cs="Arial"/>
          <w:color w:val="000000"/>
          <w:kern w:val="0"/>
          <w:sz w:val="26"/>
          <w:szCs w:val="26"/>
        </w:rPr>
        <w:t>” (таблица).</w:t>
      </w:r>
    </w:p>
    <w:p w14:paraId="280CC15D" w14:textId="77777777" w:rsidR="00477D54" w:rsidRPr="004604C6" w:rsidRDefault="00477D54" w:rsidP="0084563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268"/>
        <w:gridCol w:w="2268"/>
      </w:tblGrid>
      <w:tr w:rsidR="00477D54" w:rsidRPr="00DA7A5F" w14:paraId="700842B2" w14:textId="77777777" w:rsidTr="00DB32DF">
        <w:tc>
          <w:tcPr>
            <w:tcW w:w="4503" w:type="dxa"/>
          </w:tcPr>
          <w:p w14:paraId="22F699C1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Група от показатели </w:t>
            </w:r>
          </w:p>
          <w:p w14:paraId="6975436C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A87CEC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По изисквания</w:t>
            </w:r>
          </w:p>
        </w:tc>
        <w:tc>
          <w:tcPr>
            <w:tcW w:w="2268" w:type="dxa"/>
          </w:tcPr>
          <w:p w14:paraId="24CD38C9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Действителни</w:t>
            </w:r>
          </w:p>
        </w:tc>
      </w:tr>
      <w:tr w:rsidR="00477D54" w:rsidRPr="00DB32DF" w14:paraId="22AE3F76" w14:textId="77777777" w:rsidTr="00DB32DF">
        <w:tc>
          <w:tcPr>
            <w:tcW w:w="4503" w:type="dxa"/>
          </w:tcPr>
          <w:p w14:paraId="07F3920A" w14:textId="77777777" w:rsidR="00477D54" w:rsidRPr="00DB32DF" w:rsidRDefault="00477D54" w:rsidP="009016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32DF">
              <w:rPr>
                <w:rFonts w:ascii="Arial" w:hAnsi="Arial" w:cs="Arial"/>
                <w:b/>
                <w:sz w:val="24"/>
                <w:szCs w:val="24"/>
              </w:rPr>
              <w:t>А Показател 1</w:t>
            </w:r>
          </w:p>
        </w:tc>
        <w:tc>
          <w:tcPr>
            <w:tcW w:w="2268" w:type="dxa"/>
          </w:tcPr>
          <w:p w14:paraId="2636485A" w14:textId="77777777" w:rsidR="00477D54" w:rsidRPr="00DB32DF" w:rsidRDefault="00477D54" w:rsidP="009016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32D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0B825973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477D54" w:rsidRPr="00DB32DF" w14:paraId="267A5726" w14:textId="77777777" w:rsidTr="00DB32DF">
        <w:tc>
          <w:tcPr>
            <w:tcW w:w="4503" w:type="dxa"/>
          </w:tcPr>
          <w:p w14:paraId="11C54B91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В Показатели 3 или 4</w:t>
            </w:r>
          </w:p>
        </w:tc>
        <w:tc>
          <w:tcPr>
            <w:tcW w:w="2268" w:type="dxa"/>
          </w:tcPr>
          <w:p w14:paraId="58F0A7E8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23664BE5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477D54" w:rsidRPr="00DB32DF" w14:paraId="499A163E" w14:textId="77777777" w:rsidTr="00DB32DF">
        <w:tc>
          <w:tcPr>
            <w:tcW w:w="4503" w:type="dxa"/>
          </w:tcPr>
          <w:p w14:paraId="3E6E272B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Г Сума от показателите от 5 до 11</w:t>
            </w:r>
          </w:p>
        </w:tc>
        <w:tc>
          <w:tcPr>
            <w:tcW w:w="2268" w:type="dxa"/>
          </w:tcPr>
          <w:p w14:paraId="22E178B6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3EE09AA9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291.66</w:t>
            </w:r>
          </w:p>
        </w:tc>
      </w:tr>
      <w:tr w:rsidR="00477D54" w:rsidRPr="00DB32DF" w14:paraId="43D3FE67" w14:textId="77777777" w:rsidTr="00DB32DF">
        <w:tc>
          <w:tcPr>
            <w:tcW w:w="4503" w:type="dxa"/>
          </w:tcPr>
          <w:p w14:paraId="375421FD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Д Сума от показателите от 12 до 15</w:t>
            </w:r>
          </w:p>
        </w:tc>
        <w:tc>
          <w:tcPr>
            <w:tcW w:w="2268" w:type="dxa"/>
          </w:tcPr>
          <w:p w14:paraId="31A8BC1B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31451F71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477D54" w:rsidRPr="00DB32DF" w14:paraId="76A3516B" w14:textId="77777777" w:rsidTr="00DB32DF">
        <w:tc>
          <w:tcPr>
            <w:tcW w:w="4503" w:type="dxa"/>
          </w:tcPr>
          <w:p w14:paraId="36D392C8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Е Сума от показателите от 16 до 26</w:t>
            </w:r>
          </w:p>
        </w:tc>
        <w:tc>
          <w:tcPr>
            <w:tcW w:w="2268" w:type="dxa"/>
          </w:tcPr>
          <w:p w14:paraId="6DB2C291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14:paraId="7DDF328D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</w:tr>
      <w:tr w:rsidR="00477D54" w:rsidRPr="00DB32DF" w14:paraId="0EF6A52C" w14:textId="77777777" w:rsidTr="00DB32DF">
        <w:tc>
          <w:tcPr>
            <w:tcW w:w="4503" w:type="dxa"/>
          </w:tcPr>
          <w:p w14:paraId="72775BFF" w14:textId="77777777" w:rsidR="00477D54" w:rsidRPr="00DB32DF" w:rsidRDefault="00477D54" w:rsidP="009016F1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Общо</w:t>
            </w:r>
          </w:p>
        </w:tc>
        <w:tc>
          <w:tcPr>
            <w:tcW w:w="2268" w:type="dxa"/>
          </w:tcPr>
          <w:p w14:paraId="681135A7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600</w:t>
            </w:r>
          </w:p>
        </w:tc>
        <w:tc>
          <w:tcPr>
            <w:tcW w:w="2268" w:type="dxa"/>
          </w:tcPr>
          <w:p w14:paraId="774436C9" w14:textId="77777777" w:rsidR="00477D54" w:rsidRPr="00DB32DF" w:rsidRDefault="00477D54" w:rsidP="009016F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B32DF">
              <w:rPr>
                <w:rFonts w:ascii="Arial" w:eastAsia="Times New Roman" w:hAnsi="Arial" w:cs="Arial"/>
                <w:b/>
                <w:sz w:val="24"/>
                <w:szCs w:val="24"/>
              </w:rPr>
              <w:t>741.66</w:t>
            </w:r>
          </w:p>
        </w:tc>
      </w:tr>
    </w:tbl>
    <w:p w14:paraId="3B6D6CF8" w14:textId="77777777" w:rsidR="0084563F" w:rsidRDefault="0084563F" w:rsidP="0084563F">
      <w:pPr>
        <w:pStyle w:val="Default"/>
        <w:spacing w:line="276" w:lineRule="auto"/>
        <w:ind w:firstLine="360"/>
        <w:jc w:val="both"/>
      </w:pPr>
    </w:p>
    <w:p w14:paraId="6FFA476C" w14:textId="4D96D5F2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Както се вижда и от таблицата, </w:t>
      </w:r>
      <w:r w:rsidR="00477D54" w:rsidRPr="00DB32DF">
        <w:rPr>
          <w:sz w:val="26"/>
          <w:szCs w:val="26"/>
        </w:rPr>
        <w:t>доц</w:t>
      </w:r>
      <w:r w:rsidRPr="00DB32DF">
        <w:rPr>
          <w:sz w:val="26"/>
          <w:szCs w:val="26"/>
        </w:rPr>
        <w:t xml:space="preserve">. д-р инж. </w:t>
      </w:r>
      <w:r w:rsidR="00477D54" w:rsidRPr="00DB32DF">
        <w:rPr>
          <w:sz w:val="26"/>
          <w:szCs w:val="26"/>
        </w:rPr>
        <w:t>Мартин Бояджиев</w:t>
      </w:r>
      <w:r w:rsidRPr="00DB32DF">
        <w:rPr>
          <w:sz w:val="26"/>
          <w:szCs w:val="26"/>
        </w:rPr>
        <w:t xml:space="preserve"> надвишава минималните национални изисквания.</w:t>
      </w:r>
    </w:p>
    <w:p w14:paraId="6F92F890" w14:textId="77777777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</w:p>
    <w:p w14:paraId="74568FBD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Бележки и препоръки</w:t>
      </w:r>
    </w:p>
    <w:p w14:paraId="37D5475D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b/>
          <w:bCs/>
          <w:sz w:val="26"/>
          <w:szCs w:val="26"/>
        </w:rPr>
      </w:pPr>
    </w:p>
    <w:p w14:paraId="0C1F7E73" w14:textId="6A7D8BE0" w:rsidR="0084563F" w:rsidRPr="00DB32DF" w:rsidRDefault="00C91E57" w:rsidP="0084563F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r w:rsidRPr="00DB32DF">
        <w:rPr>
          <w:rFonts w:ascii="Arial" w:hAnsi="Arial" w:cs="Arial"/>
          <w:color w:val="000000"/>
          <w:kern w:val="0"/>
          <w:sz w:val="26"/>
          <w:szCs w:val="26"/>
        </w:rPr>
        <w:t>Нямам к</w:t>
      </w:r>
      <w:r w:rsidR="0084563F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ритични бележки </w:t>
      </w:r>
      <w:r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по отношение </w:t>
      </w:r>
      <w:r w:rsidR="00BA74AE">
        <w:rPr>
          <w:rFonts w:ascii="Arial" w:hAnsi="Arial" w:cs="Arial"/>
          <w:color w:val="000000"/>
          <w:kern w:val="0"/>
          <w:sz w:val="26"/>
          <w:szCs w:val="26"/>
        </w:rPr>
        <w:t>ор</w:t>
      </w:r>
      <w:r w:rsidR="003472BC">
        <w:rPr>
          <w:rFonts w:ascii="Arial" w:hAnsi="Arial" w:cs="Arial"/>
          <w:color w:val="000000"/>
          <w:kern w:val="0"/>
          <w:sz w:val="26"/>
          <w:szCs w:val="26"/>
        </w:rPr>
        <w:t>и</w:t>
      </w:r>
      <w:r w:rsidR="00BA74AE">
        <w:rPr>
          <w:rFonts w:ascii="Arial" w:hAnsi="Arial" w:cs="Arial"/>
          <w:color w:val="000000"/>
          <w:kern w:val="0"/>
          <w:sz w:val="26"/>
          <w:szCs w:val="26"/>
        </w:rPr>
        <w:t xml:space="preserve">гиналността, </w:t>
      </w:r>
      <w:r w:rsidR="001D22EA" w:rsidRPr="00DB32DF">
        <w:rPr>
          <w:rFonts w:ascii="Arial" w:hAnsi="Arial" w:cs="Arial"/>
          <w:color w:val="000000"/>
          <w:kern w:val="0"/>
          <w:sz w:val="26"/>
          <w:szCs w:val="26"/>
        </w:rPr>
        <w:t>съдържанието и количеството на</w:t>
      </w:r>
      <w:r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 научна и научно-приложна продукция на кандидата</w:t>
      </w:r>
      <w:r w:rsidR="0084563F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. Трудовете, </w:t>
      </w:r>
      <w:r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с които доц. Бояджиев </w:t>
      </w:r>
      <w:r w:rsidR="0084563F" w:rsidRPr="00DB32DF">
        <w:rPr>
          <w:rFonts w:ascii="Arial" w:hAnsi="Arial" w:cs="Arial"/>
          <w:color w:val="000000"/>
          <w:kern w:val="0"/>
          <w:sz w:val="26"/>
          <w:szCs w:val="26"/>
        </w:rPr>
        <w:t>участ</w:t>
      </w:r>
      <w:r w:rsidRPr="00DB32DF">
        <w:rPr>
          <w:rFonts w:ascii="Arial" w:hAnsi="Arial" w:cs="Arial"/>
          <w:color w:val="000000"/>
          <w:kern w:val="0"/>
          <w:sz w:val="26"/>
          <w:szCs w:val="26"/>
        </w:rPr>
        <w:t>ва</w:t>
      </w:r>
      <w:r w:rsidR="0084563F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 в конкурса, са разработени съвестно и акуратно. </w:t>
      </w:r>
      <w:r w:rsidR="001D22EA" w:rsidRPr="00DB32DF">
        <w:rPr>
          <w:rFonts w:ascii="Arial" w:hAnsi="Arial" w:cs="Arial"/>
          <w:color w:val="000000"/>
          <w:kern w:val="0"/>
          <w:sz w:val="26"/>
          <w:szCs w:val="26"/>
        </w:rPr>
        <w:t>По отношение на техническото оформяне на отделните критериални групи</w:t>
      </w:r>
      <w:r w:rsidR="009D29B3">
        <w:rPr>
          <w:rFonts w:ascii="Arial" w:hAnsi="Arial" w:cs="Arial"/>
          <w:color w:val="000000"/>
          <w:kern w:val="0"/>
          <w:sz w:val="26"/>
          <w:szCs w:val="26"/>
        </w:rPr>
        <w:t xml:space="preserve">, представени в </w:t>
      </w:r>
      <w:r w:rsidR="00D84421">
        <w:rPr>
          <w:rFonts w:ascii="Arial" w:hAnsi="Arial" w:cs="Arial"/>
          <w:color w:val="000000"/>
          <w:kern w:val="0"/>
          <w:sz w:val="26"/>
          <w:szCs w:val="26"/>
        </w:rPr>
        <w:t>документацията,</w:t>
      </w:r>
      <w:r w:rsidR="002F4018">
        <w:rPr>
          <w:rFonts w:ascii="Arial" w:hAnsi="Arial" w:cs="Arial"/>
          <w:color w:val="000000"/>
          <w:kern w:val="0"/>
          <w:sz w:val="26"/>
          <w:szCs w:val="26"/>
        </w:rPr>
        <w:t xml:space="preserve"> са забелязани някои неточности и</w:t>
      </w:r>
      <w:r w:rsidR="001D22EA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 повторения. Така например няколко от представените статии са отбелязани с една и съща година/том на </w:t>
      </w:r>
      <w:r w:rsidR="00BE0824" w:rsidRPr="00DB32DF">
        <w:rPr>
          <w:rFonts w:ascii="Arial" w:hAnsi="Arial" w:cs="Arial"/>
          <w:color w:val="000000"/>
          <w:kern w:val="0"/>
          <w:sz w:val="26"/>
          <w:szCs w:val="26"/>
        </w:rPr>
        <w:t>отпечатване</w:t>
      </w:r>
      <w:r w:rsidR="001D22EA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 на научното издание (Г16, Г17, Г18 и др.), което затруднява проследяването им в източника.</w:t>
      </w:r>
      <w:r w:rsidR="001B495A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 Публикация под номер Г16 се повтаря с публикация под номер Г19 с различен авторски състав.</w:t>
      </w:r>
      <w:r w:rsidR="00856531"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="00856531" w:rsidRPr="00DB32DF">
        <w:rPr>
          <w:rFonts w:ascii="Arial" w:hAnsi="Arial" w:cs="Arial"/>
          <w:color w:val="000000"/>
          <w:kern w:val="0"/>
          <w:sz w:val="26"/>
          <w:szCs w:val="26"/>
        </w:rPr>
        <w:lastRenderedPageBreak/>
        <w:t xml:space="preserve">Тези неточности не променят общото </w:t>
      </w:r>
      <w:r w:rsidR="00D274A5">
        <w:rPr>
          <w:rFonts w:ascii="Arial" w:hAnsi="Arial" w:cs="Arial"/>
          <w:color w:val="000000"/>
          <w:kern w:val="0"/>
          <w:sz w:val="26"/>
          <w:szCs w:val="26"/>
        </w:rPr>
        <w:t xml:space="preserve">положително </w:t>
      </w:r>
      <w:r w:rsidR="00856531" w:rsidRPr="00DB32DF">
        <w:rPr>
          <w:rFonts w:ascii="Arial" w:hAnsi="Arial" w:cs="Arial"/>
          <w:color w:val="000000"/>
          <w:kern w:val="0"/>
          <w:sz w:val="26"/>
          <w:szCs w:val="26"/>
        </w:rPr>
        <w:t>впечатление за натрупания богат опит и полезни знания на кандидата.</w:t>
      </w:r>
    </w:p>
    <w:p w14:paraId="2F42B614" w14:textId="20509301" w:rsidR="0084563F" w:rsidRPr="00DB32DF" w:rsidRDefault="0084563F" w:rsidP="0084563F">
      <w:pPr>
        <w:pStyle w:val="Default"/>
        <w:spacing w:line="276" w:lineRule="auto"/>
        <w:ind w:firstLine="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     Препоръчвам на автора </w:t>
      </w:r>
      <w:r w:rsidR="00F84F3A" w:rsidRPr="00DB32DF">
        <w:rPr>
          <w:sz w:val="26"/>
          <w:szCs w:val="26"/>
        </w:rPr>
        <w:t xml:space="preserve">да продължи </w:t>
      </w:r>
      <w:r w:rsidRPr="00DB32DF">
        <w:rPr>
          <w:sz w:val="26"/>
          <w:szCs w:val="26"/>
        </w:rPr>
        <w:t>изготвяне</w:t>
      </w:r>
      <w:r w:rsidR="00F84F3A" w:rsidRPr="00DB32DF">
        <w:rPr>
          <w:sz w:val="26"/>
          <w:szCs w:val="26"/>
        </w:rPr>
        <w:t>то</w:t>
      </w:r>
      <w:r w:rsidRPr="00DB32DF">
        <w:rPr>
          <w:sz w:val="26"/>
          <w:szCs w:val="26"/>
        </w:rPr>
        <w:t xml:space="preserve"> </w:t>
      </w:r>
      <w:r w:rsidR="00F84F3A" w:rsidRPr="00DB32DF">
        <w:rPr>
          <w:sz w:val="26"/>
          <w:szCs w:val="26"/>
        </w:rPr>
        <w:t xml:space="preserve">на публикации </w:t>
      </w:r>
      <w:r w:rsidRPr="00DB32DF">
        <w:rPr>
          <w:sz w:val="26"/>
          <w:szCs w:val="26"/>
        </w:rPr>
        <w:t>и участи</w:t>
      </w:r>
      <w:r w:rsidR="00F84F3A" w:rsidRPr="00DB32DF">
        <w:rPr>
          <w:sz w:val="26"/>
          <w:szCs w:val="26"/>
        </w:rPr>
        <w:t>ето си в чуждестранни издания с</w:t>
      </w:r>
      <w:r w:rsidRPr="00DB32DF">
        <w:rPr>
          <w:sz w:val="26"/>
          <w:szCs w:val="26"/>
        </w:rPr>
        <w:t xml:space="preserve"> научно изследователски и научно прилож</w:t>
      </w:r>
      <w:r w:rsidR="00F84F3A" w:rsidRPr="00DB32DF">
        <w:rPr>
          <w:sz w:val="26"/>
          <w:szCs w:val="26"/>
        </w:rPr>
        <w:t>ен</w:t>
      </w:r>
      <w:r w:rsidRPr="00DB32DF">
        <w:rPr>
          <w:sz w:val="26"/>
          <w:szCs w:val="26"/>
        </w:rPr>
        <w:t xml:space="preserve"> </w:t>
      </w:r>
      <w:r w:rsidR="00F84F3A" w:rsidRPr="00DB32DF">
        <w:rPr>
          <w:sz w:val="26"/>
          <w:szCs w:val="26"/>
        </w:rPr>
        <w:t>характер</w:t>
      </w:r>
      <w:r w:rsidR="0016060C" w:rsidRPr="00DB32DF">
        <w:rPr>
          <w:sz w:val="26"/>
          <w:szCs w:val="26"/>
        </w:rPr>
        <w:t>,</w:t>
      </w:r>
      <w:r w:rsidRPr="00DB32DF">
        <w:rPr>
          <w:sz w:val="26"/>
          <w:szCs w:val="26"/>
        </w:rPr>
        <w:t xml:space="preserve"> с научно рецензиране</w:t>
      </w:r>
      <w:r w:rsidR="00F84F3A" w:rsidRPr="00DB32DF">
        <w:rPr>
          <w:sz w:val="26"/>
          <w:szCs w:val="26"/>
        </w:rPr>
        <w:t>, предвид важността и значението на професионалните и научните му интереси</w:t>
      </w:r>
      <w:r w:rsidRPr="00DB32DF">
        <w:rPr>
          <w:sz w:val="26"/>
          <w:szCs w:val="26"/>
        </w:rPr>
        <w:t>.</w:t>
      </w:r>
    </w:p>
    <w:p w14:paraId="2D4FEEDD" w14:textId="77777777" w:rsidR="0084563F" w:rsidRPr="00DB32DF" w:rsidRDefault="0084563F" w:rsidP="0084563F">
      <w:pPr>
        <w:pStyle w:val="Default"/>
        <w:spacing w:line="276" w:lineRule="auto"/>
        <w:ind w:left="360"/>
        <w:jc w:val="both"/>
        <w:rPr>
          <w:b/>
          <w:bCs/>
          <w:sz w:val="26"/>
          <w:szCs w:val="26"/>
        </w:rPr>
      </w:pPr>
    </w:p>
    <w:p w14:paraId="6E8B66B4" w14:textId="77777777" w:rsidR="0084563F" w:rsidRPr="00DB32DF" w:rsidRDefault="0084563F" w:rsidP="0084563F">
      <w:pPr>
        <w:pStyle w:val="Default"/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Лични впечатления за кандидата</w:t>
      </w:r>
    </w:p>
    <w:p w14:paraId="74F00019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b/>
          <w:bCs/>
          <w:sz w:val="26"/>
          <w:szCs w:val="26"/>
        </w:rPr>
      </w:pPr>
    </w:p>
    <w:p w14:paraId="3640B0E6" w14:textId="5C33312C" w:rsidR="0084563F" w:rsidRPr="00DB32DF" w:rsidRDefault="0084563F" w:rsidP="0084563F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Познавам </w:t>
      </w:r>
      <w:r w:rsidR="006F642A" w:rsidRPr="00DB32DF">
        <w:rPr>
          <w:sz w:val="26"/>
          <w:szCs w:val="26"/>
        </w:rPr>
        <w:t>доц</w:t>
      </w:r>
      <w:r w:rsidRPr="00DB32DF">
        <w:rPr>
          <w:sz w:val="26"/>
          <w:szCs w:val="26"/>
        </w:rPr>
        <w:t xml:space="preserve">. д-р инж. </w:t>
      </w:r>
      <w:r w:rsidR="006F642A" w:rsidRPr="00DB32DF">
        <w:rPr>
          <w:sz w:val="26"/>
          <w:szCs w:val="26"/>
        </w:rPr>
        <w:t>Мартин Минков Бояджиев</w:t>
      </w:r>
      <w:r w:rsidRPr="00DB32DF">
        <w:rPr>
          <w:sz w:val="26"/>
          <w:szCs w:val="26"/>
        </w:rPr>
        <w:t xml:space="preserve"> като трудолюбив, амбициозен, високо ерудиран и уважаван от колегите и студентите преподавател и специалист. Професионалната му подготовка е съчетана с трайни научни интереси и задълбочени знания в областта, в която работи. Поддържа етични и колегиални взаимоотношения с преподаватели и изследователи у нас и в чужбина.</w:t>
      </w:r>
    </w:p>
    <w:p w14:paraId="68776164" w14:textId="77777777" w:rsidR="0084563F" w:rsidRPr="00DB32DF" w:rsidRDefault="0084563F" w:rsidP="006F642A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</w:p>
    <w:p w14:paraId="46E024B3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b/>
          <w:bCs/>
          <w:sz w:val="26"/>
          <w:szCs w:val="26"/>
        </w:rPr>
      </w:pPr>
    </w:p>
    <w:p w14:paraId="1FECCC08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>ЗАКЛЮЧЕНИЕ</w:t>
      </w:r>
    </w:p>
    <w:p w14:paraId="5A5C230D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sz w:val="26"/>
          <w:szCs w:val="26"/>
        </w:rPr>
      </w:pPr>
    </w:p>
    <w:p w14:paraId="1BB982E4" w14:textId="0327CE1B" w:rsidR="0084563F" w:rsidRPr="00DB32DF" w:rsidRDefault="0084563F" w:rsidP="0084563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Прегледът на документите, публикациите, монографията и научноизследователската дейност на </w:t>
      </w:r>
      <w:r w:rsidR="0016060C" w:rsidRPr="00DB32DF">
        <w:rPr>
          <w:sz w:val="26"/>
          <w:szCs w:val="26"/>
        </w:rPr>
        <w:t>доц</w:t>
      </w:r>
      <w:r w:rsidRPr="00DB32DF">
        <w:rPr>
          <w:sz w:val="26"/>
          <w:szCs w:val="26"/>
        </w:rPr>
        <w:t>.</w:t>
      </w:r>
      <w:r w:rsidR="0016060C" w:rsidRPr="00DB32DF">
        <w:rPr>
          <w:sz w:val="26"/>
          <w:szCs w:val="26"/>
        </w:rPr>
        <w:t xml:space="preserve"> </w:t>
      </w:r>
      <w:r w:rsidRPr="00DB32DF">
        <w:rPr>
          <w:sz w:val="26"/>
          <w:szCs w:val="26"/>
        </w:rPr>
        <w:t xml:space="preserve">д-р </w:t>
      </w:r>
      <w:r w:rsidR="0016060C" w:rsidRPr="00DB32DF">
        <w:rPr>
          <w:sz w:val="26"/>
          <w:szCs w:val="26"/>
        </w:rPr>
        <w:t>Бояджиев</w:t>
      </w:r>
      <w:r w:rsidRPr="00DB32DF">
        <w:rPr>
          <w:sz w:val="26"/>
          <w:szCs w:val="26"/>
        </w:rPr>
        <w:t xml:space="preserve"> ми дава основание да дам своята положителна оценка за научната и професионална дейност на кандидата. </w:t>
      </w:r>
    </w:p>
    <w:p w14:paraId="36DF1E26" w14:textId="77777777" w:rsidR="0084563F" w:rsidRPr="00DB32DF" w:rsidRDefault="0084563F" w:rsidP="0084563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r w:rsidRPr="00DB32DF">
        <w:rPr>
          <w:rFonts w:ascii="Arial" w:hAnsi="Arial" w:cs="Arial"/>
          <w:color w:val="000000"/>
          <w:kern w:val="0"/>
          <w:sz w:val="26"/>
          <w:szCs w:val="26"/>
        </w:rPr>
        <w:t xml:space="preserve">Предоставената документация и научна продукция отговарят на изискванията на Закона за развитие на академичния състав в Република България и Правилника за неговото приложение. </w:t>
      </w:r>
    </w:p>
    <w:p w14:paraId="28946FEC" w14:textId="77777777" w:rsidR="0084563F" w:rsidRPr="00DB32DF" w:rsidRDefault="0084563F" w:rsidP="0084563F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14:paraId="61967B96" w14:textId="2F282D74" w:rsidR="0084563F" w:rsidRPr="00DB32DF" w:rsidRDefault="0084563F" w:rsidP="0084563F">
      <w:pPr>
        <w:pStyle w:val="Default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DB32DF">
        <w:rPr>
          <w:b/>
          <w:bCs/>
          <w:sz w:val="26"/>
          <w:szCs w:val="26"/>
        </w:rPr>
        <w:t xml:space="preserve">В тази връзка убедено препоръчвам на Уважаемото Научно жури по конкурса да предложи на Научния съвет на Геологопроучвателния факултет на МГУ „Св. Ив. Рилски“ избор на </w:t>
      </w:r>
      <w:r w:rsidR="0016060C" w:rsidRPr="00DB32DF">
        <w:rPr>
          <w:b/>
          <w:bCs/>
          <w:sz w:val="26"/>
          <w:szCs w:val="26"/>
        </w:rPr>
        <w:t>доц</w:t>
      </w:r>
      <w:r w:rsidRPr="00DB32DF">
        <w:rPr>
          <w:b/>
          <w:bCs/>
          <w:sz w:val="26"/>
          <w:szCs w:val="26"/>
        </w:rPr>
        <w:t xml:space="preserve">. д-р инж. </w:t>
      </w:r>
      <w:r w:rsidR="0016060C" w:rsidRPr="00DB32DF">
        <w:rPr>
          <w:b/>
          <w:bCs/>
          <w:sz w:val="26"/>
          <w:szCs w:val="26"/>
        </w:rPr>
        <w:t>Мартин Минков Бояджиев</w:t>
      </w:r>
      <w:r w:rsidRPr="00DB32DF">
        <w:rPr>
          <w:b/>
          <w:bCs/>
          <w:sz w:val="26"/>
          <w:szCs w:val="26"/>
        </w:rPr>
        <w:t xml:space="preserve"> за академична длъжност „</w:t>
      </w:r>
      <w:r w:rsidR="0016060C" w:rsidRPr="00DB32DF">
        <w:rPr>
          <w:b/>
          <w:bCs/>
          <w:sz w:val="26"/>
          <w:szCs w:val="26"/>
        </w:rPr>
        <w:t>ПРОФЕСОР</w:t>
      </w:r>
      <w:r w:rsidRPr="00DB32DF">
        <w:rPr>
          <w:b/>
          <w:bCs/>
          <w:sz w:val="26"/>
          <w:szCs w:val="26"/>
        </w:rPr>
        <w:t>“ по пр. направление 5.8 „Проучване, добив и обработка на полезни изкопаеми“, научна специалност: „</w:t>
      </w:r>
      <w:r w:rsidR="0016060C" w:rsidRPr="00DB32DF">
        <w:rPr>
          <w:b/>
          <w:sz w:val="26"/>
          <w:szCs w:val="26"/>
        </w:rPr>
        <w:t>Транспорт и съхранение на нефт, газ и твърди минерални продукти</w:t>
      </w:r>
      <w:r w:rsidRPr="00DB32DF">
        <w:rPr>
          <w:b/>
          <w:bCs/>
          <w:sz w:val="26"/>
          <w:szCs w:val="26"/>
        </w:rPr>
        <w:t>“, обявен от Минно-геоложки университет „Св. Иван Рилски“ – София.</w:t>
      </w:r>
    </w:p>
    <w:p w14:paraId="35002729" w14:textId="77777777" w:rsidR="0084563F" w:rsidRPr="00DB32DF" w:rsidRDefault="0084563F" w:rsidP="00DB32DF">
      <w:pPr>
        <w:pStyle w:val="Default"/>
        <w:spacing w:line="276" w:lineRule="auto"/>
        <w:jc w:val="both"/>
        <w:rPr>
          <w:sz w:val="26"/>
          <w:szCs w:val="26"/>
        </w:rPr>
      </w:pPr>
    </w:p>
    <w:p w14:paraId="61EB1FEB" w14:textId="77777777" w:rsidR="0084563F" w:rsidRPr="00DB32DF" w:rsidRDefault="0084563F" w:rsidP="0084563F">
      <w:pPr>
        <w:pStyle w:val="Default"/>
        <w:spacing w:line="276" w:lineRule="auto"/>
        <w:ind w:left="720"/>
        <w:jc w:val="both"/>
        <w:rPr>
          <w:sz w:val="26"/>
          <w:szCs w:val="26"/>
        </w:rPr>
      </w:pPr>
    </w:p>
    <w:p w14:paraId="143453EA" w14:textId="71D17764" w:rsidR="0084563F" w:rsidRPr="00DB32DF" w:rsidRDefault="0016060C" w:rsidP="0084563F">
      <w:pPr>
        <w:pStyle w:val="Default"/>
        <w:spacing w:line="276" w:lineRule="auto"/>
        <w:jc w:val="both"/>
        <w:rPr>
          <w:sz w:val="26"/>
          <w:szCs w:val="26"/>
        </w:rPr>
      </w:pPr>
      <w:r w:rsidRPr="00DB32DF">
        <w:rPr>
          <w:sz w:val="26"/>
          <w:szCs w:val="26"/>
        </w:rPr>
        <w:t xml:space="preserve">София, </w:t>
      </w:r>
      <w:r w:rsidR="00C15390">
        <w:rPr>
          <w:sz w:val="26"/>
          <w:szCs w:val="26"/>
        </w:rPr>
        <w:t>17</w:t>
      </w:r>
      <w:r w:rsidRPr="00DB32DF">
        <w:rPr>
          <w:sz w:val="26"/>
          <w:szCs w:val="26"/>
        </w:rPr>
        <w:t>.12. 2025</w:t>
      </w:r>
      <w:r w:rsidR="0084563F" w:rsidRPr="00DB32DF">
        <w:rPr>
          <w:sz w:val="26"/>
          <w:szCs w:val="26"/>
        </w:rPr>
        <w:t xml:space="preserve"> г. </w:t>
      </w:r>
    </w:p>
    <w:p w14:paraId="3683EDCF" w14:textId="77777777" w:rsidR="0084563F" w:rsidRPr="00DB32DF" w:rsidRDefault="0084563F" w:rsidP="0084563F">
      <w:pPr>
        <w:pStyle w:val="Default"/>
        <w:spacing w:line="276" w:lineRule="auto"/>
        <w:ind w:left="720"/>
        <w:jc w:val="right"/>
        <w:rPr>
          <w:sz w:val="26"/>
          <w:szCs w:val="26"/>
        </w:rPr>
      </w:pPr>
      <w:r w:rsidRPr="00DB32DF">
        <w:rPr>
          <w:sz w:val="26"/>
          <w:szCs w:val="26"/>
        </w:rPr>
        <w:t xml:space="preserve">                            Изготвил рецензия: </w:t>
      </w:r>
    </w:p>
    <w:p w14:paraId="0F4D7DA1" w14:textId="7892BDF7" w:rsidR="004D3460" w:rsidRPr="00DB32DF" w:rsidRDefault="0084563F" w:rsidP="00437ECE">
      <w:pPr>
        <w:pStyle w:val="Default"/>
        <w:spacing w:line="276" w:lineRule="auto"/>
        <w:ind w:left="720"/>
        <w:jc w:val="right"/>
        <w:rPr>
          <w:sz w:val="26"/>
          <w:szCs w:val="26"/>
        </w:rPr>
      </w:pPr>
      <w:r w:rsidRPr="00DB32DF">
        <w:rPr>
          <w:sz w:val="26"/>
          <w:szCs w:val="26"/>
        </w:rPr>
        <w:t>(проф.д-р Е</w:t>
      </w:r>
      <w:r w:rsidRPr="00DB32DF">
        <w:rPr>
          <w:sz w:val="26"/>
          <w:szCs w:val="26"/>
          <w:lang w:val="en-US"/>
        </w:rPr>
        <w:t>.</w:t>
      </w:r>
      <w:r w:rsidRPr="00DB32DF">
        <w:rPr>
          <w:sz w:val="26"/>
          <w:szCs w:val="26"/>
        </w:rPr>
        <w:t xml:space="preserve"> Занева-Добранова)</w:t>
      </w:r>
    </w:p>
    <w:sectPr w:rsidR="004D3460" w:rsidRPr="00DB3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99FC" w14:textId="77777777" w:rsidR="00C45660" w:rsidRDefault="00C45660" w:rsidP="004C443C">
      <w:pPr>
        <w:spacing w:after="0" w:line="240" w:lineRule="auto"/>
      </w:pPr>
      <w:r>
        <w:separator/>
      </w:r>
    </w:p>
  </w:endnote>
  <w:endnote w:type="continuationSeparator" w:id="0">
    <w:p w14:paraId="37EFAE59" w14:textId="77777777" w:rsidR="00C45660" w:rsidRDefault="00C45660" w:rsidP="004C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4535" w14:textId="77777777" w:rsidR="004C443C" w:rsidRDefault="004C4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76080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B81E374" w14:textId="652519C2" w:rsidR="00751CDD" w:rsidRDefault="00751CD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C8D5DF" w14:textId="77777777" w:rsidR="004C443C" w:rsidRDefault="004C4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ACAF" w14:textId="77777777" w:rsidR="004C443C" w:rsidRDefault="004C4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567C" w14:textId="77777777" w:rsidR="00C45660" w:rsidRDefault="00C45660" w:rsidP="004C443C">
      <w:pPr>
        <w:spacing w:after="0" w:line="240" w:lineRule="auto"/>
      </w:pPr>
      <w:r>
        <w:separator/>
      </w:r>
    </w:p>
  </w:footnote>
  <w:footnote w:type="continuationSeparator" w:id="0">
    <w:p w14:paraId="02435780" w14:textId="77777777" w:rsidR="00C45660" w:rsidRDefault="00C45660" w:rsidP="004C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0A5B" w14:textId="77777777" w:rsidR="004C443C" w:rsidRDefault="004C4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5589C" w14:textId="77777777" w:rsidR="004C443C" w:rsidRDefault="004C4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8F4" w14:textId="77777777" w:rsidR="004C443C" w:rsidRDefault="004C4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102"/>
    <w:multiLevelType w:val="hybridMultilevel"/>
    <w:tmpl w:val="1F5687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B7F96"/>
    <w:multiLevelType w:val="hybridMultilevel"/>
    <w:tmpl w:val="0624E6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2721">
    <w:abstractNumId w:val="1"/>
  </w:num>
  <w:num w:numId="2" w16cid:durableId="28882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460"/>
    <w:rsid w:val="000212AE"/>
    <w:rsid w:val="000911CA"/>
    <w:rsid w:val="000A4CC6"/>
    <w:rsid w:val="000B2790"/>
    <w:rsid w:val="00110F8C"/>
    <w:rsid w:val="00157DC2"/>
    <w:rsid w:val="0016060C"/>
    <w:rsid w:val="001679EF"/>
    <w:rsid w:val="001B495A"/>
    <w:rsid w:val="001D22EA"/>
    <w:rsid w:val="0027741B"/>
    <w:rsid w:val="002F1928"/>
    <w:rsid w:val="002F4018"/>
    <w:rsid w:val="003472BC"/>
    <w:rsid w:val="00384EC1"/>
    <w:rsid w:val="003A73B7"/>
    <w:rsid w:val="00437ECE"/>
    <w:rsid w:val="00477D54"/>
    <w:rsid w:val="00481B58"/>
    <w:rsid w:val="00483B49"/>
    <w:rsid w:val="00497148"/>
    <w:rsid w:val="004A0564"/>
    <w:rsid w:val="004C443C"/>
    <w:rsid w:val="004D3460"/>
    <w:rsid w:val="00572D7C"/>
    <w:rsid w:val="005759CB"/>
    <w:rsid w:val="005A44D3"/>
    <w:rsid w:val="005E211E"/>
    <w:rsid w:val="005E5B06"/>
    <w:rsid w:val="00613F72"/>
    <w:rsid w:val="00636C28"/>
    <w:rsid w:val="00641B17"/>
    <w:rsid w:val="00687ECD"/>
    <w:rsid w:val="006F642A"/>
    <w:rsid w:val="0073089F"/>
    <w:rsid w:val="0073602E"/>
    <w:rsid w:val="007366E8"/>
    <w:rsid w:val="00751CDD"/>
    <w:rsid w:val="00760D47"/>
    <w:rsid w:val="00797FFA"/>
    <w:rsid w:val="007E6085"/>
    <w:rsid w:val="00821566"/>
    <w:rsid w:val="00837055"/>
    <w:rsid w:val="0084563F"/>
    <w:rsid w:val="00845C3C"/>
    <w:rsid w:val="00856531"/>
    <w:rsid w:val="008F4106"/>
    <w:rsid w:val="009229A9"/>
    <w:rsid w:val="00925B2D"/>
    <w:rsid w:val="009B5CE7"/>
    <w:rsid w:val="009D29B3"/>
    <w:rsid w:val="009F1697"/>
    <w:rsid w:val="00A149DB"/>
    <w:rsid w:val="00B626CD"/>
    <w:rsid w:val="00B7301C"/>
    <w:rsid w:val="00BA74AE"/>
    <w:rsid w:val="00BE0824"/>
    <w:rsid w:val="00C15390"/>
    <w:rsid w:val="00C45660"/>
    <w:rsid w:val="00C91E57"/>
    <w:rsid w:val="00CD5EEE"/>
    <w:rsid w:val="00CF588F"/>
    <w:rsid w:val="00D120D1"/>
    <w:rsid w:val="00D274A5"/>
    <w:rsid w:val="00D31BB7"/>
    <w:rsid w:val="00D622C5"/>
    <w:rsid w:val="00D84421"/>
    <w:rsid w:val="00DB32DF"/>
    <w:rsid w:val="00E56704"/>
    <w:rsid w:val="00EA55A5"/>
    <w:rsid w:val="00F8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219B"/>
  <w15:docId w15:val="{70095348-3B45-450F-B1CE-30308C54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3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5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4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43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4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D972-FE83-463F-82B0-9BC8E826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Efrosima Zaneva</dc:creator>
  <cp:keywords/>
  <dc:description/>
  <cp:lastModifiedBy>Efrosima Zaneva</cp:lastModifiedBy>
  <cp:revision>67</cp:revision>
  <dcterms:created xsi:type="dcterms:W3CDTF">2025-11-17T12:40:00Z</dcterms:created>
  <dcterms:modified xsi:type="dcterms:W3CDTF">2025-12-18T09:17:00Z</dcterms:modified>
</cp:coreProperties>
</file>