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840F" w14:textId="77777777" w:rsidR="00260EC7" w:rsidRPr="007C296C" w:rsidRDefault="00260EC7" w:rsidP="006F768C">
      <w:pPr>
        <w:jc w:val="center"/>
        <w:rPr>
          <w:b/>
          <w:caps/>
          <w:sz w:val="32"/>
          <w:szCs w:val="32"/>
        </w:rPr>
      </w:pPr>
      <w:r w:rsidRPr="007C296C">
        <w:rPr>
          <w:b/>
          <w:caps/>
          <w:sz w:val="32"/>
          <w:szCs w:val="32"/>
        </w:rPr>
        <w:t>Становище</w:t>
      </w:r>
    </w:p>
    <w:p w14:paraId="0376EF8C" w14:textId="77777777" w:rsidR="006B3E94" w:rsidRPr="007C296C" w:rsidRDefault="006B3E94" w:rsidP="006F768C">
      <w:pPr>
        <w:jc w:val="center"/>
        <w:rPr>
          <w:sz w:val="26"/>
          <w:szCs w:val="26"/>
        </w:rPr>
      </w:pPr>
      <w:r w:rsidRPr="007C296C">
        <w:rPr>
          <w:sz w:val="26"/>
          <w:szCs w:val="26"/>
        </w:rPr>
        <w:t>от</w:t>
      </w:r>
    </w:p>
    <w:p w14:paraId="3D837727" w14:textId="7D7EA879" w:rsidR="0022736E" w:rsidRPr="007C296C" w:rsidRDefault="00E838D9" w:rsidP="00115E02">
      <w:pPr>
        <w:spacing w:line="276" w:lineRule="auto"/>
        <w:jc w:val="center"/>
        <w:rPr>
          <w:sz w:val="26"/>
          <w:szCs w:val="26"/>
          <w:lang w:val="en-US"/>
        </w:rPr>
      </w:pPr>
      <w:r w:rsidRPr="007C296C">
        <w:rPr>
          <w:sz w:val="26"/>
          <w:szCs w:val="26"/>
        </w:rPr>
        <w:t>доц</w:t>
      </w:r>
      <w:r w:rsidR="006B3E94" w:rsidRPr="007C296C">
        <w:rPr>
          <w:sz w:val="26"/>
          <w:szCs w:val="26"/>
        </w:rPr>
        <w:t xml:space="preserve">. д-р </w:t>
      </w:r>
      <w:r w:rsidRPr="007C296C">
        <w:rPr>
          <w:sz w:val="26"/>
          <w:szCs w:val="26"/>
        </w:rPr>
        <w:t xml:space="preserve">Анатолий </w:t>
      </w:r>
      <w:r w:rsidR="00115E02" w:rsidRPr="007C296C">
        <w:rPr>
          <w:sz w:val="26"/>
          <w:szCs w:val="26"/>
        </w:rPr>
        <w:t xml:space="preserve">Цанков </w:t>
      </w:r>
      <w:r w:rsidRPr="007C296C">
        <w:rPr>
          <w:sz w:val="26"/>
          <w:szCs w:val="26"/>
        </w:rPr>
        <w:t>Ангелов</w:t>
      </w:r>
    </w:p>
    <w:p w14:paraId="7F1236AB" w14:textId="77777777" w:rsidR="00115E02" w:rsidRPr="007C296C" w:rsidRDefault="00115E02" w:rsidP="00115E02">
      <w:pPr>
        <w:spacing w:line="276" w:lineRule="auto"/>
        <w:jc w:val="center"/>
        <w:rPr>
          <w:sz w:val="28"/>
          <w:szCs w:val="28"/>
          <w:lang w:val="en-US"/>
        </w:rPr>
      </w:pPr>
    </w:p>
    <w:p w14:paraId="6D3E492F" w14:textId="77777777" w:rsidR="00115E02" w:rsidRPr="007C296C" w:rsidRDefault="00115E02" w:rsidP="00115E02">
      <w:pPr>
        <w:widowControl w:val="0"/>
        <w:autoSpaceDE w:val="0"/>
        <w:autoSpaceDN w:val="0"/>
        <w:ind w:left="118" w:right="101"/>
        <w:jc w:val="both"/>
        <w:rPr>
          <w:rFonts w:eastAsia="Times New Roman"/>
          <w:b/>
          <w:i/>
          <w:szCs w:val="22"/>
          <w:lang w:val="en-US" w:eastAsia="en-US"/>
        </w:rPr>
      </w:pP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Относно</w:t>
      </w:r>
      <w:proofErr w:type="spellEnd"/>
      <w:r w:rsidRPr="007C296C">
        <w:rPr>
          <w:rFonts w:eastAsia="Times New Roman"/>
          <w:b/>
          <w:i/>
          <w:szCs w:val="22"/>
          <w:lang w:val="en-US" w:eastAsia="en-US"/>
        </w:rPr>
        <w:t xml:space="preserve">: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конкурс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за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академична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длъжност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„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доцент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”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по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Професионално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направление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4.4. Науки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за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Земята,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научна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специалност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„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Системи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и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устройства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за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опазване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на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околната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proofErr w:type="gramStart"/>
      <w:r w:rsidRPr="007C296C">
        <w:rPr>
          <w:rFonts w:eastAsia="Times New Roman"/>
          <w:i/>
          <w:szCs w:val="22"/>
          <w:lang w:val="en-US" w:eastAsia="en-US"/>
        </w:rPr>
        <w:t>среда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>“</w:t>
      </w:r>
      <w:proofErr w:type="gramEnd"/>
      <w:r w:rsidRPr="007C296C">
        <w:rPr>
          <w:rFonts w:eastAsia="Times New Roman"/>
          <w:i/>
          <w:szCs w:val="22"/>
          <w:lang w:val="en-US" w:eastAsia="en-US"/>
        </w:rPr>
        <w:t xml:space="preserve">,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към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Катедра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“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Инженерна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proofErr w:type="gramStart"/>
      <w:r w:rsidRPr="007C296C">
        <w:rPr>
          <w:rFonts w:eastAsia="Times New Roman"/>
          <w:i/>
          <w:szCs w:val="22"/>
          <w:lang w:val="en-US" w:eastAsia="en-US"/>
        </w:rPr>
        <w:t>геоекология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“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при</w:t>
      </w:r>
      <w:proofErr w:type="spellEnd"/>
      <w:proofErr w:type="gram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Минно-геоложки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университет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“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Св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.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Иван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Рилски” с </w:t>
      </w:r>
      <w:proofErr w:type="spellStart"/>
      <w:r w:rsidRPr="007C296C">
        <w:rPr>
          <w:rFonts w:eastAsia="Times New Roman"/>
          <w:i/>
          <w:szCs w:val="22"/>
          <w:lang w:val="en-US" w:eastAsia="en-US"/>
        </w:rPr>
        <w:t>кандидат</w:t>
      </w:r>
      <w:proofErr w:type="spellEnd"/>
      <w:r w:rsidRPr="007C296C">
        <w:rPr>
          <w:rFonts w:eastAsia="Times New Roman"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гл</w:t>
      </w:r>
      <w:proofErr w:type="spellEnd"/>
      <w:r w:rsidRPr="007C296C">
        <w:rPr>
          <w:rFonts w:eastAsia="Times New Roman"/>
          <w:b/>
          <w:i/>
          <w:szCs w:val="22"/>
          <w:lang w:val="en-US" w:eastAsia="en-US"/>
        </w:rPr>
        <w:t xml:space="preserve">. 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ас</w:t>
      </w:r>
      <w:proofErr w:type="spellEnd"/>
      <w:r w:rsidRPr="007C296C">
        <w:rPr>
          <w:rFonts w:eastAsia="Times New Roman"/>
          <w:b/>
          <w:i/>
          <w:szCs w:val="22"/>
          <w:lang w:val="en-US" w:eastAsia="en-US"/>
        </w:rPr>
        <w:t xml:space="preserve">. д-р 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Катерина</w:t>
      </w:r>
      <w:proofErr w:type="spellEnd"/>
      <w:r w:rsidRPr="007C296C">
        <w:rPr>
          <w:rFonts w:eastAsia="Times New Roman"/>
          <w:b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Татянова</w:t>
      </w:r>
      <w:proofErr w:type="spellEnd"/>
      <w:r w:rsidRPr="007C296C">
        <w:rPr>
          <w:rFonts w:eastAsia="Times New Roman"/>
          <w:b/>
          <w:i/>
          <w:szCs w:val="22"/>
          <w:lang w:val="en-US" w:eastAsia="en-US"/>
        </w:rPr>
        <w:t xml:space="preserve"> </w:t>
      </w:r>
      <w:proofErr w:type="spellStart"/>
      <w:r w:rsidRPr="007C296C">
        <w:rPr>
          <w:rFonts w:eastAsia="Times New Roman"/>
          <w:b/>
          <w:i/>
          <w:szCs w:val="22"/>
          <w:lang w:val="en-US" w:eastAsia="en-US"/>
        </w:rPr>
        <w:t>Николова</w:t>
      </w:r>
      <w:proofErr w:type="spellEnd"/>
    </w:p>
    <w:p w14:paraId="5BCA3239" w14:textId="7E3DBA3F" w:rsidR="00330EAD" w:rsidRPr="007C296C" w:rsidRDefault="00330EAD" w:rsidP="00330EAD">
      <w:pPr>
        <w:pStyle w:val="Default"/>
        <w:spacing w:line="360" w:lineRule="auto"/>
        <w:jc w:val="both"/>
        <w:rPr>
          <w:color w:val="auto"/>
        </w:rPr>
      </w:pPr>
    </w:p>
    <w:p w14:paraId="6C9647A4" w14:textId="48A792A7" w:rsidR="00812091" w:rsidRPr="007C296C" w:rsidRDefault="00812091" w:rsidP="008705FD">
      <w:pPr>
        <w:pStyle w:val="NormalWeb"/>
        <w:spacing w:before="0" w:beforeAutospacing="0" w:after="0" w:afterAutospacing="0" w:line="288" w:lineRule="auto"/>
        <w:ind w:firstLine="630"/>
        <w:jc w:val="both"/>
      </w:pPr>
      <w:r w:rsidRPr="007C296C">
        <w:t xml:space="preserve">Настоящото становище е изготвено на основание решение, взето на първото заседание на Научното жури, назначено със Заповед № 13-34 от 24.09.2025 г. на Ректора на Минно-геоложкия университет „Св. Иван Рилски“. Становището е изготвено в съответствие с изискванията на Закона за развитие на академичния състав в Република България, както и с Правилника за неговото прилагане в Минно-геоложкия университет „Св. Ив. Рилски“. </w:t>
      </w:r>
    </w:p>
    <w:p w14:paraId="76F5A938" w14:textId="7B239CB9" w:rsidR="00330EAD" w:rsidRPr="007C296C" w:rsidRDefault="00420B21" w:rsidP="008705FD">
      <w:pPr>
        <w:pStyle w:val="NormalWeb"/>
        <w:spacing w:before="0" w:beforeAutospacing="0" w:after="0" w:afterAutospacing="0" w:line="288" w:lineRule="auto"/>
        <w:ind w:firstLine="634"/>
        <w:jc w:val="both"/>
      </w:pPr>
      <w:proofErr w:type="spellStart"/>
      <w:r w:rsidRPr="007C296C">
        <w:rPr>
          <w:b/>
          <w:bCs/>
          <w:lang w:val="en-US"/>
        </w:rPr>
        <w:t>Кандидатът</w:t>
      </w:r>
      <w:proofErr w:type="spellEnd"/>
      <w:r w:rsidRPr="007C296C">
        <w:rPr>
          <w:b/>
          <w:bCs/>
          <w:lang w:val="en-US"/>
        </w:rPr>
        <w:t xml:space="preserve"> е </w:t>
      </w:r>
      <w:proofErr w:type="spellStart"/>
      <w:r w:rsidRPr="007C296C">
        <w:rPr>
          <w:b/>
          <w:bCs/>
          <w:lang w:val="en-US"/>
        </w:rPr>
        <w:t>представил</w:t>
      </w:r>
      <w:proofErr w:type="spellEnd"/>
      <w:r w:rsidRPr="007C296C">
        <w:rPr>
          <w:b/>
          <w:bCs/>
          <w:lang w:val="en-US"/>
        </w:rPr>
        <w:t xml:space="preserve"> </w:t>
      </w:r>
      <w:proofErr w:type="spellStart"/>
      <w:r w:rsidRPr="007C296C">
        <w:rPr>
          <w:b/>
          <w:bCs/>
          <w:lang w:val="en-US"/>
        </w:rPr>
        <w:t>всички</w:t>
      </w:r>
      <w:proofErr w:type="spellEnd"/>
      <w:r w:rsidRPr="007C296C">
        <w:rPr>
          <w:b/>
          <w:bCs/>
          <w:lang w:val="en-US"/>
        </w:rPr>
        <w:t xml:space="preserve"> </w:t>
      </w:r>
      <w:proofErr w:type="spellStart"/>
      <w:r w:rsidRPr="007C296C">
        <w:rPr>
          <w:b/>
          <w:bCs/>
          <w:lang w:val="en-US"/>
        </w:rPr>
        <w:t>изисквани</w:t>
      </w:r>
      <w:proofErr w:type="spellEnd"/>
      <w:r w:rsidRPr="007C296C">
        <w:rPr>
          <w:b/>
          <w:bCs/>
          <w:lang w:val="en-US"/>
        </w:rPr>
        <w:t xml:space="preserve"> </w:t>
      </w:r>
      <w:proofErr w:type="spellStart"/>
      <w:r w:rsidRPr="007C296C">
        <w:rPr>
          <w:b/>
          <w:bCs/>
          <w:lang w:val="en-US"/>
        </w:rPr>
        <w:t>документи</w:t>
      </w:r>
      <w:proofErr w:type="spellEnd"/>
      <w:r w:rsidRPr="007C296C">
        <w:rPr>
          <w:b/>
          <w:bCs/>
          <w:lang w:val="en-US"/>
        </w:rPr>
        <w:t xml:space="preserve"> и </w:t>
      </w:r>
      <w:proofErr w:type="spellStart"/>
      <w:r w:rsidRPr="007C296C">
        <w:rPr>
          <w:b/>
          <w:bCs/>
          <w:lang w:val="en-US"/>
        </w:rPr>
        <w:t>материали</w:t>
      </w:r>
      <w:proofErr w:type="spellEnd"/>
      <w:r w:rsidRPr="007C296C">
        <w:rPr>
          <w:b/>
          <w:bCs/>
          <w:lang w:val="en-US"/>
        </w:rPr>
        <w:t xml:space="preserve"> </w:t>
      </w:r>
      <w:proofErr w:type="spellStart"/>
      <w:r w:rsidRPr="007C296C">
        <w:rPr>
          <w:b/>
          <w:bCs/>
          <w:lang w:val="en-US"/>
        </w:rPr>
        <w:t>за</w:t>
      </w:r>
      <w:proofErr w:type="spellEnd"/>
      <w:r w:rsidRPr="007C296C">
        <w:rPr>
          <w:b/>
          <w:bCs/>
          <w:lang w:val="en-US"/>
        </w:rPr>
        <w:t xml:space="preserve"> </w:t>
      </w:r>
      <w:proofErr w:type="spellStart"/>
      <w:r w:rsidRPr="007C296C">
        <w:rPr>
          <w:b/>
          <w:bCs/>
          <w:lang w:val="en-US"/>
        </w:rPr>
        <w:t>участие</w:t>
      </w:r>
      <w:proofErr w:type="spellEnd"/>
      <w:r w:rsidRPr="007C296C">
        <w:rPr>
          <w:b/>
          <w:bCs/>
          <w:lang w:val="en-US"/>
        </w:rPr>
        <w:t xml:space="preserve"> в </w:t>
      </w:r>
      <w:proofErr w:type="spellStart"/>
      <w:r w:rsidRPr="007C296C">
        <w:rPr>
          <w:b/>
          <w:bCs/>
          <w:lang w:val="en-US"/>
        </w:rPr>
        <w:t>конкурса</w:t>
      </w:r>
      <w:proofErr w:type="spellEnd"/>
      <w:r w:rsidRPr="007C296C">
        <w:rPr>
          <w:lang w:val="en-US"/>
        </w:rPr>
        <w:t xml:space="preserve">, </w:t>
      </w:r>
      <w:proofErr w:type="spellStart"/>
      <w:r w:rsidRPr="007C296C">
        <w:rPr>
          <w:lang w:val="en-US"/>
        </w:rPr>
        <w:t>съгласно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приетите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изисквания</w:t>
      </w:r>
      <w:proofErr w:type="spellEnd"/>
      <w:r w:rsidRPr="007C296C">
        <w:rPr>
          <w:lang w:val="en-US"/>
        </w:rPr>
        <w:t xml:space="preserve"> в </w:t>
      </w:r>
      <w:proofErr w:type="spellStart"/>
      <w:r w:rsidRPr="007C296C">
        <w:rPr>
          <w:lang w:val="en-US"/>
        </w:rPr>
        <w:t>Правилника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за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прилагане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на</w:t>
      </w:r>
      <w:proofErr w:type="spellEnd"/>
      <w:r w:rsidRPr="007C296C">
        <w:rPr>
          <w:lang w:val="en-US"/>
        </w:rPr>
        <w:t xml:space="preserve"> ЗАРСБ в </w:t>
      </w:r>
      <w:proofErr w:type="spellStart"/>
      <w:r w:rsidRPr="007C296C">
        <w:rPr>
          <w:lang w:val="en-US"/>
        </w:rPr>
        <w:t>Минно-геоложки</w:t>
      </w:r>
      <w:proofErr w:type="spellEnd"/>
      <w:r w:rsidRPr="007C296C">
        <w:rPr>
          <w:lang w:val="en-US"/>
        </w:rPr>
        <w:t xml:space="preserve"> </w:t>
      </w:r>
      <w:proofErr w:type="spellStart"/>
      <w:r w:rsidRPr="007C296C">
        <w:rPr>
          <w:lang w:val="en-US"/>
        </w:rPr>
        <w:t>университет</w:t>
      </w:r>
      <w:proofErr w:type="spellEnd"/>
      <w:r w:rsidRPr="007C296C">
        <w:rPr>
          <w:lang w:val="en-US"/>
        </w:rPr>
        <w:t xml:space="preserve"> “</w:t>
      </w:r>
      <w:proofErr w:type="spellStart"/>
      <w:r w:rsidRPr="007C296C">
        <w:rPr>
          <w:lang w:val="en-US"/>
        </w:rPr>
        <w:t>Св</w:t>
      </w:r>
      <w:proofErr w:type="spellEnd"/>
      <w:r w:rsidRPr="007C296C">
        <w:rPr>
          <w:lang w:val="en-US"/>
        </w:rPr>
        <w:t xml:space="preserve">. </w:t>
      </w:r>
      <w:proofErr w:type="spellStart"/>
      <w:r w:rsidRPr="007C296C">
        <w:rPr>
          <w:lang w:val="en-US"/>
        </w:rPr>
        <w:t>Иван</w:t>
      </w:r>
      <w:proofErr w:type="spellEnd"/>
      <w:r w:rsidRPr="007C296C">
        <w:rPr>
          <w:lang w:val="en-US"/>
        </w:rPr>
        <w:t xml:space="preserve"> Рилски”:</w:t>
      </w:r>
    </w:p>
    <w:p w14:paraId="269E3EBA" w14:textId="02170335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lang w:eastAsia="zh-CN"/>
        </w:rPr>
        <w:t>Кандидатът в конкурса, гл. ас. д-р Катерина Татянова Николов, напълно покрива изискуемия минимален брой точки съгласно националните и институционалните критерии. При необходим минимум от 400 точки е представена справка с общо 638 точки. Особено впечатляващо е представянето по компонент Д, където са отчетени 250 точки при нормативно изискване от 50</w:t>
      </w:r>
      <w:r w:rsidR="008705FD" w:rsidRPr="007C296C">
        <w:rPr>
          <w:rFonts w:eastAsia="SimSun"/>
          <w:lang w:eastAsia="zh-CN"/>
        </w:rPr>
        <w:t xml:space="preserve"> точки</w:t>
      </w:r>
      <w:r w:rsidRPr="007C296C">
        <w:rPr>
          <w:rFonts w:eastAsia="SimSun"/>
          <w:lang w:eastAsia="zh-CN"/>
        </w:rPr>
        <w:t>. След преглед на представените материали не са установени данни за плагиатство или неправомерно присвояване на научни трудове.</w:t>
      </w:r>
    </w:p>
    <w:p w14:paraId="66FEAEE4" w14:textId="77777777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b/>
          <w:bCs/>
          <w:lang w:eastAsia="zh-CN"/>
        </w:rPr>
        <w:t>Научните приноси</w:t>
      </w:r>
      <w:r w:rsidRPr="007C296C">
        <w:rPr>
          <w:rFonts w:eastAsia="SimSun"/>
          <w:lang w:eastAsia="zh-CN"/>
        </w:rPr>
        <w:t xml:space="preserve"> на кандидата са систематизирани в </w:t>
      </w:r>
      <w:r w:rsidRPr="007C296C">
        <w:rPr>
          <w:rFonts w:eastAsia="SimSun"/>
          <w:b/>
          <w:bCs/>
          <w:lang w:eastAsia="zh-CN"/>
        </w:rPr>
        <w:t>пет основни направления</w:t>
      </w:r>
      <w:r w:rsidRPr="007C296C">
        <w:rPr>
          <w:rFonts w:eastAsia="SimSun"/>
          <w:lang w:eastAsia="zh-CN"/>
        </w:rPr>
        <w:t>:</w:t>
      </w:r>
    </w:p>
    <w:p w14:paraId="53884FCC" w14:textId="77777777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lang w:eastAsia="zh-CN"/>
        </w:rPr>
        <w:t>I. Системи за третиране на води, повлияни от дейността на добивната и преработвателната промишленост;</w:t>
      </w:r>
    </w:p>
    <w:p w14:paraId="2F6A1F53" w14:textId="77777777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lang w:eastAsia="zh-CN"/>
        </w:rPr>
        <w:t>II. Приложения на интегрирани биоелектрохимични системи за пречистване на отпадъчни води от минната индустрия;</w:t>
      </w:r>
    </w:p>
    <w:p w14:paraId="1540814E" w14:textId="77777777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lang w:eastAsia="zh-CN"/>
        </w:rPr>
        <w:t>III. Биоремедиация на почви и рекултивация на терени, засегнати от минни дейности;</w:t>
      </w:r>
    </w:p>
    <w:p w14:paraId="66AD521E" w14:textId="77777777" w:rsidR="00AE3F2C" w:rsidRPr="007C296C" w:rsidRDefault="00AE3F2C" w:rsidP="008705FD">
      <w:pPr>
        <w:spacing w:line="288" w:lineRule="auto"/>
        <w:ind w:firstLine="634"/>
        <w:jc w:val="both"/>
        <w:rPr>
          <w:rFonts w:eastAsia="SimSun"/>
          <w:lang w:eastAsia="zh-CN"/>
        </w:rPr>
      </w:pPr>
      <w:r w:rsidRPr="007C296C">
        <w:rPr>
          <w:rFonts w:eastAsia="SimSun"/>
          <w:lang w:eastAsia="zh-CN"/>
        </w:rPr>
        <w:t>IV. Управление на екологични рискове, регулаторна рамка и нормативни изисквания;</w:t>
      </w:r>
    </w:p>
    <w:p w14:paraId="56E0564A" w14:textId="22343F5D" w:rsidR="00330EAD" w:rsidRPr="007C296C" w:rsidRDefault="00AE3F2C" w:rsidP="008705FD">
      <w:pPr>
        <w:spacing w:line="288" w:lineRule="auto"/>
        <w:ind w:firstLine="634"/>
        <w:jc w:val="both"/>
        <w:rPr>
          <w:b/>
          <w:bCs/>
          <w:color w:val="000000" w:themeColor="text1"/>
        </w:rPr>
      </w:pPr>
      <w:r w:rsidRPr="007C296C">
        <w:rPr>
          <w:rFonts w:eastAsia="SimSun"/>
          <w:lang w:eastAsia="zh-CN"/>
        </w:rPr>
        <w:t>V. Технологии за детекция и мониторинг на тежки метали и други замърсители.</w:t>
      </w:r>
    </w:p>
    <w:p w14:paraId="0E43B1D0" w14:textId="77777777" w:rsidR="0022736E" w:rsidRPr="007C296C" w:rsidRDefault="0022736E" w:rsidP="008705FD">
      <w:pPr>
        <w:pStyle w:val="ListParagraph"/>
        <w:spacing w:line="288" w:lineRule="auto"/>
        <w:ind w:left="0" w:firstLine="634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4741221" w14:textId="66C238A3" w:rsidR="00BB221D" w:rsidRPr="007C296C" w:rsidRDefault="004F78AD" w:rsidP="00792A3B">
      <w:pPr>
        <w:pStyle w:val="ListParagraph"/>
        <w:spacing w:line="288" w:lineRule="auto"/>
        <w:ind w:left="0" w:firstLine="634"/>
        <w:rPr>
          <w:rFonts w:ascii="Times New Roman" w:hAnsi="Times New Roman" w:cs="Times New Roman"/>
          <w:color w:val="000000" w:themeColor="text1"/>
        </w:rPr>
      </w:pPr>
      <w:r w:rsidRPr="007C29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705FD" w:rsidRPr="007C296C">
        <w:rPr>
          <w:rFonts w:ascii="Times New Roman" w:hAnsi="Times New Roman" w:cs="Times New Roman"/>
          <w:color w:val="000000" w:themeColor="text1"/>
        </w:rPr>
        <w:t>В първото направление – „Системи за третиране на води, повлияни от добивната и преработвателната промишленост“ – са формулирани четири приноса, подкрепени от общо дванадесет научни публикации. Кандидатът е участвал в разработката на два основни типа лабораторни инсталации за активно пречистване на минни отпадъчни води. Първият тип включва последователна конфигурация от анаеробен сулфатно-редуциращ биореактор, химичен реактор, аеробен реактор с активна утайка, биофилтър и реактор тип изкуствена влажна зона с вертикален поток. Вторият тип е съставен от анаеробни биореактори, химични реактори и утаители.</w:t>
      </w:r>
      <w:r w:rsidR="00792A3B" w:rsidRPr="007C296C">
        <w:rPr>
          <w:rFonts w:ascii="Times New Roman" w:hAnsi="Times New Roman" w:cs="Times New Roman"/>
          <w:color w:val="000000" w:themeColor="text1"/>
        </w:rPr>
        <w:t xml:space="preserve"> </w:t>
      </w:r>
      <w:r w:rsidR="008705FD" w:rsidRPr="007C296C">
        <w:rPr>
          <w:rFonts w:ascii="Times New Roman" w:hAnsi="Times New Roman" w:cs="Times New Roman"/>
          <w:color w:val="000000" w:themeColor="text1"/>
        </w:rPr>
        <w:t xml:space="preserve">В периодичен режим е проучена устойчивостта на сулфат-редуциращите бактерии към различни тежки метали. Допълнително са конструирани лабораторни пасивни </w:t>
      </w:r>
      <w:r w:rsidR="008705FD" w:rsidRPr="007C296C">
        <w:rPr>
          <w:rFonts w:ascii="Times New Roman" w:hAnsi="Times New Roman" w:cs="Times New Roman"/>
          <w:color w:val="000000" w:themeColor="text1"/>
        </w:rPr>
        <w:lastRenderedPageBreak/>
        <w:t>системи за третиране на кисели руднични води, съдържащи Fe, Cu, Zn, Mn, Cd и Pb. Разработени са и технологични решения, изпитани както в периодичен, така и в непрекъснат режим, осигуряващи ефективно намаляване на съдържанието на сулфати и тежки метали чрез използване на достъпни за промишлено приложение химични реагенти.</w:t>
      </w:r>
    </w:p>
    <w:p w14:paraId="793649DF" w14:textId="77777777" w:rsidR="00792A3B" w:rsidRPr="007C296C" w:rsidRDefault="00792A3B" w:rsidP="00792A3B">
      <w:pPr>
        <w:spacing w:line="288" w:lineRule="auto"/>
        <w:ind w:firstLine="706"/>
        <w:jc w:val="both"/>
        <w:rPr>
          <w:rFonts w:eastAsia="Times New Roman"/>
          <w:bCs/>
          <w:color w:val="000000" w:themeColor="text1"/>
          <w:lang w:eastAsia="en-US"/>
        </w:rPr>
      </w:pPr>
      <w:r w:rsidRPr="007C296C">
        <w:rPr>
          <w:rFonts w:eastAsia="Times New Roman"/>
          <w:bCs/>
          <w:color w:val="000000" w:themeColor="text1"/>
          <w:lang w:eastAsia="en-US"/>
        </w:rPr>
        <w:t xml:space="preserve">Във второто направление – „Приложения на интегрирани биоелектрохимични системи за третиране на отпадъчни води от минната индустрия“ – са синтезирани пет приноса, представени в единадесет публикации. Проучено е влиянието на ключови оперативни параметри върху ефективността на двукамерни микробни горивни клетки (МГК), работещи на основата на микробна сулфат-редукция. Конструирана е двусекционна биоелектрохимична система, в която анодната зона е базирана на микробна сулфат-редукция, а катодната – на абиотична редукция на метали. Разработени са лабораторни конфигурации, състоящи се от анаеробен реактор с носител зеолит и микробна горивна клетка с въздушен катод. Изследвано е влиянието на микробните процеси в анодната област на растителни седиментни микробни горивни клетки (РСМГК), засадени с </w:t>
      </w:r>
      <w:r w:rsidRPr="007C296C">
        <w:rPr>
          <w:rFonts w:eastAsia="Times New Roman"/>
          <w:bCs/>
          <w:i/>
          <w:iCs/>
          <w:color w:val="000000" w:themeColor="text1"/>
          <w:lang w:eastAsia="en-US"/>
        </w:rPr>
        <w:t>Carex acuta</w:t>
      </w:r>
      <w:r w:rsidRPr="007C296C">
        <w:rPr>
          <w:rFonts w:eastAsia="Times New Roman"/>
          <w:bCs/>
          <w:color w:val="000000" w:themeColor="text1"/>
          <w:lang w:eastAsia="en-US"/>
        </w:rPr>
        <w:t>. Създадени са интегрирани системи за екологично третиране, които комбинират биоелектрохимични и микробни технологии с цел подобряване качеството на водите и съпътстващо производство на енергия.</w:t>
      </w:r>
    </w:p>
    <w:p w14:paraId="3E358ED4" w14:textId="348A765D" w:rsidR="00792A3B" w:rsidRPr="007C296C" w:rsidRDefault="00792A3B" w:rsidP="00792A3B">
      <w:pPr>
        <w:spacing w:line="288" w:lineRule="auto"/>
        <w:ind w:firstLine="706"/>
        <w:jc w:val="both"/>
        <w:rPr>
          <w:bCs/>
          <w:color w:val="000000" w:themeColor="text1"/>
        </w:rPr>
      </w:pPr>
      <w:r w:rsidRPr="007C296C">
        <w:rPr>
          <w:bCs/>
          <w:color w:val="000000" w:themeColor="text1"/>
        </w:rPr>
        <w:t xml:space="preserve">В третото направление – „Биоремедиация на почви и рекултивация на постминни терени“ – са формулирани три приноса, представени в седем публикации. Проведени са детайлни изследвания на микробните съобщества в терени, засегнати от калкретизация, като са определени количествените характеристики на основните групи микроорганизми (хетеротрофни аеробни и анаеробни бактерии, актиномицети, нитрифициращи бактерии) и са анализирани факторите, влияещи върху тяхното разпределение – степен на калкретизация, pH, фракциониране на органичния въглерод, съдържание на общ азот и др. Проведени са съдови и полеви опити, демонстриращи ефекта от прилагането на ризосферна микрофлора и/или хуминови киселини за стимулиране на </w:t>
      </w:r>
      <w:r w:rsidR="00CC22FD" w:rsidRPr="007C296C">
        <w:rPr>
          <w:bCs/>
          <w:color w:val="000000" w:themeColor="text1"/>
        </w:rPr>
        <w:t>различни</w:t>
      </w:r>
      <w:r w:rsidRPr="007C296C">
        <w:rPr>
          <w:bCs/>
          <w:color w:val="000000" w:themeColor="text1"/>
        </w:rPr>
        <w:t xml:space="preserve"> растителни видове. Осъществени са експерименти с васкуларна растителност, отглеждана върху минерални отпадъци със силно кисела реакция и върху почви с различен хумусен и азотен запас, механичен състав и pH, като е анализирано влиянието на растителната покривка върху топлинния баланс на субстрата и зависимостите между растителност, хумус, азот и наличие на замърсители.</w:t>
      </w:r>
    </w:p>
    <w:p w14:paraId="02DE40E8" w14:textId="2FDE3A3D" w:rsidR="0022736E" w:rsidRPr="007C296C" w:rsidRDefault="00CC22FD" w:rsidP="00CC22FD">
      <w:pPr>
        <w:pStyle w:val="ListParagraph"/>
        <w:spacing w:line="288" w:lineRule="auto"/>
        <w:ind w:left="0" w:firstLine="706"/>
        <w:rPr>
          <w:rFonts w:ascii="Times New Roman" w:hAnsi="Times New Roman" w:cs="Times New Roman"/>
          <w:color w:val="000000" w:themeColor="text1"/>
        </w:rPr>
      </w:pPr>
      <w:r w:rsidRPr="007C296C">
        <w:rPr>
          <w:rFonts w:ascii="Times New Roman" w:hAnsi="Times New Roman" w:cs="Times New Roman"/>
          <w:color w:val="000000" w:themeColor="text1"/>
        </w:rPr>
        <w:t xml:space="preserve">В четвъртото направление – „Управление на екологични рискове, регулаторна рамка и нормативни изисквания“ – са представени три приноса, подкрепени със седем публикации. Извършен е преглед на технологии и регулации за улавяне и съхранение на CO₂, идентифицирани са основните екологични рискове, включително течове, сеизмична активност и замърсяване на подземни води, с цел определяне на подходящи места за съхранение и разработване на превантивни мерки. Анализиран е българският нормативен контекст за проекти за CCS и за защита на водните тела от минни отпадъчни води, с оглед съответствие с европейските стандарти. Разработена е методология за оценка и класиране на технологии за пречистване на замърсени води, включително намаляване на сулфатите. Представен е аналитичен модел и </w:t>
      </w:r>
      <w:r w:rsidR="00AD6762" w:rsidRPr="007C296C">
        <w:rPr>
          <w:rFonts w:ascii="Times New Roman" w:hAnsi="Times New Roman" w:cs="Times New Roman"/>
          <w:color w:val="000000" w:themeColor="text1"/>
        </w:rPr>
        <w:t>резултати от него,</w:t>
      </w:r>
      <w:r w:rsidRPr="007C296C">
        <w:rPr>
          <w:rFonts w:ascii="Times New Roman" w:hAnsi="Times New Roman" w:cs="Times New Roman"/>
          <w:color w:val="000000" w:themeColor="text1"/>
        </w:rPr>
        <w:t xml:space="preserve"> за разпространението на замърсителите в </w:t>
      </w:r>
      <w:r w:rsidR="00AD6762" w:rsidRPr="007C296C">
        <w:rPr>
          <w:rFonts w:ascii="Times New Roman" w:hAnsi="Times New Roman" w:cs="Times New Roman"/>
          <w:color w:val="000000" w:themeColor="text1"/>
        </w:rPr>
        <w:t>река преминаваща през зона силно повлияна от минно-добивната дейност</w:t>
      </w:r>
      <w:r w:rsidRPr="007C296C">
        <w:rPr>
          <w:rFonts w:ascii="Times New Roman" w:hAnsi="Times New Roman" w:cs="Times New Roman"/>
          <w:color w:val="000000" w:themeColor="text1"/>
        </w:rPr>
        <w:t>, като инструмент за екологичен мониторинг и оценка на въздействието</w:t>
      </w:r>
      <w:r w:rsidR="0022736E" w:rsidRPr="007C296C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5C689EE4" w14:textId="7755AF1D" w:rsidR="00CC22FD" w:rsidRPr="007C296C" w:rsidRDefault="00CC22FD" w:rsidP="00CC22FD">
      <w:pPr>
        <w:pStyle w:val="ListParagraph"/>
        <w:spacing w:line="288" w:lineRule="auto"/>
        <w:ind w:left="0" w:firstLine="706"/>
        <w:rPr>
          <w:rFonts w:ascii="Times New Roman" w:hAnsi="Times New Roman" w:cs="Times New Roman"/>
          <w:color w:val="000000" w:themeColor="text1"/>
        </w:rPr>
      </w:pPr>
      <w:bookmarkStart w:id="0" w:name="_Hlk210633300"/>
      <w:r w:rsidRPr="007C296C">
        <w:rPr>
          <w:rFonts w:ascii="Times New Roman" w:hAnsi="Times New Roman" w:cs="Times New Roman"/>
          <w:color w:val="000000" w:themeColor="text1"/>
        </w:rPr>
        <w:lastRenderedPageBreak/>
        <w:t>В петото направление – „Технологии за детекция и мониторинг на тежки метали и други замърсители“ – са представени два приноса. Докладвани са колориметрични и биосензорни системи, базирани на златни наночастици, осигуряващи селективно и високочувствително детектиране на йони на желязо в силно кисели минни отпадъчни води, с възможност за многократна употреба и анализ в реално време. Демонстрирана е интеграция на микроелектронни системи и биологични процеси чрез седиментни микробни горивни клетки във влажни зони, позволяващи непрекъснат мониторинг и ефективно отстраняване на замърсители.</w:t>
      </w:r>
    </w:p>
    <w:p w14:paraId="4BE2676D" w14:textId="04F6DB48" w:rsidR="006E628C" w:rsidRPr="007C296C" w:rsidRDefault="006E628C" w:rsidP="006E628C">
      <w:pPr>
        <w:pStyle w:val="ListParagraph"/>
        <w:spacing w:line="288" w:lineRule="auto"/>
        <w:ind w:left="0" w:firstLine="706"/>
        <w:rPr>
          <w:rFonts w:ascii="Times New Roman" w:hAnsi="Times New Roman" w:cs="Times New Roman"/>
          <w:color w:val="000000" w:themeColor="text1"/>
        </w:rPr>
      </w:pPr>
      <w:r w:rsidRPr="007C296C">
        <w:rPr>
          <w:rFonts w:ascii="Times New Roman" w:hAnsi="Times New Roman" w:cs="Times New Roman"/>
          <w:color w:val="000000" w:themeColor="text1"/>
        </w:rPr>
        <w:t>Научно-приложните и методически приносите на гл. ас. д-р Николова имат ясно изразено практическо значение. Те допринасят съществено за намаляване на отрицателните екологични последствия от миннодобивната дейност и същевременно подкрепят устойчивото развитие.</w:t>
      </w:r>
    </w:p>
    <w:p w14:paraId="06F106FA" w14:textId="6914F6A8" w:rsidR="001E7E71" w:rsidRPr="007C296C" w:rsidRDefault="00CC22FD" w:rsidP="006E628C">
      <w:pPr>
        <w:pStyle w:val="ListParagraph"/>
        <w:spacing w:line="288" w:lineRule="auto"/>
        <w:ind w:left="0" w:firstLine="706"/>
        <w:rPr>
          <w:rFonts w:ascii="Times New Roman" w:hAnsi="Times New Roman" w:cs="Times New Roman"/>
          <w:color w:val="000000" w:themeColor="text1"/>
        </w:rPr>
      </w:pPr>
      <w:r w:rsidRPr="007C296C">
        <w:rPr>
          <w:rFonts w:ascii="Times New Roman" w:hAnsi="Times New Roman" w:cs="Times New Roman"/>
          <w:color w:val="000000" w:themeColor="text1"/>
        </w:rPr>
        <w:t xml:space="preserve"> </w:t>
      </w:r>
      <w:r w:rsidR="006E628C" w:rsidRPr="007C296C">
        <w:rPr>
          <w:rFonts w:ascii="Times New Roman" w:hAnsi="Times New Roman" w:cs="Times New Roman"/>
          <w:color w:val="000000" w:themeColor="text1"/>
        </w:rPr>
        <w:t>Личните ми впечатления за кандидата са, че представлява перспективен учен с интереси в иновативни области, свързани с опазването на околната среда, отговорен преподавател и изследовател, притежаващ отлични комуникативни умения, които са особено важни както в процеса на обучение, така и за научното му развитие.</w:t>
      </w:r>
    </w:p>
    <w:bookmarkEnd w:id="0"/>
    <w:p w14:paraId="79FFCBA4" w14:textId="2819D5DA" w:rsidR="00162086" w:rsidRPr="007C296C" w:rsidRDefault="00FA0070" w:rsidP="001E7E71">
      <w:pPr>
        <w:pStyle w:val="Default"/>
        <w:spacing w:line="360" w:lineRule="auto"/>
        <w:ind w:firstLine="708"/>
        <w:jc w:val="both"/>
      </w:pPr>
      <w:r w:rsidRPr="007C296C">
        <w:t>На основание на извършения анализ на научната продукция на кандидата</w:t>
      </w:r>
      <w:r w:rsidR="00AD6762" w:rsidRPr="007C296C">
        <w:t>,</w:t>
      </w:r>
      <w:r w:rsidRPr="007C296C">
        <w:t xml:space="preserve"> мога да изразя </w:t>
      </w:r>
      <w:r w:rsidRPr="007C296C">
        <w:rPr>
          <w:b/>
          <w:bCs/>
        </w:rPr>
        <w:t>положително становище</w:t>
      </w:r>
      <w:r w:rsidRPr="007C296C">
        <w:t xml:space="preserve"> и да препоръчам </w:t>
      </w:r>
      <w:r w:rsidRPr="007C296C">
        <w:rPr>
          <w:b/>
          <w:bCs/>
        </w:rPr>
        <w:t>гл. ас. д-р Катерина Татянова Николова</w:t>
      </w:r>
      <w:r w:rsidRPr="007C296C">
        <w:t xml:space="preserve"> за присъждане на </w:t>
      </w:r>
      <w:r w:rsidRPr="007C296C">
        <w:rPr>
          <w:b/>
          <w:bCs/>
        </w:rPr>
        <w:t>академичното звание „доцент“</w:t>
      </w:r>
      <w:r w:rsidRPr="007C296C">
        <w:t xml:space="preserve"> по професионално направление 4.4 „Науки за Земята“, </w:t>
      </w:r>
      <w:r w:rsidR="00F74DAC">
        <w:t>Н</w:t>
      </w:r>
      <w:r w:rsidRPr="007C296C">
        <w:t>аучна специалност „Системи и устройства за опазване на околната среда“, към Катедра „Инженерна геоекология“ при Минно-геоложки университет „Св. Иван Рилски“.</w:t>
      </w:r>
    </w:p>
    <w:p w14:paraId="65344D02" w14:textId="77777777" w:rsidR="001E7E71" w:rsidRPr="007C296C" w:rsidRDefault="001E7E71" w:rsidP="001E7E71">
      <w:pPr>
        <w:pStyle w:val="Default"/>
        <w:spacing w:line="360" w:lineRule="auto"/>
        <w:ind w:firstLine="708"/>
        <w:jc w:val="both"/>
      </w:pPr>
    </w:p>
    <w:p w14:paraId="566C6005" w14:textId="77777777" w:rsidR="00AD6762" w:rsidRPr="007C296C" w:rsidRDefault="00AD6762" w:rsidP="001E7E71">
      <w:pPr>
        <w:pStyle w:val="Default"/>
        <w:spacing w:line="360" w:lineRule="auto"/>
        <w:ind w:firstLine="708"/>
        <w:jc w:val="both"/>
      </w:pPr>
    </w:p>
    <w:p w14:paraId="227B3E70" w14:textId="77777777" w:rsidR="001E7E71" w:rsidRPr="007C296C" w:rsidRDefault="001E7E71" w:rsidP="001E7E71">
      <w:pPr>
        <w:pStyle w:val="Default"/>
        <w:spacing w:line="360" w:lineRule="auto"/>
        <w:ind w:firstLine="708"/>
        <w:jc w:val="both"/>
      </w:pPr>
    </w:p>
    <w:p w14:paraId="6D171A10" w14:textId="77777777" w:rsidR="001E7E71" w:rsidRPr="007C296C" w:rsidRDefault="001E7E71" w:rsidP="001E7E71">
      <w:pPr>
        <w:pStyle w:val="Default"/>
        <w:spacing w:line="360" w:lineRule="auto"/>
        <w:ind w:firstLine="708"/>
        <w:jc w:val="both"/>
      </w:pPr>
    </w:p>
    <w:p w14:paraId="2A4FCDAD" w14:textId="53ACB3B2" w:rsidR="006B3E94" w:rsidRPr="007C296C" w:rsidRDefault="005731B2" w:rsidP="000F2225">
      <w:pPr>
        <w:spacing w:line="276" w:lineRule="auto"/>
        <w:jc w:val="both"/>
        <w:rPr>
          <w:lang w:val="en-US"/>
        </w:rPr>
      </w:pPr>
      <w:r w:rsidRPr="007C296C">
        <w:t>11</w:t>
      </w:r>
      <w:r w:rsidR="007E3C21" w:rsidRPr="007C296C">
        <w:t>.1</w:t>
      </w:r>
      <w:r w:rsidRPr="007C296C">
        <w:t>2</w:t>
      </w:r>
      <w:r w:rsidR="007E3C21" w:rsidRPr="007C296C">
        <w:t xml:space="preserve">.2025 </w:t>
      </w:r>
      <w:r w:rsidR="006B3E94" w:rsidRPr="007C296C">
        <w:t>г.</w:t>
      </w:r>
    </w:p>
    <w:p w14:paraId="5292350C" w14:textId="77777777" w:rsidR="006B3E94" w:rsidRPr="007C296C" w:rsidRDefault="006B3E94" w:rsidP="000F2225">
      <w:pPr>
        <w:spacing w:line="276" w:lineRule="auto"/>
        <w:jc w:val="both"/>
        <w:rPr>
          <w:lang w:val="en-US"/>
        </w:rPr>
      </w:pPr>
      <w:r w:rsidRPr="007C296C">
        <w:t>Гр. София</w:t>
      </w:r>
    </w:p>
    <w:p w14:paraId="4E09E6F9" w14:textId="77777777" w:rsidR="006B3E94" w:rsidRPr="007C296C" w:rsidRDefault="006B3E94" w:rsidP="00A24CCE">
      <w:pPr>
        <w:spacing w:line="276" w:lineRule="auto"/>
        <w:ind w:firstLine="708"/>
        <w:jc w:val="right"/>
      </w:pPr>
    </w:p>
    <w:p w14:paraId="6CEEC196" w14:textId="17C5EC87" w:rsidR="006B3E94" w:rsidRPr="00F74DAC" w:rsidRDefault="005731B2" w:rsidP="00A24CCE">
      <w:pPr>
        <w:spacing w:line="276" w:lineRule="auto"/>
        <w:ind w:firstLine="708"/>
        <w:jc w:val="right"/>
        <w:rPr>
          <w:lang w:val="en-US"/>
        </w:rPr>
      </w:pPr>
      <w:r w:rsidRPr="007C296C">
        <w:t>Доц</w:t>
      </w:r>
      <w:r w:rsidR="006B3E94" w:rsidRPr="007C296C">
        <w:t xml:space="preserve">. д-р </w:t>
      </w:r>
      <w:r w:rsidRPr="007C296C">
        <w:t>Анатолий Ангелов</w:t>
      </w:r>
    </w:p>
    <w:sectPr w:rsidR="006B3E94" w:rsidRPr="00F74DAC" w:rsidSect="00A965F1">
      <w:pgSz w:w="11906" w:h="16838"/>
      <w:pgMar w:top="1701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53F02C"/>
    <w:multiLevelType w:val="hybridMultilevel"/>
    <w:tmpl w:val="00A46AC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C66C4"/>
    <w:multiLevelType w:val="hybridMultilevel"/>
    <w:tmpl w:val="44DE76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9DF"/>
    <w:multiLevelType w:val="hybridMultilevel"/>
    <w:tmpl w:val="897C0294"/>
    <w:lvl w:ilvl="0" w:tplc="BEC066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2623"/>
    <w:multiLevelType w:val="multilevel"/>
    <w:tmpl w:val="477E3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E6A2F20"/>
    <w:multiLevelType w:val="hybridMultilevel"/>
    <w:tmpl w:val="AF68A22C"/>
    <w:lvl w:ilvl="0" w:tplc="A6CA231E">
      <w:start w:val="1"/>
      <w:numFmt w:val="upperRoman"/>
      <w:lvlText w:val="%1."/>
      <w:lvlJc w:val="left"/>
      <w:pPr>
        <w:ind w:left="1638" w:hanging="93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0511C7C"/>
    <w:multiLevelType w:val="hybridMultilevel"/>
    <w:tmpl w:val="F7DEBC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9585F"/>
    <w:multiLevelType w:val="hybridMultilevel"/>
    <w:tmpl w:val="99028ED6"/>
    <w:lvl w:ilvl="0" w:tplc="4C503236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  <w:b w:val="0"/>
        <w:bCs w:val="0"/>
        <w:sz w:val="28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7C6D430F"/>
    <w:multiLevelType w:val="hybridMultilevel"/>
    <w:tmpl w:val="B3264E62"/>
    <w:lvl w:ilvl="0" w:tplc="0402000D">
      <w:start w:val="1"/>
      <w:numFmt w:val="bullet"/>
      <w:lvlText w:val=""/>
      <w:lvlJc w:val="left"/>
      <w:pPr>
        <w:ind w:left="31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69227721">
    <w:abstractNumId w:val="4"/>
  </w:num>
  <w:num w:numId="2" w16cid:durableId="702487634">
    <w:abstractNumId w:val="3"/>
  </w:num>
  <w:num w:numId="3" w16cid:durableId="1309479190">
    <w:abstractNumId w:val="2"/>
  </w:num>
  <w:num w:numId="4" w16cid:durableId="1539856579">
    <w:abstractNumId w:val="1"/>
  </w:num>
  <w:num w:numId="5" w16cid:durableId="928583921">
    <w:abstractNumId w:val="6"/>
  </w:num>
  <w:num w:numId="6" w16cid:durableId="2110928718">
    <w:abstractNumId w:val="7"/>
  </w:num>
  <w:num w:numId="7" w16cid:durableId="284432769">
    <w:abstractNumId w:val="0"/>
  </w:num>
  <w:num w:numId="8" w16cid:durableId="119793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20"/>
    <w:rsid w:val="00002830"/>
    <w:rsid w:val="00003FB4"/>
    <w:rsid w:val="0000514F"/>
    <w:rsid w:val="00006218"/>
    <w:rsid w:val="00006CE0"/>
    <w:rsid w:val="00006E2E"/>
    <w:rsid w:val="00023931"/>
    <w:rsid w:val="000273CE"/>
    <w:rsid w:val="0003335E"/>
    <w:rsid w:val="000369F9"/>
    <w:rsid w:val="000475B0"/>
    <w:rsid w:val="00050C93"/>
    <w:rsid w:val="0005542C"/>
    <w:rsid w:val="000558E2"/>
    <w:rsid w:val="000668DD"/>
    <w:rsid w:val="0007080A"/>
    <w:rsid w:val="00070D99"/>
    <w:rsid w:val="000720F1"/>
    <w:rsid w:val="0008160D"/>
    <w:rsid w:val="000859AD"/>
    <w:rsid w:val="00087C32"/>
    <w:rsid w:val="00093684"/>
    <w:rsid w:val="000948C2"/>
    <w:rsid w:val="00095DC3"/>
    <w:rsid w:val="000A1CAC"/>
    <w:rsid w:val="000A5BD5"/>
    <w:rsid w:val="000B0FFE"/>
    <w:rsid w:val="000B2327"/>
    <w:rsid w:val="000B2E1A"/>
    <w:rsid w:val="000B53E1"/>
    <w:rsid w:val="000B6D9A"/>
    <w:rsid w:val="000B7BB3"/>
    <w:rsid w:val="000C1CF8"/>
    <w:rsid w:val="000D78F4"/>
    <w:rsid w:val="000E464F"/>
    <w:rsid w:val="000E4696"/>
    <w:rsid w:val="000E51C7"/>
    <w:rsid w:val="000E5365"/>
    <w:rsid w:val="000E69C3"/>
    <w:rsid w:val="000F2225"/>
    <w:rsid w:val="00105CDB"/>
    <w:rsid w:val="00112B98"/>
    <w:rsid w:val="00115E02"/>
    <w:rsid w:val="00130206"/>
    <w:rsid w:val="00131A59"/>
    <w:rsid w:val="00131BF9"/>
    <w:rsid w:val="0014512C"/>
    <w:rsid w:val="00146FA7"/>
    <w:rsid w:val="00152AC4"/>
    <w:rsid w:val="00157992"/>
    <w:rsid w:val="00160069"/>
    <w:rsid w:val="00162086"/>
    <w:rsid w:val="0016509B"/>
    <w:rsid w:val="00165F53"/>
    <w:rsid w:val="00174829"/>
    <w:rsid w:val="001814A7"/>
    <w:rsid w:val="00182850"/>
    <w:rsid w:val="00190699"/>
    <w:rsid w:val="001977BE"/>
    <w:rsid w:val="001A2512"/>
    <w:rsid w:val="001A6CD3"/>
    <w:rsid w:val="001B0D78"/>
    <w:rsid w:val="001B1686"/>
    <w:rsid w:val="001B18AB"/>
    <w:rsid w:val="001B3A0E"/>
    <w:rsid w:val="001B7054"/>
    <w:rsid w:val="001C5BEA"/>
    <w:rsid w:val="001D6334"/>
    <w:rsid w:val="001D6A38"/>
    <w:rsid w:val="001E0C56"/>
    <w:rsid w:val="001E5594"/>
    <w:rsid w:val="001E5DDC"/>
    <w:rsid w:val="001E643A"/>
    <w:rsid w:val="001E7E71"/>
    <w:rsid w:val="001F3A37"/>
    <w:rsid w:val="001F48E0"/>
    <w:rsid w:val="001F74DE"/>
    <w:rsid w:val="002022AD"/>
    <w:rsid w:val="0020392E"/>
    <w:rsid w:val="002050EE"/>
    <w:rsid w:val="00207B36"/>
    <w:rsid w:val="00210CCA"/>
    <w:rsid w:val="00216B42"/>
    <w:rsid w:val="00226D6C"/>
    <w:rsid w:val="0022736E"/>
    <w:rsid w:val="00234FC7"/>
    <w:rsid w:val="00240B99"/>
    <w:rsid w:val="00247012"/>
    <w:rsid w:val="00247520"/>
    <w:rsid w:val="00256AFD"/>
    <w:rsid w:val="00260EC7"/>
    <w:rsid w:val="00264E1A"/>
    <w:rsid w:val="002716AA"/>
    <w:rsid w:val="00280B9D"/>
    <w:rsid w:val="00284FDF"/>
    <w:rsid w:val="002A6106"/>
    <w:rsid w:val="002B3B8C"/>
    <w:rsid w:val="002C715E"/>
    <w:rsid w:val="002D2137"/>
    <w:rsid w:val="002E4B03"/>
    <w:rsid w:val="002E6AD1"/>
    <w:rsid w:val="0030296A"/>
    <w:rsid w:val="00312870"/>
    <w:rsid w:val="00314351"/>
    <w:rsid w:val="00320A91"/>
    <w:rsid w:val="00330EAD"/>
    <w:rsid w:val="00335301"/>
    <w:rsid w:val="0033689C"/>
    <w:rsid w:val="00346CB4"/>
    <w:rsid w:val="003510F7"/>
    <w:rsid w:val="00351A47"/>
    <w:rsid w:val="00352E69"/>
    <w:rsid w:val="003678F7"/>
    <w:rsid w:val="003709AE"/>
    <w:rsid w:val="003730D0"/>
    <w:rsid w:val="00374635"/>
    <w:rsid w:val="003808E2"/>
    <w:rsid w:val="00392645"/>
    <w:rsid w:val="00393275"/>
    <w:rsid w:val="003B402D"/>
    <w:rsid w:val="003C1074"/>
    <w:rsid w:val="003C77AB"/>
    <w:rsid w:val="003D12BC"/>
    <w:rsid w:val="003D515D"/>
    <w:rsid w:val="003D7326"/>
    <w:rsid w:val="003E7E72"/>
    <w:rsid w:val="003F2050"/>
    <w:rsid w:val="003F23CB"/>
    <w:rsid w:val="003F7310"/>
    <w:rsid w:val="004018FA"/>
    <w:rsid w:val="00401F44"/>
    <w:rsid w:val="00402436"/>
    <w:rsid w:val="00406E43"/>
    <w:rsid w:val="00410B8F"/>
    <w:rsid w:val="00410FFA"/>
    <w:rsid w:val="00412A60"/>
    <w:rsid w:val="00414E3D"/>
    <w:rsid w:val="00420B21"/>
    <w:rsid w:val="00425A76"/>
    <w:rsid w:val="004266FD"/>
    <w:rsid w:val="004336D5"/>
    <w:rsid w:val="004359E1"/>
    <w:rsid w:val="00444B8A"/>
    <w:rsid w:val="0044544E"/>
    <w:rsid w:val="0046121E"/>
    <w:rsid w:val="00471E9A"/>
    <w:rsid w:val="00476C93"/>
    <w:rsid w:val="004775A9"/>
    <w:rsid w:val="00483279"/>
    <w:rsid w:val="004854EA"/>
    <w:rsid w:val="004962D6"/>
    <w:rsid w:val="004A2896"/>
    <w:rsid w:val="004A691E"/>
    <w:rsid w:val="004B42D9"/>
    <w:rsid w:val="004C1E79"/>
    <w:rsid w:val="004C34A8"/>
    <w:rsid w:val="004C4DD4"/>
    <w:rsid w:val="004C6177"/>
    <w:rsid w:val="004E1405"/>
    <w:rsid w:val="004F1618"/>
    <w:rsid w:val="004F78AD"/>
    <w:rsid w:val="0050450E"/>
    <w:rsid w:val="005124C3"/>
    <w:rsid w:val="00513F46"/>
    <w:rsid w:val="00515509"/>
    <w:rsid w:val="005173B3"/>
    <w:rsid w:val="005223F4"/>
    <w:rsid w:val="005257F7"/>
    <w:rsid w:val="00525C63"/>
    <w:rsid w:val="00534E5A"/>
    <w:rsid w:val="00535EEA"/>
    <w:rsid w:val="0053715B"/>
    <w:rsid w:val="00537C49"/>
    <w:rsid w:val="005411E9"/>
    <w:rsid w:val="005445AD"/>
    <w:rsid w:val="00547D25"/>
    <w:rsid w:val="00550A0B"/>
    <w:rsid w:val="005532FB"/>
    <w:rsid w:val="005564F3"/>
    <w:rsid w:val="005569FF"/>
    <w:rsid w:val="00561918"/>
    <w:rsid w:val="0056271D"/>
    <w:rsid w:val="005731B2"/>
    <w:rsid w:val="0057602C"/>
    <w:rsid w:val="00581649"/>
    <w:rsid w:val="005914E9"/>
    <w:rsid w:val="005962CB"/>
    <w:rsid w:val="00596A08"/>
    <w:rsid w:val="00597794"/>
    <w:rsid w:val="005A18B1"/>
    <w:rsid w:val="005A191B"/>
    <w:rsid w:val="005A3A92"/>
    <w:rsid w:val="005A52A5"/>
    <w:rsid w:val="005B6CCD"/>
    <w:rsid w:val="005C2D0C"/>
    <w:rsid w:val="005C372E"/>
    <w:rsid w:val="005C4710"/>
    <w:rsid w:val="005F051E"/>
    <w:rsid w:val="005F3C1F"/>
    <w:rsid w:val="00601056"/>
    <w:rsid w:val="006020A8"/>
    <w:rsid w:val="00604C5C"/>
    <w:rsid w:val="006050C9"/>
    <w:rsid w:val="0061566F"/>
    <w:rsid w:val="006239D7"/>
    <w:rsid w:val="006242E3"/>
    <w:rsid w:val="00631589"/>
    <w:rsid w:val="00632838"/>
    <w:rsid w:val="00647241"/>
    <w:rsid w:val="0065272E"/>
    <w:rsid w:val="0066342B"/>
    <w:rsid w:val="00667B5A"/>
    <w:rsid w:val="006701E6"/>
    <w:rsid w:val="00671439"/>
    <w:rsid w:val="00672C89"/>
    <w:rsid w:val="00677855"/>
    <w:rsid w:val="0068226E"/>
    <w:rsid w:val="0068242D"/>
    <w:rsid w:val="00685DB4"/>
    <w:rsid w:val="006923BE"/>
    <w:rsid w:val="006954E9"/>
    <w:rsid w:val="006A2AA5"/>
    <w:rsid w:val="006B3E94"/>
    <w:rsid w:val="006B6918"/>
    <w:rsid w:val="006C0700"/>
    <w:rsid w:val="006D1663"/>
    <w:rsid w:val="006E36FA"/>
    <w:rsid w:val="006E628C"/>
    <w:rsid w:val="006E6C57"/>
    <w:rsid w:val="006F04DF"/>
    <w:rsid w:val="006F5B33"/>
    <w:rsid w:val="006F768C"/>
    <w:rsid w:val="00701E2D"/>
    <w:rsid w:val="007062DC"/>
    <w:rsid w:val="007118EF"/>
    <w:rsid w:val="0071446F"/>
    <w:rsid w:val="007145EA"/>
    <w:rsid w:val="00720CF5"/>
    <w:rsid w:val="00725E9C"/>
    <w:rsid w:val="0073015F"/>
    <w:rsid w:val="00734BBF"/>
    <w:rsid w:val="0074345D"/>
    <w:rsid w:val="00746A84"/>
    <w:rsid w:val="00747465"/>
    <w:rsid w:val="0074787D"/>
    <w:rsid w:val="0075132F"/>
    <w:rsid w:val="00751711"/>
    <w:rsid w:val="00761C83"/>
    <w:rsid w:val="00763D38"/>
    <w:rsid w:val="00764506"/>
    <w:rsid w:val="0076497E"/>
    <w:rsid w:val="00764AA9"/>
    <w:rsid w:val="007663A9"/>
    <w:rsid w:val="0076727A"/>
    <w:rsid w:val="007775A9"/>
    <w:rsid w:val="0078649C"/>
    <w:rsid w:val="0079126D"/>
    <w:rsid w:val="00792A3B"/>
    <w:rsid w:val="00792E1D"/>
    <w:rsid w:val="007936F8"/>
    <w:rsid w:val="007941F6"/>
    <w:rsid w:val="00794588"/>
    <w:rsid w:val="00794BB4"/>
    <w:rsid w:val="0079617B"/>
    <w:rsid w:val="007C0BB9"/>
    <w:rsid w:val="007C202B"/>
    <w:rsid w:val="007C22D0"/>
    <w:rsid w:val="007C296C"/>
    <w:rsid w:val="007D00AC"/>
    <w:rsid w:val="007D4032"/>
    <w:rsid w:val="007E3C21"/>
    <w:rsid w:val="007E569D"/>
    <w:rsid w:val="007F0EA0"/>
    <w:rsid w:val="007F2C09"/>
    <w:rsid w:val="007F3869"/>
    <w:rsid w:val="00803F62"/>
    <w:rsid w:val="008104A0"/>
    <w:rsid w:val="00812091"/>
    <w:rsid w:val="00813F5E"/>
    <w:rsid w:val="0081482C"/>
    <w:rsid w:val="00815170"/>
    <w:rsid w:val="00815601"/>
    <w:rsid w:val="00822906"/>
    <w:rsid w:val="00827720"/>
    <w:rsid w:val="0085007B"/>
    <w:rsid w:val="00851899"/>
    <w:rsid w:val="00856EB5"/>
    <w:rsid w:val="00860B28"/>
    <w:rsid w:val="00861E5B"/>
    <w:rsid w:val="008625E2"/>
    <w:rsid w:val="00862958"/>
    <w:rsid w:val="00864E75"/>
    <w:rsid w:val="008705FD"/>
    <w:rsid w:val="0087221B"/>
    <w:rsid w:val="00880E0B"/>
    <w:rsid w:val="008820F6"/>
    <w:rsid w:val="00882B1D"/>
    <w:rsid w:val="00883C65"/>
    <w:rsid w:val="008843C2"/>
    <w:rsid w:val="00885619"/>
    <w:rsid w:val="00892ED8"/>
    <w:rsid w:val="008974C6"/>
    <w:rsid w:val="008A0DF8"/>
    <w:rsid w:val="008A50F1"/>
    <w:rsid w:val="008B79C6"/>
    <w:rsid w:val="008C5E3A"/>
    <w:rsid w:val="008D2196"/>
    <w:rsid w:val="008D3F14"/>
    <w:rsid w:val="008D5A50"/>
    <w:rsid w:val="008E3C89"/>
    <w:rsid w:val="008E4E3D"/>
    <w:rsid w:val="008E5278"/>
    <w:rsid w:val="008E550A"/>
    <w:rsid w:val="00906A6F"/>
    <w:rsid w:val="00910538"/>
    <w:rsid w:val="00924526"/>
    <w:rsid w:val="009363BB"/>
    <w:rsid w:val="0093672C"/>
    <w:rsid w:val="009369E5"/>
    <w:rsid w:val="00942CA7"/>
    <w:rsid w:val="0095161E"/>
    <w:rsid w:val="00952760"/>
    <w:rsid w:val="00964EF4"/>
    <w:rsid w:val="009667C9"/>
    <w:rsid w:val="00966CAC"/>
    <w:rsid w:val="00972E9E"/>
    <w:rsid w:val="009736E7"/>
    <w:rsid w:val="009833D3"/>
    <w:rsid w:val="00986126"/>
    <w:rsid w:val="00986DAF"/>
    <w:rsid w:val="00990E9E"/>
    <w:rsid w:val="00994445"/>
    <w:rsid w:val="0099786C"/>
    <w:rsid w:val="009A1716"/>
    <w:rsid w:val="009A2578"/>
    <w:rsid w:val="009A4B4F"/>
    <w:rsid w:val="009B0C89"/>
    <w:rsid w:val="009B1825"/>
    <w:rsid w:val="009B6448"/>
    <w:rsid w:val="009C50B3"/>
    <w:rsid w:val="009C787E"/>
    <w:rsid w:val="009D525F"/>
    <w:rsid w:val="009D52D3"/>
    <w:rsid w:val="009D61AF"/>
    <w:rsid w:val="009D67F6"/>
    <w:rsid w:val="009E0A90"/>
    <w:rsid w:val="009E47D6"/>
    <w:rsid w:val="009E6FC2"/>
    <w:rsid w:val="009E7895"/>
    <w:rsid w:val="009F40BF"/>
    <w:rsid w:val="009F6935"/>
    <w:rsid w:val="009F6EF8"/>
    <w:rsid w:val="00A02F3C"/>
    <w:rsid w:val="00A04C0D"/>
    <w:rsid w:val="00A072C6"/>
    <w:rsid w:val="00A14B2E"/>
    <w:rsid w:val="00A217E4"/>
    <w:rsid w:val="00A23821"/>
    <w:rsid w:val="00A24CCE"/>
    <w:rsid w:val="00A27009"/>
    <w:rsid w:val="00A33EF9"/>
    <w:rsid w:val="00A40306"/>
    <w:rsid w:val="00A51027"/>
    <w:rsid w:val="00A5193E"/>
    <w:rsid w:val="00A54FF1"/>
    <w:rsid w:val="00A56A74"/>
    <w:rsid w:val="00A62C1F"/>
    <w:rsid w:val="00A67076"/>
    <w:rsid w:val="00A71691"/>
    <w:rsid w:val="00A867FD"/>
    <w:rsid w:val="00A93B65"/>
    <w:rsid w:val="00A95B75"/>
    <w:rsid w:val="00A965F1"/>
    <w:rsid w:val="00A978DA"/>
    <w:rsid w:val="00AB1392"/>
    <w:rsid w:val="00AC23CD"/>
    <w:rsid w:val="00AC2FC7"/>
    <w:rsid w:val="00AC4E81"/>
    <w:rsid w:val="00AD6762"/>
    <w:rsid w:val="00AD6863"/>
    <w:rsid w:val="00AD68E9"/>
    <w:rsid w:val="00AE3130"/>
    <w:rsid w:val="00AE3F2C"/>
    <w:rsid w:val="00AE4197"/>
    <w:rsid w:val="00AE6857"/>
    <w:rsid w:val="00AE7021"/>
    <w:rsid w:val="00B053E2"/>
    <w:rsid w:val="00B22A24"/>
    <w:rsid w:val="00B23EFA"/>
    <w:rsid w:val="00B25308"/>
    <w:rsid w:val="00B350FE"/>
    <w:rsid w:val="00B36486"/>
    <w:rsid w:val="00B4483F"/>
    <w:rsid w:val="00B628E0"/>
    <w:rsid w:val="00B6683D"/>
    <w:rsid w:val="00B66A13"/>
    <w:rsid w:val="00B67B03"/>
    <w:rsid w:val="00B74096"/>
    <w:rsid w:val="00B7699A"/>
    <w:rsid w:val="00B851D7"/>
    <w:rsid w:val="00B873CD"/>
    <w:rsid w:val="00B940BD"/>
    <w:rsid w:val="00BA45E1"/>
    <w:rsid w:val="00BA7BBE"/>
    <w:rsid w:val="00BB0359"/>
    <w:rsid w:val="00BB13F6"/>
    <w:rsid w:val="00BB2174"/>
    <w:rsid w:val="00BB221D"/>
    <w:rsid w:val="00BC2736"/>
    <w:rsid w:val="00BC3C5B"/>
    <w:rsid w:val="00BC4E33"/>
    <w:rsid w:val="00BC78A4"/>
    <w:rsid w:val="00BD2FB4"/>
    <w:rsid w:val="00BD36DA"/>
    <w:rsid w:val="00BE41EC"/>
    <w:rsid w:val="00BE5684"/>
    <w:rsid w:val="00BF646E"/>
    <w:rsid w:val="00BF6E18"/>
    <w:rsid w:val="00BF7FAB"/>
    <w:rsid w:val="00C07A1C"/>
    <w:rsid w:val="00C118BD"/>
    <w:rsid w:val="00C25C26"/>
    <w:rsid w:val="00C265A2"/>
    <w:rsid w:val="00C37C68"/>
    <w:rsid w:val="00C45261"/>
    <w:rsid w:val="00C560C1"/>
    <w:rsid w:val="00C62665"/>
    <w:rsid w:val="00C63EF0"/>
    <w:rsid w:val="00C666FB"/>
    <w:rsid w:val="00C70FB4"/>
    <w:rsid w:val="00C740E6"/>
    <w:rsid w:val="00C77AC9"/>
    <w:rsid w:val="00C81034"/>
    <w:rsid w:val="00C8212C"/>
    <w:rsid w:val="00C8444B"/>
    <w:rsid w:val="00C85BB7"/>
    <w:rsid w:val="00C95C67"/>
    <w:rsid w:val="00CA2D13"/>
    <w:rsid w:val="00CA368D"/>
    <w:rsid w:val="00CA537F"/>
    <w:rsid w:val="00CA68BE"/>
    <w:rsid w:val="00CC1910"/>
    <w:rsid w:val="00CC22FD"/>
    <w:rsid w:val="00CC2684"/>
    <w:rsid w:val="00CC3A58"/>
    <w:rsid w:val="00CD3931"/>
    <w:rsid w:val="00CE5C39"/>
    <w:rsid w:val="00CE6BC4"/>
    <w:rsid w:val="00CF048A"/>
    <w:rsid w:val="00CF0547"/>
    <w:rsid w:val="00CF40BA"/>
    <w:rsid w:val="00CF793F"/>
    <w:rsid w:val="00D10E88"/>
    <w:rsid w:val="00D17353"/>
    <w:rsid w:val="00D177A7"/>
    <w:rsid w:val="00D235CC"/>
    <w:rsid w:val="00D24CF8"/>
    <w:rsid w:val="00D27661"/>
    <w:rsid w:val="00D33C93"/>
    <w:rsid w:val="00D3411E"/>
    <w:rsid w:val="00D34E38"/>
    <w:rsid w:val="00D37E71"/>
    <w:rsid w:val="00D41A34"/>
    <w:rsid w:val="00D476AC"/>
    <w:rsid w:val="00D505A1"/>
    <w:rsid w:val="00D53684"/>
    <w:rsid w:val="00D66A89"/>
    <w:rsid w:val="00D8018D"/>
    <w:rsid w:val="00D801A1"/>
    <w:rsid w:val="00D81EF0"/>
    <w:rsid w:val="00D83135"/>
    <w:rsid w:val="00D91BF0"/>
    <w:rsid w:val="00D9574F"/>
    <w:rsid w:val="00DB0ABA"/>
    <w:rsid w:val="00DB14B0"/>
    <w:rsid w:val="00DC7A7C"/>
    <w:rsid w:val="00DD5CDB"/>
    <w:rsid w:val="00DD63D4"/>
    <w:rsid w:val="00DE4235"/>
    <w:rsid w:val="00DE77D8"/>
    <w:rsid w:val="00DF4890"/>
    <w:rsid w:val="00DF6938"/>
    <w:rsid w:val="00DF78E5"/>
    <w:rsid w:val="00E0359B"/>
    <w:rsid w:val="00E163E4"/>
    <w:rsid w:val="00E20248"/>
    <w:rsid w:val="00E2282B"/>
    <w:rsid w:val="00E24800"/>
    <w:rsid w:val="00E3063B"/>
    <w:rsid w:val="00E401B1"/>
    <w:rsid w:val="00E42719"/>
    <w:rsid w:val="00E44518"/>
    <w:rsid w:val="00E46829"/>
    <w:rsid w:val="00E53F51"/>
    <w:rsid w:val="00E62CBC"/>
    <w:rsid w:val="00E6312C"/>
    <w:rsid w:val="00E6462E"/>
    <w:rsid w:val="00E7086F"/>
    <w:rsid w:val="00E70B45"/>
    <w:rsid w:val="00E7142E"/>
    <w:rsid w:val="00E71C13"/>
    <w:rsid w:val="00E74096"/>
    <w:rsid w:val="00E760B7"/>
    <w:rsid w:val="00E76EDB"/>
    <w:rsid w:val="00E838D9"/>
    <w:rsid w:val="00E94ACE"/>
    <w:rsid w:val="00EA26AC"/>
    <w:rsid w:val="00EA69BC"/>
    <w:rsid w:val="00EB2B5A"/>
    <w:rsid w:val="00EB7BBC"/>
    <w:rsid w:val="00ED1002"/>
    <w:rsid w:val="00EF0590"/>
    <w:rsid w:val="00EF1F95"/>
    <w:rsid w:val="00EF3263"/>
    <w:rsid w:val="00F0209D"/>
    <w:rsid w:val="00F13D51"/>
    <w:rsid w:val="00F17CBB"/>
    <w:rsid w:val="00F24241"/>
    <w:rsid w:val="00F31006"/>
    <w:rsid w:val="00F53985"/>
    <w:rsid w:val="00F57B9D"/>
    <w:rsid w:val="00F65916"/>
    <w:rsid w:val="00F74DAC"/>
    <w:rsid w:val="00F9052D"/>
    <w:rsid w:val="00FA0070"/>
    <w:rsid w:val="00FA2573"/>
    <w:rsid w:val="00FA36A3"/>
    <w:rsid w:val="00FB6DC1"/>
    <w:rsid w:val="00FB7FAC"/>
    <w:rsid w:val="00FC0903"/>
    <w:rsid w:val="00FC178C"/>
    <w:rsid w:val="00FC7953"/>
    <w:rsid w:val="00FD2EBE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22A724"/>
  <w15:docId w15:val="{1061CA68-68A7-4471-B2B7-F6823D9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838"/>
    <w:pPr>
      <w:keepNext/>
      <w:spacing w:before="240" w:after="60"/>
      <w:ind w:left="1068" w:hanging="360"/>
      <w:jc w:val="both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2838"/>
    <w:rPr>
      <w:rFonts w:ascii="Arial" w:hAnsi="Arial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32838"/>
    <w:pPr>
      <w:spacing w:line="360" w:lineRule="auto"/>
      <w:ind w:left="720"/>
      <w:jc w:val="both"/>
    </w:pPr>
    <w:rPr>
      <w:rFonts w:ascii="Arial" w:eastAsia="Times New Roman" w:hAnsi="Arial" w:cs="Arial"/>
      <w:bCs/>
      <w:lang w:eastAsia="en-US"/>
    </w:rPr>
  </w:style>
  <w:style w:type="paragraph" w:customStyle="1" w:styleId="a">
    <w:name w:val="Списък на абзаци"/>
    <w:basedOn w:val="Normal"/>
    <w:uiPriority w:val="99"/>
    <w:rsid w:val="00632838"/>
    <w:pPr>
      <w:spacing w:line="360" w:lineRule="auto"/>
      <w:ind w:left="720"/>
      <w:jc w:val="both"/>
    </w:pPr>
    <w:rPr>
      <w:rFonts w:ascii="Arial" w:eastAsia="Times New Roman" w:hAnsi="Arial" w:cs="Arial"/>
      <w:bCs/>
      <w:lang w:eastAsia="en-US"/>
    </w:rPr>
  </w:style>
  <w:style w:type="paragraph" w:customStyle="1" w:styleId="Default">
    <w:name w:val="Default"/>
    <w:rsid w:val="0063158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NoSpacing">
    <w:name w:val="No Spacing"/>
    <w:uiPriority w:val="99"/>
    <w:qFormat/>
    <w:rsid w:val="00B74096"/>
    <w:rPr>
      <w:rFonts w:ascii="Calibri" w:hAnsi="Calibri"/>
      <w:lang w:val="en-US" w:eastAsia="en-US"/>
    </w:rPr>
  </w:style>
  <w:style w:type="character" w:customStyle="1" w:styleId="A0">
    <w:name w:val="A0"/>
    <w:uiPriority w:val="99"/>
    <w:rsid w:val="00C63EF0"/>
    <w:rPr>
      <w:color w:val="000000"/>
      <w:sz w:val="18"/>
    </w:rPr>
  </w:style>
  <w:style w:type="character" w:customStyle="1" w:styleId="rynqvb">
    <w:name w:val="rynqvb"/>
    <w:basedOn w:val="DefaultParagraphFont"/>
    <w:rsid w:val="0022736E"/>
  </w:style>
  <w:style w:type="paragraph" w:styleId="NormalWeb">
    <w:name w:val="Normal (Web)"/>
    <w:basedOn w:val="Normal"/>
    <w:uiPriority w:val="99"/>
    <w:unhideWhenUsed/>
    <w:rsid w:val="008120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1042</Words>
  <Characters>6715</Characters>
  <Application>Microsoft Office Word</Application>
  <DocSecurity>0</DocSecurity>
  <Lines>111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GI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23</dc:creator>
  <cp:lastModifiedBy>Studentska Mobilnost</cp:lastModifiedBy>
  <cp:revision>23</cp:revision>
  <cp:lastPrinted>2025-12-11T13:25:00Z</cp:lastPrinted>
  <dcterms:created xsi:type="dcterms:W3CDTF">2025-12-10T13:13:00Z</dcterms:created>
  <dcterms:modified xsi:type="dcterms:W3CDTF">2025-12-11T13:28:00Z</dcterms:modified>
</cp:coreProperties>
</file>