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A8" w:rsidRPr="005876FC" w:rsidRDefault="005375A8" w:rsidP="005375A8">
      <w:pPr>
        <w:ind w:firstLine="0"/>
        <w:jc w:val="left"/>
        <w:rPr>
          <w:rFonts w:ascii="Arial Narrow" w:hAnsi="Arial Narrow"/>
          <w:sz w:val="17"/>
          <w:szCs w:val="17"/>
        </w:rPr>
      </w:pPr>
      <w:r w:rsidRPr="005876FC">
        <w:rPr>
          <w:rFonts w:ascii="Arial Narrow" w:hAnsi="Arial Narrow"/>
          <w:sz w:val="17"/>
          <w:szCs w:val="17"/>
        </w:rPr>
        <w:t>ГОДИШНИК НА МИННО-ГЕОЛОЖКИЯ УНИВЕРСИТЕТ “СВ. ИВАН РИЛСКИ”, Том 57, Св. II, Добив и преработка на минерални суровини, 2014</w:t>
      </w:r>
    </w:p>
    <w:p w:rsidR="005375A8" w:rsidRPr="005876FC" w:rsidRDefault="005375A8" w:rsidP="005375A8">
      <w:pPr>
        <w:ind w:firstLine="0"/>
        <w:jc w:val="left"/>
        <w:rPr>
          <w:rFonts w:ascii="Arial Narrow" w:hAnsi="Arial Narrow"/>
          <w:sz w:val="17"/>
          <w:szCs w:val="17"/>
        </w:rPr>
      </w:pPr>
      <w:r w:rsidRPr="005876FC">
        <w:rPr>
          <w:rFonts w:ascii="Arial Narrow" w:hAnsi="Arial Narrow"/>
          <w:sz w:val="17"/>
          <w:szCs w:val="17"/>
        </w:rPr>
        <w:t xml:space="preserve">ANNUAL OF THE UNIVERSITY OF MINING AND GEOLOGY “ST. IVAN RILSKI”, </w:t>
      </w:r>
      <w:proofErr w:type="spellStart"/>
      <w:r w:rsidRPr="005876FC">
        <w:rPr>
          <w:rFonts w:ascii="Arial Narrow" w:hAnsi="Arial Narrow"/>
          <w:sz w:val="17"/>
          <w:szCs w:val="17"/>
        </w:rPr>
        <w:t>Vol</w:t>
      </w:r>
      <w:proofErr w:type="spellEnd"/>
      <w:r w:rsidRPr="005876FC">
        <w:rPr>
          <w:rFonts w:ascii="Arial Narrow" w:hAnsi="Arial Narrow"/>
          <w:sz w:val="17"/>
          <w:szCs w:val="17"/>
        </w:rPr>
        <w:t xml:space="preserve">. 57, </w:t>
      </w:r>
      <w:proofErr w:type="spellStart"/>
      <w:r w:rsidRPr="005876FC">
        <w:rPr>
          <w:rFonts w:ascii="Arial Narrow" w:hAnsi="Arial Narrow"/>
          <w:sz w:val="17"/>
          <w:szCs w:val="17"/>
        </w:rPr>
        <w:t>Part</w:t>
      </w:r>
      <w:proofErr w:type="spellEnd"/>
      <w:r w:rsidRPr="005876FC">
        <w:rPr>
          <w:rFonts w:ascii="Arial Narrow" w:hAnsi="Arial Narrow"/>
          <w:sz w:val="17"/>
          <w:szCs w:val="17"/>
        </w:rPr>
        <w:t xml:space="preserve"> ІI, </w:t>
      </w:r>
      <w:proofErr w:type="spellStart"/>
      <w:r w:rsidRPr="005876FC">
        <w:rPr>
          <w:rFonts w:ascii="Arial Narrow" w:hAnsi="Arial Narrow"/>
          <w:sz w:val="17"/>
          <w:szCs w:val="17"/>
        </w:rPr>
        <w:t>Mining</w:t>
      </w:r>
      <w:proofErr w:type="spellEnd"/>
      <w:r w:rsidRPr="005876FC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5876FC">
        <w:rPr>
          <w:rFonts w:ascii="Arial Narrow" w:hAnsi="Arial Narrow"/>
          <w:sz w:val="17"/>
          <w:szCs w:val="17"/>
        </w:rPr>
        <w:t>and</w:t>
      </w:r>
      <w:proofErr w:type="spellEnd"/>
      <w:r w:rsidRPr="005876FC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5876FC">
        <w:rPr>
          <w:rFonts w:ascii="Arial Narrow" w:hAnsi="Arial Narrow"/>
          <w:sz w:val="17"/>
          <w:szCs w:val="17"/>
        </w:rPr>
        <w:t>Mineral</w:t>
      </w:r>
      <w:proofErr w:type="spellEnd"/>
      <w:r w:rsidRPr="005876FC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5876FC">
        <w:rPr>
          <w:rFonts w:ascii="Arial Narrow" w:hAnsi="Arial Narrow"/>
          <w:sz w:val="17"/>
          <w:szCs w:val="17"/>
        </w:rPr>
        <w:t>processing</w:t>
      </w:r>
      <w:proofErr w:type="spellEnd"/>
      <w:r w:rsidRPr="005876FC">
        <w:rPr>
          <w:rFonts w:ascii="Arial Narrow" w:hAnsi="Arial Narrow"/>
          <w:sz w:val="17"/>
          <w:szCs w:val="17"/>
        </w:rPr>
        <w:t>, 2014</w:t>
      </w:r>
    </w:p>
    <w:p w:rsidR="000910F8" w:rsidRPr="00D107E2" w:rsidRDefault="000910F8" w:rsidP="005375A8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val="en-US" w:eastAsia="bg-BG"/>
        </w:rPr>
      </w:pPr>
    </w:p>
    <w:p w:rsidR="000910F8" w:rsidRPr="00D107E2" w:rsidRDefault="000910F8" w:rsidP="000910F8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val="en-US" w:eastAsia="bg-BG"/>
        </w:rPr>
      </w:pPr>
    </w:p>
    <w:p w:rsidR="000910F8" w:rsidRPr="00D107E2" w:rsidRDefault="000910F8" w:rsidP="000910F8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val="en-US" w:eastAsia="bg-BG"/>
        </w:rPr>
      </w:pPr>
    </w:p>
    <w:p w:rsidR="000910F8" w:rsidRPr="00D107E2" w:rsidRDefault="000910F8" w:rsidP="000910F8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val="en-US" w:eastAsia="bg-BG"/>
        </w:rPr>
      </w:pPr>
    </w:p>
    <w:p w:rsidR="000910F8" w:rsidRPr="00D107E2" w:rsidRDefault="000910F8" w:rsidP="000910F8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val="en-US" w:eastAsia="bg-BG"/>
        </w:rPr>
      </w:pPr>
    </w:p>
    <w:p w:rsidR="000910F8" w:rsidRPr="00D107E2" w:rsidRDefault="000910F8" w:rsidP="000910F8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val="en-US" w:eastAsia="bg-BG"/>
        </w:rPr>
      </w:pPr>
    </w:p>
    <w:p w:rsidR="003B3D61" w:rsidRPr="005375A8" w:rsidRDefault="00CA1828" w:rsidP="000910F8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b/>
          <w:noProof/>
          <w:sz w:val="28"/>
          <w:szCs w:val="28"/>
          <w:lang w:eastAsia="bg-BG"/>
        </w:rPr>
      </w:pPr>
      <w:r w:rsidRPr="005375A8">
        <w:rPr>
          <w:rFonts w:ascii="Arial Narrow" w:eastAsia="Times New Roman" w:hAnsi="Arial Narrow" w:cs="Times New Roman"/>
          <w:b/>
          <w:noProof/>
          <w:sz w:val="28"/>
          <w:szCs w:val="28"/>
          <w:lang w:eastAsia="bg-BG"/>
        </w:rPr>
        <w:t>АНАЛИЗ НА ВЪЗДЕЙСТВИЕТО НА ВЪЗДУШНАТА УДАРНА ВЪЛНА ЗА УСЛОВИЯТА НА КАРИЕРА „ЦЕЛОВИЖДА“</w:t>
      </w:r>
    </w:p>
    <w:p w:rsidR="00F24FD5" w:rsidRPr="00D107E2" w:rsidRDefault="00F24FD5" w:rsidP="000910F8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eastAsia="bg-BG"/>
        </w:rPr>
      </w:pPr>
    </w:p>
    <w:p w:rsidR="009B69E6" w:rsidRPr="00D107E2" w:rsidRDefault="009B69E6" w:rsidP="009B69E6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eastAsia="bg-BG"/>
        </w:rPr>
      </w:pPr>
      <w:r w:rsidRPr="00D107E2">
        <w:rPr>
          <w:rFonts w:ascii="Arial Narrow" w:eastAsia="Times New Roman" w:hAnsi="Arial Narrow" w:cs="Times New Roman"/>
          <w:b/>
          <w:i/>
          <w:noProof/>
          <w:szCs w:val="24"/>
          <w:lang w:eastAsia="bg-BG"/>
        </w:rPr>
        <w:t>Сибила Стоилова</w:t>
      </w:r>
      <w:r w:rsidRPr="00D107E2">
        <w:rPr>
          <w:rFonts w:ascii="Arial Narrow" w:eastAsia="Times New Roman" w:hAnsi="Arial Narrow" w:cs="Times New Roman"/>
          <w:b/>
          <w:i/>
          <w:noProof/>
          <w:szCs w:val="24"/>
          <w:vertAlign w:val="superscript"/>
          <w:lang w:eastAsia="bg-BG"/>
        </w:rPr>
        <w:t>1</w:t>
      </w:r>
      <w:r w:rsidRPr="00D107E2">
        <w:rPr>
          <w:rFonts w:ascii="Arial Narrow" w:eastAsia="Times New Roman" w:hAnsi="Arial Narrow" w:cs="Times New Roman"/>
          <w:b/>
          <w:i/>
          <w:noProof/>
          <w:szCs w:val="24"/>
          <w:lang w:eastAsia="bg-BG"/>
        </w:rPr>
        <w:t>, Валери Митков</w:t>
      </w:r>
      <w:r w:rsidRPr="00D107E2">
        <w:rPr>
          <w:rFonts w:ascii="Arial Narrow" w:eastAsia="Times New Roman" w:hAnsi="Arial Narrow" w:cs="Times New Roman"/>
          <w:b/>
          <w:i/>
          <w:noProof/>
          <w:szCs w:val="24"/>
          <w:vertAlign w:val="superscript"/>
          <w:lang w:val="en-US" w:eastAsia="bg-BG"/>
        </w:rPr>
        <w:t>2</w:t>
      </w:r>
      <w:r w:rsidRPr="00D107E2">
        <w:rPr>
          <w:rFonts w:ascii="Arial Narrow" w:eastAsia="Times New Roman" w:hAnsi="Arial Narrow" w:cs="Times New Roman"/>
          <w:b/>
          <w:i/>
          <w:noProof/>
          <w:szCs w:val="24"/>
          <w:lang w:eastAsia="bg-BG"/>
        </w:rPr>
        <w:t>, Владимир Белин</w:t>
      </w:r>
      <w:r w:rsidRPr="00D107E2">
        <w:rPr>
          <w:rFonts w:ascii="Arial Narrow" w:eastAsia="Times New Roman" w:hAnsi="Arial Narrow" w:cs="Times New Roman"/>
          <w:b/>
          <w:i/>
          <w:noProof/>
          <w:szCs w:val="24"/>
          <w:vertAlign w:val="superscript"/>
          <w:lang w:val="en-US" w:eastAsia="bg-BG"/>
        </w:rPr>
        <w:t>3</w:t>
      </w:r>
    </w:p>
    <w:p w:rsidR="009B69E6" w:rsidRPr="00D107E2" w:rsidRDefault="009B69E6" w:rsidP="009B69E6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eastAsia="bg-BG"/>
        </w:rPr>
      </w:pPr>
    </w:p>
    <w:p w:rsidR="009B69E6" w:rsidRPr="00D107E2" w:rsidRDefault="009B69E6" w:rsidP="009B69E6">
      <w:pPr>
        <w:pStyle w:val="ListParagraph"/>
        <w:ind w:left="0" w:firstLine="0"/>
        <w:rPr>
          <w:rFonts w:ascii="Arial Narrow" w:eastAsia="Times New Roman" w:hAnsi="Arial Narrow" w:cs="Times New Roman"/>
          <w:i/>
          <w:noProof/>
          <w:sz w:val="20"/>
          <w:szCs w:val="20"/>
          <w:lang w:val="en-US" w:eastAsia="bg-BG"/>
        </w:rPr>
      </w:pPr>
      <w:r w:rsidRPr="00D107E2">
        <w:rPr>
          <w:rFonts w:ascii="Arial Narrow" w:eastAsia="Times New Roman" w:hAnsi="Arial Narrow" w:cs="Times New Roman"/>
          <w:i/>
          <w:noProof/>
          <w:sz w:val="20"/>
          <w:szCs w:val="20"/>
          <w:vertAlign w:val="superscript"/>
          <w:lang w:eastAsia="bg-BG"/>
        </w:rPr>
        <w:t>1</w:t>
      </w:r>
      <w:r w:rsidRPr="00D107E2">
        <w:rPr>
          <w:rFonts w:ascii="Arial Narrow" w:eastAsia="Times New Roman" w:hAnsi="Arial Narrow" w:cs="Times New Roman"/>
          <w:i/>
          <w:noProof/>
          <w:sz w:val="20"/>
          <w:szCs w:val="20"/>
          <w:lang w:eastAsia="bg-BG"/>
        </w:rPr>
        <w:t>Минно-геоложки университет „Св. Иван Рилски“</w:t>
      </w:r>
      <w:r w:rsidRPr="00D107E2">
        <w:rPr>
          <w:rFonts w:ascii="Arial Narrow" w:eastAsia="Times New Roman" w:hAnsi="Arial Narrow" w:cs="Times New Roman"/>
          <w:i/>
          <w:noProof/>
          <w:sz w:val="20"/>
          <w:szCs w:val="20"/>
          <w:lang w:val="en-US" w:eastAsia="bg-BG"/>
        </w:rPr>
        <w:t>,</w:t>
      </w:r>
      <w:r w:rsidRPr="00D107E2">
        <w:rPr>
          <w:rFonts w:ascii="Arial Narrow" w:eastAsia="Times New Roman" w:hAnsi="Arial Narrow" w:cs="Times New Roman"/>
          <w:i/>
          <w:noProof/>
          <w:sz w:val="20"/>
          <w:szCs w:val="20"/>
          <w:lang w:eastAsia="bg-BG"/>
        </w:rPr>
        <w:t xml:space="preserve"> 1700 София,</w:t>
      </w:r>
      <w:r w:rsidRPr="00D107E2">
        <w:rPr>
          <w:rFonts w:ascii="Arial Narrow" w:eastAsia="Times New Roman" w:hAnsi="Arial Narrow" w:cs="Times New Roman"/>
          <w:i/>
          <w:noProof/>
          <w:sz w:val="20"/>
          <w:szCs w:val="20"/>
          <w:lang w:val="en-US" w:eastAsia="bg-BG"/>
        </w:rPr>
        <w:t xml:space="preserve"> sibilastoilova@gmail.com</w:t>
      </w:r>
    </w:p>
    <w:p w:rsidR="009B69E6" w:rsidRPr="00D107E2" w:rsidRDefault="009B69E6" w:rsidP="009B69E6">
      <w:pPr>
        <w:pStyle w:val="ListParagraph"/>
        <w:ind w:left="0" w:firstLine="0"/>
        <w:rPr>
          <w:rFonts w:ascii="Arial Narrow" w:eastAsia="Times New Roman" w:hAnsi="Arial Narrow" w:cs="Times New Roman"/>
          <w:i/>
          <w:noProof/>
          <w:sz w:val="20"/>
          <w:szCs w:val="20"/>
          <w:lang w:val="en-US" w:eastAsia="bg-BG"/>
        </w:rPr>
      </w:pPr>
      <w:r w:rsidRPr="00D107E2">
        <w:rPr>
          <w:rFonts w:ascii="Arial Narrow" w:eastAsia="Times New Roman" w:hAnsi="Arial Narrow" w:cs="Times New Roman"/>
          <w:i/>
          <w:noProof/>
          <w:sz w:val="20"/>
          <w:szCs w:val="20"/>
          <w:vertAlign w:val="superscript"/>
          <w:lang w:val="en-US" w:eastAsia="bg-BG"/>
        </w:rPr>
        <w:t>2</w:t>
      </w:r>
      <w:r w:rsidRPr="00D107E2">
        <w:rPr>
          <w:rFonts w:ascii="Arial Narrow" w:eastAsia="Times New Roman" w:hAnsi="Arial Narrow" w:cs="Times New Roman"/>
          <w:i/>
          <w:noProof/>
          <w:sz w:val="20"/>
          <w:szCs w:val="20"/>
          <w:lang w:eastAsia="bg-BG"/>
        </w:rPr>
        <w:t>Минно-геоложки университет „Св. Иван Рилски“</w:t>
      </w:r>
      <w:r w:rsidRPr="00D107E2">
        <w:rPr>
          <w:rFonts w:ascii="Arial Narrow" w:eastAsia="Times New Roman" w:hAnsi="Arial Narrow" w:cs="Times New Roman"/>
          <w:i/>
          <w:noProof/>
          <w:sz w:val="20"/>
          <w:szCs w:val="20"/>
          <w:lang w:val="en-US" w:eastAsia="bg-BG"/>
        </w:rPr>
        <w:t xml:space="preserve">, </w:t>
      </w:r>
      <w:r w:rsidRPr="00D107E2">
        <w:rPr>
          <w:rFonts w:ascii="Arial Narrow" w:eastAsia="Times New Roman" w:hAnsi="Arial Narrow" w:cs="Times New Roman"/>
          <w:i/>
          <w:noProof/>
          <w:sz w:val="20"/>
          <w:szCs w:val="20"/>
          <w:lang w:eastAsia="bg-BG"/>
        </w:rPr>
        <w:t xml:space="preserve">1700 София, </w:t>
      </w:r>
      <w:r w:rsidRPr="00D107E2">
        <w:rPr>
          <w:rFonts w:ascii="Arial Narrow" w:eastAsia="Times New Roman" w:hAnsi="Arial Narrow" w:cs="Times New Roman"/>
          <w:i/>
          <w:noProof/>
          <w:sz w:val="20"/>
          <w:szCs w:val="20"/>
          <w:lang w:val="en-US" w:eastAsia="bg-BG"/>
        </w:rPr>
        <w:t>valery.mitkov@gmail.com</w:t>
      </w:r>
    </w:p>
    <w:p w:rsidR="009B69E6" w:rsidRPr="00D107E2" w:rsidRDefault="009B69E6" w:rsidP="009B69E6">
      <w:pPr>
        <w:pStyle w:val="ListParagraph"/>
        <w:ind w:left="0" w:firstLine="0"/>
        <w:rPr>
          <w:rFonts w:ascii="Arial Narrow" w:eastAsia="Times New Roman" w:hAnsi="Arial Narrow" w:cs="Times New Roman"/>
          <w:i/>
          <w:noProof/>
          <w:sz w:val="20"/>
          <w:szCs w:val="20"/>
          <w:lang w:val="en-US" w:eastAsia="bg-BG"/>
        </w:rPr>
      </w:pPr>
      <w:r w:rsidRPr="00D107E2">
        <w:rPr>
          <w:rFonts w:ascii="Arial Narrow" w:eastAsia="Times New Roman" w:hAnsi="Arial Narrow" w:cs="Times New Roman"/>
          <w:i/>
          <w:noProof/>
          <w:sz w:val="20"/>
          <w:szCs w:val="20"/>
          <w:vertAlign w:val="superscript"/>
          <w:lang w:val="en-US" w:eastAsia="bg-BG"/>
        </w:rPr>
        <w:t>3</w:t>
      </w:r>
      <w:r w:rsidRPr="00D107E2">
        <w:rPr>
          <w:rFonts w:ascii="Arial Narrow" w:eastAsia="Times New Roman" w:hAnsi="Arial Narrow" w:cs="Times New Roman"/>
          <w:i/>
          <w:noProof/>
          <w:sz w:val="20"/>
          <w:szCs w:val="20"/>
          <w:lang w:eastAsia="bg-BG"/>
        </w:rPr>
        <w:t>Московски държавен минен университет</w:t>
      </w:r>
      <w:r w:rsidRPr="00D107E2">
        <w:rPr>
          <w:rFonts w:ascii="Arial Narrow" w:eastAsia="Times New Roman" w:hAnsi="Arial Narrow" w:cs="Times New Roman"/>
          <w:i/>
          <w:noProof/>
          <w:sz w:val="20"/>
          <w:szCs w:val="20"/>
          <w:lang w:val="en-US" w:eastAsia="bg-BG"/>
        </w:rPr>
        <w:t>,</w:t>
      </w:r>
      <w:r w:rsidRPr="00D107E2">
        <w:rPr>
          <w:rFonts w:ascii="Arial Narrow" w:eastAsia="Times New Roman" w:hAnsi="Arial Narrow" w:cs="Times New Roman"/>
          <w:i/>
          <w:noProof/>
          <w:sz w:val="20"/>
          <w:szCs w:val="20"/>
          <w:lang w:eastAsia="bg-BG"/>
        </w:rPr>
        <w:t xml:space="preserve"> </w:t>
      </w:r>
      <w:r w:rsidRPr="00D107E2">
        <w:rPr>
          <w:rFonts w:ascii="Arial Narrow" w:eastAsia="Times New Roman" w:hAnsi="Arial Narrow" w:cs="Times New Roman"/>
          <w:i/>
          <w:noProof/>
          <w:sz w:val="20"/>
          <w:szCs w:val="20"/>
          <w:lang w:val="en-US" w:eastAsia="bg-BG"/>
        </w:rPr>
        <w:t>119991 Москва</w:t>
      </w:r>
    </w:p>
    <w:p w:rsidR="009B69E6" w:rsidRPr="00D107E2" w:rsidRDefault="009B69E6" w:rsidP="009B69E6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eastAsia="bg-BG"/>
        </w:rPr>
      </w:pPr>
    </w:p>
    <w:p w:rsidR="00EE26FF" w:rsidRPr="00D107E2" w:rsidRDefault="009B69E6" w:rsidP="009B69E6">
      <w:pPr>
        <w:pStyle w:val="ListParagraph"/>
        <w:ind w:left="0" w:firstLine="0"/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</w:pPr>
      <w:r w:rsidRPr="00D107E2">
        <w:rPr>
          <w:rFonts w:ascii="Arial Narrow" w:eastAsia="Times New Roman" w:hAnsi="Arial Narrow" w:cs="Times New Roman"/>
          <w:b/>
          <w:noProof/>
          <w:sz w:val="16"/>
          <w:szCs w:val="16"/>
          <w:lang w:eastAsia="bg-BG"/>
        </w:rPr>
        <w:t xml:space="preserve">РЕЗЮМЕ. </w:t>
      </w:r>
      <w:r w:rsidR="00626185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В статията е представен анализът на данни от извършени замервания при </w:t>
      </w:r>
      <w:r w:rsidR="00FA4425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оценка на</w:t>
      </w:r>
      <w:r w:rsidR="00626185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взривосеизмично</w:t>
      </w:r>
      <w:r w:rsidR="00FA4425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то</w:t>
      </w:r>
      <w:r w:rsidR="00626185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</w:t>
      </w:r>
      <w:r w:rsidR="00725956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въздействие </w:t>
      </w:r>
      <w:r w:rsidR="006E3D2C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от </w:t>
      </w:r>
      <w:r w:rsidR="00725956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технологични взривявания </w:t>
      </w:r>
      <w:r w:rsidR="006E3D2C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за условията на кариера „Целовижда“</w:t>
      </w:r>
      <w:r w:rsidR="00B45503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. Отчетените от уредите </w:t>
      </w:r>
      <w:r w:rsidR="003301BA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стойности за нивото на въздушното свръхналягане </w:t>
      </w:r>
      <w:r w:rsidR="003604EC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са предпоставка да се </w:t>
      </w:r>
      <w:r w:rsidR="003A49BB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отч</w:t>
      </w:r>
      <w:r w:rsidR="003A5429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ете </w:t>
      </w:r>
      <w:r w:rsidR="00540F09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степента на</w:t>
      </w:r>
      <w:r w:rsidR="003A5429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смущение </w:t>
      </w:r>
      <w:r w:rsidR="00540F09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на въз</w:t>
      </w:r>
      <w:r w:rsidR="00A93789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душната среда и какво би било въздействието </w:t>
      </w:r>
      <w:r w:rsidR="00EA2E57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му на разстояние</w:t>
      </w:r>
      <w:r w:rsidR="00A93789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определения пункт за измерване /</w:t>
      </w:r>
      <w:r w:rsidR="00286480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охрана на </w:t>
      </w:r>
      <w:r w:rsidR="00A93789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промишлено съоръжение/</w:t>
      </w:r>
      <w:r w:rsidR="00E45458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.</w:t>
      </w:r>
    </w:p>
    <w:p w:rsidR="005143C3" w:rsidRPr="00EE0497" w:rsidRDefault="00B27F29" w:rsidP="005143C3">
      <w:pPr>
        <w:pStyle w:val="ListParagraph"/>
        <w:ind w:left="0" w:firstLine="0"/>
        <w:rPr>
          <w:rFonts w:ascii="Arial Narrow" w:eastAsia="Times New Roman" w:hAnsi="Arial Narrow" w:cs="Times New Roman"/>
          <w:i/>
          <w:noProof/>
          <w:sz w:val="20"/>
          <w:szCs w:val="20"/>
          <w:lang w:eastAsia="bg-BG"/>
        </w:rPr>
      </w:pPr>
      <w:r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В анализа е представено значението на схемата на взривяване, като за основен </w:t>
      </w:r>
      <w:r w:rsidR="00A40D4C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фактор, който дава отражение на степента </w:t>
      </w:r>
      <w:r w:rsidR="0043342B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на </w:t>
      </w:r>
      <w:r w:rsidR="00A40D4C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смущение на въздушната среда</w:t>
      </w:r>
      <w:r w:rsidR="00B20777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,</w:t>
      </w:r>
      <w:r w:rsidR="00A40D4C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се приема първоначално взривен</w:t>
      </w:r>
      <w:r w:rsidR="00152D0E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ото количество взривно вещество. </w:t>
      </w:r>
      <w:r w:rsidR="00B20777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Методът на определяне на въздействието на ударната вълна във въздушна среда</w:t>
      </w:r>
      <w:r w:rsidR="00D60203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/взри</w:t>
      </w:r>
      <w:r w:rsidR="00B95804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вна вълна/</w:t>
      </w:r>
      <w:r w:rsidR="00B20777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</w:t>
      </w:r>
      <w:r w:rsidR="00056635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в зависимост от първоначално в</w:t>
      </w:r>
      <w:r w:rsidR="00374A98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з</w:t>
      </w:r>
      <w:r w:rsidR="00056635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ривеното количество взр</w:t>
      </w:r>
      <w:r w:rsidR="00374A98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и</w:t>
      </w:r>
      <w:r w:rsidR="00056635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вно вещество</w:t>
      </w:r>
      <w:r w:rsidR="00062229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</w:t>
      </w:r>
      <w:r w:rsidR="00D66DA5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н</w:t>
      </w:r>
      <w:r w:rsidR="008A5B19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а</w:t>
      </w:r>
      <w:r w:rsidR="00250488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разстояние измервателен</w:t>
      </w:r>
      <w:r w:rsidR="008A5B19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пункт е приложим за прогнозиране на нивото на свръхналягането на разстояни</w:t>
      </w:r>
      <w:r w:rsidR="00826CD7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е охраняема зона на кариерата. Съответно</w:t>
      </w:r>
      <w:r w:rsidR="00E66B05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,</w:t>
      </w:r>
      <w:r w:rsidR="00826CD7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биха могли</w:t>
      </w:r>
      <w:r w:rsidR="00E66B05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да се предвидят </w:t>
      </w:r>
      <w:r w:rsidR="00951575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и въздействието </w:t>
      </w:r>
      <w:r w:rsidR="00FD2C5E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върху остъклението на сградите и съоръженията </w:t>
      </w:r>
      <w:r w:rsidR="00695BDE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на намиращия се в</w:t>
      </w:r>
      <w:r w:rsidR="000E067F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</w:t>
      </w:r>
      <w:r w:rsidR="00695BDE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близост населен район /с. Опицвет/ </w:t>
      </w:r>
      <w:r w:rsidR="00951575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в зависимост от степента на ударно натоварване във въздуха</w:t>
      </w:r>
      <w:r w:rsidR="00D86D78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,</w:t>
      </w:r>
      <w:r w:rsidR="00FD2C5E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както и </w:t>
      </w:r>
      <w:r w:rsidR="00746854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възприемането на </w:t>
      </w:r>
      <w:r w:rsidR="00AF4C34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>взривната</w:t>
      </w:r>
      <w:r w:rsidR="00746854" w:rsidRPr="00D107E2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вълна от жителите</w:t>
      </w:r>
      <w:r w:rsidR="00B10F93">
        <w:rPr>
          <w:rFonts w:ascii="Arial Narrow" w:eastAsia="Times New Roman" w:hAnsi="Arial Narrow" w:cs="Times New Roman"/>
          <w:noProof/>
          <w:sz w:val="16"/>
          <w:szCs w:val="16"/>
          <w:lang w:eastAsia="bg-BG"/>
        </w:rPr>
        <w:t xml:space="preserve"> на урбанизирания район.</w:t>
      </w:r>
    </w:p>
    <w:p w:rsidR="005143C3" w:rsidRPr="00D107E2" w:rsidRDefault="005143C3" w:rsidP="005143C3">
      <w:pPr>
        <w:pStyle w:val="ListParagraph"/>
        <w:ind w:left="0" w:firstLine="0"/>
        <w:jc w:val="left"/>
        <w:rPr>
          <w:rFonts w:ascii="Arial Narrow" w:eastAsia="Times New Roman" w:hAnsi="Arial Narrow" w:cs="Times New Roman"/>
          <w:noProof/>
          <w:sz w:val="28"/>
          <w:szCs w:val="28"/>
          <w:lang w:eastAsia="bg-BG"/>
        </w:rPr>
      </w:pPr>
    </w:p>
    <w:p w:rsidR="00EA32EB" w:rsidRPr="00D107E2" w:rsidRDefault="00CA1828" w:rsidP="005143C3">
      <w:pPr>
        <w:ind w:firstLine="0"/>
        <w:jc w:val="left"/>
        <w:rPr>
          <w:rFonts w:ascii="Arial Narrow" w:hAnsi="Arial Narrow"/>
          <w:b/>
          <w:sz w:val="20"/>
          <w:szCs w:val="20"/>
        </w:rPr>
      </w:pPr>
      <w:r w:rsidRPr="00D107E2">
        <w:rPr>
          <w:rFonts w:ascii="Arial Narrow" w:hAnsi="Arial Narrow"/>
          <w:b/>
          <w:sz w:val="20"/>
          <w:szCs w:val="20"/>
        </w:rPr>
        <w:t>ANALYSIS OF THE IMPACT OF THE AIRBLAST IN OPEN</w:t>
      </w:r>
      <w:r w:rsidR="00307FAD">
        <w:rPr>
          <w:rFonts w:ascii="Arial Narrow" w:hAnsi="Arial Narrow"/>
          <w:b/>
          <w:sz w:val="20"/>
          <w:szCs w:val="20"/>
        </w:rPr>
        <w:t xml:space="preserve"> </w:t>
      </w:r>
      <w:r w:rsidR="00A61E29">
        <w:rPr>
          <w:rFonts w:ascii="Arial Narrow" w:hAnsi="Arial Narrow"/>
          <w:b/>
          <w:sz w:val="20"/>
          <w:szCs w:val="20"/>
          <w:lang w:val="en-US"/>
        </w:rPr>
        <w:t>PIT</w:t>
      </w:r>
      <w:r w:rsidRPr="00D107E2">
        <w:rPr>
          <w:rFonts w:ascii="Arial Narrow" w:hAnsi="Arial Narrow"/>
          <w:b/>
          <w:sz w:val="20"/>
          <w:szCs w:val="20"/>
        </w:rPr>
        <w:t xml:space="preserve"> "TSELOVIZHDA"</w:t>
      </w:r>
    </w:p>
    <w:p w:rsidR="005143C3" w:rsidRPr="00D107E2" w:rsidRDefault="005143C3" w:rsidP="005143C3">
      <w:pPr>
        <w:ind w:firstLine="0"/>
        <w:rPr>
          <w:rFonts w:ascii="Arial Narrow" w:hAnsi="Arial Narrow"/>
          <w:b/>
          <w:i/>
          <w:sz w:val="20"/>
          <w:szCs w:val="20"/>
          <w:lang w:val="en-US"/>
        </w:rPr>
      </w:pPr>
      <w:r w:rsidRPr="00D107E2">
        <w:rPr>
          <w:rFonts w:ascii="Arial Narrow" w:hAnsi="Arial Narrow"/>
          <w:b/>
          <w:i/>
          <w:sz w:val="20"/>
          <w:szCs w:val="20"/>
        </w:rPr>
        <w:t>Sibila Stoilova</w:t>
      </w:r>
      <w:r w:rsidRPr="00D107E2">
        <w:rPr>
          <w:rFonts w:ascii="Arial Narrow" w:hAnsi="Arial Narrow"/>
          <w:b/>
          <w:i/>
          <w:sz w:val="20"/>
          <w:szCs w:val="20"/>
          <w:vertAlign w:val="superscript"/>
        </w:rPr>
        <w:t>1</w:t>
      </w:r>
      <w:r w:rsidRPr="00D107E2">
        <w:rPr>
          <w:rFonts w:ascii="Arial Narrow" w:hAnsi="Arial Narrow"/>
          <w:b/>
          <w:i/>
          <w:sz w:val="20"/>
          <w:szCs w:val="20"/>
          <w:lang w:val="en-US"/>
        </w:rPr>
        <w:t>,</w:t>
      </w:r>
      <w:r w:rsidRPr="00D107E2">
        <w:rPr>
          <w:rFonts w:ascii="Arial Narrow" w:hAnsi="Arial Narrow"/>
          <w:b/>
          <w:i/>
          <w:sz w:val="20"/>
          <w:szCs w:val="20"/>
        </w:rPr>
        <w:t xml:space="preserve"> Valer</w:t>
      </w:r>
      <w:r w:rsidRPr="00D107E2">
        <w:rPr>
          <w:rFonts w:ascii="Arial Narrow" w:hAnsi="Arial Narrow"/>
          <w:b/>
          <w:i/>
          <w:sz w:val="20"/>
          <w:szCs w:val="20"/>
          <w:lang w:val="en-US"/>
        </w:rPr>
        <w:t>y</w:t>
      </w:r>
      <w:r w:rsidRPr="00D107E2">
        <w:rPr>
          <w:rFonts w:ascii="Arial Narrow" w:hAnsi="Arial Narrow"/>
          <w:b/>
          <w:i/>
          <w:sz w:val="20"/>
          <w:szCs w:val="20"/>
        </w:rPr>
        <w:t xml:space="preserve"> Mitkov</w:t>
      </w:r>
      <w:r w:rsidRPr="00D107E2">
        <w:rPr>
          <w:rFonts w:ascii="Arial Narrow" w:hAnsi="Arial Narrow"/>
          <w:b/>
          <w:i/>
          <w:sz w:val="20"/>
          <w:szCs w:val="20"/>
          <w:vertAlign w:val="superscript"/>
          <w:lang w:val="en-US"/>
        </w:rPr>
        <w:t>2</w:t>
      </w:r>
      <w:r w:rsidRPr="00D107E2">
        <w:rPr>
          <w:rFonts w:ascii="Arial Narrow" w:hAnsi="Arial Narrow"/>
          <w:b/>
          <w:i/>
          <w:sz w:val="20"/>
          <w:szCs w:val="20"/>
          <w:lang w:val="en-US"/>
        </w:rPr>
        <w:t>,</w:t>
      </w:r>
      <w:r w:rsidRPr="00D107E2">
        <w:rPr>
          <w:rFonts w:ascii="Arial Narrow" w:hAnsi="Arial Narrow"/>
          <w:b/>
          <w:i/>
          <w:sz w:val="20"/>
          <w:szCs w:val="20"/>
        </w:rPr>
        <w:t xml:space="preserve"> </w:t>
      </w:r>
      <w:r w:rsidRPr="00D107E2">
        <w:rPr>
          <w:rFonts w:ascii="Arial Narrow" w:hAnsi="Arial Narrow"/>
          <w:b/>
          <w:i/>
          <w:sz w:val="20"/>
          <w:szCs w:val="20"/>
          <w:lang w:val="en-US"/>
        </w:rPr>
        <w:t>Vladimir Belin</w:t>
      </w:r>
      <w:r w:rsidRPr="00D107E2">
        <w:rPr>
          <w:rFonts w:ascii="Arial Narrow" w:hAnsi="Arial Narrow"/>
          <w:b/>
          <w:i/>
          <w:sz w:val="20"/>
          <w:szCs w:val="20"/>
          <w:vertAlign w:val="superscript"/>
          <w:lang w:val="en-US"/>
        </w:rPr>
        <w:t>3</w:t>
      </w:r>
    </w:p>
    <w:p w:rsidR="005143C3" w:rsidRPr="00D107E2" w:rsidRDefault="005143C3" w:rsidP="005143C3">
      <w:pPr>
        <w:ind w:firstLine="0"/>
        <w:rPr>
          <w:rFonts w:ascii="Arial Narrow" w:hAnsi="Arial Narrow"/>
          <w:i/>
          <w:sz w:val="20"/>
          <w:szCs w:val="20"/>
          <w:lang w:val="en-US"/>
        </w:rPr>
      </w:pPr>
      <w:r w:rsidRPr="00D107E2">
        <w:rPr>
          <w:rFonts w:ascii="Arial Narrow" w:hAnsi="Arial Narrow"/>
          <w:i/>
          <w:sz w:val="20"/>
          <w:szCs w:val="20"/>
          <w:vertAlign w:val="superscript"/>
        </w:rPr>
        <w:t>1</w:t>
      </w:r>
      <w:r w:rsidRPr="00D107E2">
        <w:rPr>
          <w:rFonts w:ascii="Arial Narrow" w:hAnsi="Arial Narrow"/>
          <w:i/>
          <w:sz w:val="20"/>
          <w:szCs w:val="20"/>
          <w:lang w:val="en-US"/>
        </w:rPr>
        <w:t>University of Mining and Geology</w:t>
      </w:r>
      <w:r w:rsidRPr="00D107E2">
        <w:rPr>
          <w:rFonts w:ascii="Arial Narrow" w:hAnsi="Arial Narrow"/>
          <w:i/>
          <w:sz w:val="20"/>
          <w:szCs w:val="20"/>
        </w:rPr>
        <w:t xml:space="preserve"> "St. </w:t>
      </w:r>
      <w:proofErr w:type="spellStart"/>
      <w:r w:rsidRPr="00D107E2">
        <w:rPr>
          <w:rFonts w:ascii="Arial Narrow" w:hAnsi="Arial Narrow"/>
          <w:i/>
          <w:sz w:val="20"/>
          <w:szCs w:val="20"/>
        </w:rPr>
        <w:t>Ivan</w:t>
      </w:r>
      <w:proofErr w:type="spellEnd"/>
      <w:r w:rsidRPr="00D107E2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D107E2">
        <w:rPr>
          <w:rFonts w:ascii="Arial Narrow" w:hAnsi="Arial Narrow"/>
          <w:i/>
          <w:sz w:val="20"/>
          <w:szCs w:val="20"/>
        </w:rPr>
        <w:t>Rilsk</w:t>
      </w:r>
      <w:r w:rsidRPr="00D107E2">
        <w:rPr>
          <w:rFonts w:ascii="Arial Narrow" w:hAnsi="Arial Narrow"/>
          <w:i/>
          <w:sz w:val="20"/>
          <w:szCs w:val="20"/>
          <w:lang w:val="en-US"/>
        </w:rPr>
        <w:t>i</w:t>
      </w:r>
      <w:proofErr w:type="spellEnd"/>
      <w:r w:rsidRPr="00D107E2">
        <w:rPr>
          <w:rFonts w:ascii="Arial Narrow" w:hAnsi="Arial Narrow"/>
          <w:i/>
          <w:sz w:val="20"/>
          <w:szCs w:val="20"/>
        </w:rPr>
        <w:t>"</w:t>
      </w:r>
      <w:r w:rsidRPr="00D107E2">
        <w:rPr>
          <w:rFonts w:ascii="Arial Narrow" w:hAnsi="Arial Narrow"/>
          <w:i/>
          <w:sz w:val="20"/>
          <w:szCs w:val="20"/>
          <w:lang w:val="en-US"/>
        </w:rPr>
        <w:t>, 1700 Sofia, sibilastoilova@gmail.com</w:t>
      </w:r>
    </w:p>
    <w:p w:rsidR="005143C3" w:rsidRPr="00D107E2" w:rsidRDefault="005143C3" w:rsidP="005143C3">
      <w:pPr>
        <w:ind w:firstLine="0"/>
        <w:rPr>
          <w:rFonts w:ascii="Arial Narrow" w:hAnsi="Arial Narrow"/>
          <w:i/>
          <w:sz w:val="20"/>
          <w:szCs w:val="20"/>
          <w:lang w:val="en-US"/>
        </w:rPr>
      </w:pPr>
      <w:r w:rsidRPr="00D107E2">
        <w:rPr>
          <w:rFonts w:ascii="Arial Narrow" w:hAnsi="Arial Narrow"/>
          <w:i/>
          <w:sz w:val="20"/>
          <w:szCs w:val="20"/>
          <w:vertAlign w:val="superscript"/>
        </w:rPr>
        <w:t>2</w:t>
      </w:r>
      <w:r w:rsidRPr="00D107E2">
        <w:rPr>
          <w:rFonts w:ascii="Arial Narrow" w:hAnsi="Arial Narrow"/>
          <w:i/>
          <w:sz w:val="20"/>
          <w:szCs w:val="20"/>
          <w:lang w:val="en-US"/>
        </w:rPr>
        <w:t>University of Mining and Geology</w:t>
      </w:r>
      <w:r w:rsidRPr="00D107E2">
        <w:rPr>
          <w:rFonts w:ascii="Arial Narrow" w:hAnsi="Arial Narrow"/>
          <w:i/>
          <w:sz w:val="20"/>
          <w:szCs w:val="20"/>
        </w:rPr>
        <w:t xml:space="preserve"> "St. </w:t>
      </w:r>
      <w:proofErr w:type="spellStart"/>
      <w:r w:rsidRPr="00D107E2">
        <w:rPr>
          <w:rFonts w:ascii="Arial Narrow" w:hAnsi="Arial Narrow"/>
          <w:i/>
          <w:sz w:val="20"/>
          <w:szCs w:val="20"/>
        </w:rPr>
        <w:t>Ivan</w:t>
      </w:r>
      <w:proofErr w:type="spellEnd"/>
      <w:r w:rsidRPr="00D107E2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D107E2">
        <w:rPr>
          <w:rFonts w:ascii="Arial Narrow" w:hAnsi="Arial Narrow"/>
          <w:i/>
          <w:sz w:val="20"/>
          <w:szCs w:val="20"/>
        </w:rPr>
        <w:t>Rilsk</w:t>
      </w:r>
      <w:r w:rsidRPr="00D107E2">
        <w:rPr>
          <w:rFonts w:ascii="Arial Narrow" w:hAnsi="Arial Narrow"/>
          <w:i/>
          <w:sz w:val="20"/>
          <w:szCs w:val="20"/>
          <w:lang w:val="en-US"/>
        </w:rPr>
        <w:t>i</w:t>
      </w:r>
      <w:proofErr w:type="spellEnd"/>
      <w:r w:rsidRPr="00D107E2">
        <w:rPr>
          <w:rFonts w:ascii="Arial Narrow" w:hAnsi="Arial Narrow"/>
          <w:i/>
          <w:sz w:val="20"/>
          <w:szCs w:val="20"/>
        </w:rPr>
        <w:t>"</w:t>
      </w:r>
      <w:r w:rsidRPr="00D107E2">
        <w:rPr>
          <w:rFonts w:ascii="Arial Narrow" w:hAnsi="Arial Narrow"/>
          <w:i/>
          <w:sz w:val="20"/>
          <w:szCs w:val="20"/>
          <w:lang w:val="en-US"/>
        </w:rPr>
        <w:t>, 1700 Sofia, valery.mitkov@gmail.com</w:t>
      </w:r>
    </w:p>
    <w:p w:rsidR="005143C3" w:rsidRPr="00D107E2" w:rsidRDefault="005143C3" w:rsidP="005143C3">
      <w:pPr>
        <w:ind w:firstLine="0"/>
        <w:rPr>
          <w:rFonts w:ascii="Arial Narrow" w:hAnsi="Arial Narrow"/>
          <w:i/>
          <w:sz w:val="20"/>
          <w:szCs w:val="20"/>
          <w:lang w:val="en-US"/>
        </w:rPr>
      </w:pPr>
      <w:r w:rsidRPr="00D107E2">
        <w:rPr>
          <w:rFonts w:ascii="Arial Narrow" w:hAnsi="Arial Narrow"/>
          <w:i/>
          <w:sz w:val="20"/>
          <w:szCs w:val="20"/>
          <w:vertAlign w:val="superscript"/>
          <w:lang w:val="en-US"/>
        </w:rPr>
        <w:t>3</w:t>
      </w:r>
      <w:r w:rsidRPr="00D107E2">
        <w:rPr>
          <w:rFonts w:ascii="Arial Narrow" w:hAnsi="Arial Narrow"/>
          <w:i/>
          <w:sz w:val="20"/>
          <w:szCs w:val="20"/>
        </w:rPr>
        <w:t>Moscow State Mining University,</w:t>
      </w:r>
      <w:r w:rsidRPr="00D107E2">
        <w:rPr>
          <w:rFonts w:ascii="Arial Narrow" w:hAnsi="Arial Narrow"/>
          <w:i/>
          <w:sz w:val="20"/>
          <w:szCs w:val="20"/>
          <w:lang w:val="en-US"/>
        </w:rPr>
        <w:t xml:space="preserve"> 119991 </w:t>
      </w:r>
      <w:proofErr w:type="spellStart"/>
      <w:r w:rsidRPr="00D107E2">
        <w:rPr>
          <w:rFonts w:ascii="Arial Narrow" w:hAnsi="Arial Narrow"/>
          <w:i/>
          <w:sz w:val="20"/>
          <w:szCs w:val="20"/>
          <w:lang w:val="en-US"/>
        </w:rPr>
        <w:t>Moskow</w:t>
      </w:r>
      <w:proofErr w:type="spellEnd"/>
    </w:p>
    <w:p w:rsidR="005143C3" w:rsidRPr="00D107E2" w:rsidRDefault="005143C3" w:rsidP="005143C3">
      <w:pPr>
        <w:ind w:firstLine="0"/>
        <w:rPr>
          <w:rFonts w:ascii="Arial Narrow" w:hAnsi="Arial Narrow"/>
          <w:sz w:val="20"/>
          <w:szCs w:val="20"/>
          <w:lang w:val="en-US"/>
        </w:rPr>
      </w:pPr>
    </w:p>
    <w:p w:rsidR="00EA32EB" w:rsidRPr="00D107E2" w:rsidRDefault="005143C3" w:rsidP="005143C3">
      <w:pPr>
        <w:ind w:firstLine="0"/>
        <w:rPr>
          <w:rFonts w:ascii="Arial Narrow" w:hAnsi="Arial Narrow"/>
          <w:sz w:val="16"/>
          <w:szCs w:val="20"/>
          <w:lang w:val="en-US"/>
        </w:rPr>
      </w:pPr>
      <w:r w:rsidRPr="00D107E2">
        <w:rPr>
          <w:rFonts w:ascii="Arial Narrow" w:hAnsi="Arial Narrow"/>
          <w:b/>
          <w:sz w:val="16"/>
          <w:szCs w:val="16"/>
          <w:lang w:val="en-US"/>
        </w:rPr>
        <w:t xml:space="preserve">ABSTRACT. </w:t>
      </w:r>
      <w:r w:rsidR="00EA32EB" w:rsidRPr="00D107E2">
        <w:rPr>
          <w:rFonts w:ascii="Arial Narrow" w:hAnsi="Arial Narrow"/>
          <w:sz w:val="16"/>
          <w:szCs w:val="20"/>
          <w:lang w:val="en-US"/>
        </w:rPr>
        <w:t>Th</w:t>
      </w:r>
      <w:r w:rsidR="000E5A3D" w:rsidRPr="00D107E2">
        <w:rPr>
          <w:rFonts w:ascii="Arial Narrow" w:hAnsi="Arial Narrow"/>
          <w:sz w:val="16"/>
          <w:szCs w:val="20"/>
          <w:lang w:val="en-US"/>
        </w:rPr>
        <w:t xml:space="preserve">e </w:t>
      </w:r>
      <w:r w:rsidR="00EA32EB" w:rsidRPr="00D107E2">
        <w:rPr>
          <w:rFonts w:ascii="Arial Narrow" w:hAnsi="Arial Narrow"/>
          <w:sz w:val="16"/>
          <w:szCs w:val="20"/>
          <w:lang w:val="en-US"/>
        </w:rPr>
        <w:t xml:space="preserve">paper presents an analysis of data from measurements made </w:t>
      </w:r>
      <w:r w:rsidR="00BF376E" w:rsidRPr="00D107E2">
        <w:rPr>
          <w:rFonts w:ascii="Arial Narrow" w:hAnsi="Arial Narrow"/>
          <w:sz w:val="16"/>
          <w:szCs w:val="20"/>
          <w:lang w:val="en-US"/>
        </w:rPr>
        <w:t xml:space="preserve">in </w:t>
      </w:r>
      <w:r w:rsidR="003301F0" w:rsidRPr="00D107E2">
        <w:rPr>
          <w:rFonts w:ascii="Arial Narrow" w:hAnsi="Arial Narrow"/>
          <w:sz w:val="16"/>
          <w:szCs w:val="20"/>
          <w:lang w:val="en-US"/>
        </w:rPr>
        <w:t>noise and vibration</w:t>
      </w:r>
      <w:r w:rsidR="00BF376E" w:rsidRPr="00D107E2">
        <w:rPr>
          <w:rFonts w:ascii="Arial Narrow" w:hAnsi="Arial Narrow"/>
          <w:sz w:val="16"/>
          <w:szCs w:val="20"/>
          <w:lang w:val="en-US"/>
        </w:rPr>
        <w:t xml:space="preserve"> </w:t>
      </w:r>
      <w:r w:rsidR="003301F0" w:rsidRPr="00D107E2">
        <w:rPr>
          <w:rFonts w:ascii="Arial Narrow" w:hAnsi="Arial Narrow"/>
          <w:sz w:val="16"/>
          <w:szCs w:val="20"/>
          <w:lang w:val="en-US"/>
        </w:rPr>
        <w:t xml:space="preserve">assessment </w:t>
      </w:r>
      <w:r w:rsidR="00406E65" w:rsidRPr="00D107E2">
        <w:rPr>
          <w:rFonts w:ascii="Arial Narrow" w:hAnsi="Arial Narrow"/>
          <w:sz w:val="16"/>
          <w:szCs w:val="20"/>
          <w:lang w:val="en-US"/>
        </w:rPr>
        <w:t>for blasting in</w:t>
      </w:r>
      <w:r w:rsidR="00EA32EB" w:rsidRPr="00D107E2">
        <w:rPr>
          <w:rFonts w:ascii="Arial Narrow" w:hAnsi="Arial Narrow"/>
          <w:sz w:val="16"/>
          <w:szCs w:val="20"/>
          <w:lang w:val="en-US"/>
        </w:rPr>
        <w:t xml:space="preserve"> </w:t>
      </w:r>
      <w:r w:rsidR="00DC599B" w:rsidRPr="00D107E2">
        <w:rPr>
          <w:rFonts w:ascii="Arial Narrow" w:hAnsi="Arial Narrow"/>
          <w:sz w:val="16"/>
          <w:szCs w:val="20"/>
          <w:lang w:val="en-US"/>
        </w:rPr>
        <w:t>open</w:t>
      </w:r>
      <w:r w:rsidR="00307FAD">
        <w:rPr>
          <w:rFonts w:ascii="Arial Narrow" w:hAnsi="Arial Narrow"/>
          <w:sz w:val="16"/>
          <w:szCs w:val="20"/>
        </w:rPr>
        <w:t xml:space="preserve"> </w:t>
      </w:r>
      <w:r w:rsidR="001D57AC">
        <w:rPr>
          <w:rFonts w:ascii="Arial Narrow" w:hAnsi="Arial Narrow"/>
          <w:sz w:val="16"/>
          <w:szCs w:val="20"/>
          <w:lang w:val="en-US"/>
        </w:rPr>
        <w:t xml:space="preserve">pit </w:t>
      </w:r>
      <w:r w:rsidR="00406E65" w:rsidRPr="00D107E2">
        <w:rPr>
          <w:rFonts w:ascii="Arial Narrow" w:hAnsi="Arial Narrow"/>
          <w:sz w:val="16"/>
          <w:szCs w:val="20"/>
          <w:lang w:val="en-US"/>
        </w:rPr>
        <w:t>"</w:t>
      </w:r>
      <w:proofErr w:type="spellStart"/>
      <w:r w:rsidR="000E5A3D" w:rsidRPr="00D107E2">
        <w:rPr>
          <w:rFonts w:ascii="Arial Narrow" w:hAnsi="Arial Narrow"/>
          <w:sz w:val="16"/>
          <w:szCs w:val="20"/>
          <w:lang w:val="en-US"/>
        </w:rPr>
        <w:t>Tselovizhda</w:t>
      </w:r>
      <w:proofErr w:type="spellEnd"/>
      <w:r w:rsidR="00EA32EB" w:rsidRPr="00D107E2">
        <w:rPr>
          <w:rFonts w:ascii="Arial Narrow" w:hAnsi="Arial Narrow"/>
          <w:sz w:val="16"/>
          <w:szCs w:val="20"/>
          <w:lang w:val="en-US"/>
        </w:rPr>
        <w:t>"</w:t>
      </w:r>
      <w:r w:rsidR="000E5A3D" w:rsidRPr="00D107E2">
        <w:rPr>
          <w:rFonts w:ascii="Arial Narrow" w:hAnsi="Arial Narrow"/>
          <w:sz w:val="16"/>
          <w:szCs w:val="20"/>
          <w:lang w:val="en-US"/>
        </w:rPr>
        <w:t>.</w:t>
      </w:r>
      <w:r w:rsidR="00EA32EB" w:rsidRPr="00D107E2">
        <w:rPr>
          <w:rFonts w:ascii="Arial Narrow" w:hAnsi="Arial Narrow"/>
          <w:sz w:val="16"/>
          <w:szCs w:val="20"/>
          <w:lang w:val="en-US"/>
        </w:rPr>
        <w:t xml:space="preserve"> The reported values on the level of air </w:t>
      </w:r>
      <w:r w:rsidR="00DC4E88" w:rsidRPr="00D107E2">
        <w:rPr>
          <w:rFonts w:ascii="Arial Narrow" w:hAnsi="Arial Narrow"/>
          <w:sz w:val="16"/>
          <w:szCs w:val="20"/>
          <w:lang w:val="en-US"/>
        </w:rPr>
        <w:t>over</w:t>
      </w:r>
      <w:r w:rsidR="00EA32EB" w:rsidRPr="00D107E2">
        <w:rPr>
          <w:rFonts w:ascii="Arial Narrow" w:hAnsi="Arial Narrow"/>
          <w:sz w:val="16"/>
          <w:szCs w:val="20"/>
          <w:lang w:val="en-US"/>
        </w:rPr>
        <w:t xml:space="preserve">pressure is a prerequisite to take into account the degree of disturbance </w:t>
      </w:r>
      <w:r w:rsidR="00DA7B85" w:rsidRPr="00D107E2">
        <w:rPr>
          <w:rFonts w:ascii="Arial Narrow" w:hAnsi="Arial Narrow"/>
          <w:sz w:val="16"/>
          <w:szCs w:val="20"/>
          <w:lang w:val="en-US"/>
        </w:rPr>
        <w:t xml:space="preserve">in air and what would the </w:t>
      </w:r>
      <w:r w:rsidR="00EA32EB" w:rsidRPr="00D107E2">
        <w:rPr>
          <w:rFonts w:ascii="Arial Narrow" w:hAnsi="Arial Narrow"/>
          <w:sz w:val="16"/>
          <w:szCs w:val="20"/>
          <w:lang w:val="en-US"/>
        </w:rPr>
        <w:t xml:space="preserve">impact </w:t>
      </w:r>
      <w:r w:rsidR="00DA7B85" w:rsidRPr="00D107E2">
        <w:rPr>
          <w:rFonts w:ascii="Arial Narrow" w:hAnsi="Arial Narrow"/>
          <w:sz w:val="16"/>
          <w:szCs w:val="20"/>
          <w:lang w:val="en-US"/>
        </w:rPr>
        <w:t xml:space="preserve">be at </w:t>
      </w:r>
      <w:r w:rsidR="00EA32EB" w:rsidRPr="00D107E2">
        <w:rPr>
          <w:rFonts w:ascii="Arial Narrow" w:hAnsi="Arial Narrow"/>
          <w:sz w:val="16"/>
          <w:szCs w:val="20"/>
          <w:lang w:val="en-US"/>
        </w:rPr>
        <w:t>the de</w:t>
      </w:r>
      <w:r w:rsidR="00DA7B85" w:rsidRPr="00D107E2">
        <w:rPr>
          <w:rFonts w:ascii="Arial Narrow" w:hAnsi="Arial Narrow"/>
          <w:sz w:val="16"/>
          <w:szCs w:val="20"/>
          <w:lang w:val="en-US"/>
        </w:rPr>
        <w:t>signated point of measurement /</w:t>
      </w:r>
      <w:r w:rsidR="00EA32EB" w:rsidRPr="00D107E2">
        <w:rPr>
          <w:rFonts w:ascii="Arial Narrow" w:hAnsi="Arial Narrow"/>
          <w:sz w:val="16"/>
          <w:szCs w:val="20"/>
          <w:lang w:val="en-US"/>
        </w:rPr>
        <w:t>protection of an industrial plant</w:t>
      </w:r>
      <w:r w:rsidR="00DA7B85" w:rsidRPr="00D107E2">
        <w:rPr>
          <w:rFonts w:ascii="Arial Narrow" w:hAnsi="Arial Narrow"/>
          <w:sz w:val="16"/>
          <w:szCs w:val="20"/>
          <w:lang w:val="en-US"/>
        </w:rPr>
        <w:t>/</w:t>
      </w:r>
      <w:r w:rsidR="00EA32EB" w:rsidRPr="00D107E2">
        <w:rPr>
          <w:rFonts w:ascii="Arial Narrow" w:hAnsi="Arial Narrow"/>
          <w:sz w:val="16"/>
          <w:szCs w:val="20"/>
          <w:lang w:val="en-US"/>
        </w:rPr>
        <w:t>.</w:t>
      </w:r>
    </w:p>
    <w:p w:rsidR="00EA32EB" w:rsidRPr="00D107E2" w:rsidRDefault="00DC4E88" w:rsidP="00EA32EB">
      <w:pPr>
        <w:ind w:firstLine="0"/>
        <w:rPr>
          <w:rFonts w:ascii="Arial Narrow" w:hAnsi="Arial Narrow"/>
          <w:sz w:val="16"/>
          <w:szCs w:val="20"/>
          <w:lang w:val="en-US"/>
        </w:rPr>
      </w:pPr>
      <w:r w:rsidRPr="00D107E2">
        <w:rPr>
          <w:rFonts w:ascii="Arial Narrow" w:hAnsi="Arial Narrow"/>
          <w:sz w:val="16"/>
          <w:szCs w:val="20"/>
          <w:lang w:val="en-US"/>
        </w:rPr>
        <w:t>The analysis presents</w:t>
      </w:r>
      <w:r w:rsidR="00EA32EB" w:rsidRPr="00D107E2">
        <w:rPr>
          <w:rFonts w:ascii="Arial Narrow" w:hAnsi="Arial Narrow"/>
          <w:sz w:val="16"/>
          <w:szCs w:val="20"/>
          <w:lang w:val="en-US"/>
        </w:rPr>
        <w:t xml:space="preserve"> the </w:t>
      </w:r>
      <w:r w:rsidR="0041487B" w:rsidRPr="00D107E2">
        <w:rPr>
          <w:rFonts w:ascii="Arial Narrow" w:hAnsi="Arial Narrow"/>
          <w:sz w:val="16"/>
          <w:szCs w:val="20"/>
          <w:lang w:val="en-US"/>
        </w:rPr>
        <w:t xml:space="preserve">significance of the blast scheme and </w:t>
      </w:r>
      <w:r w:rsidR="00EA32EB" w:rsidRPr="00D107E2">
        <w:rPr>
          <w:rFonts w:ascii="Arial Narrow" w:hAnsi="Arial Narrow"/>
          <w:sz w:val="16"/>
          <w:szCs w:val="20"/>
          <w:lang w:val="en-US"/>
        </w:rPr>
        <w:t>as a major factor that affects the degree of disturbance of the air environment is taken</w:t>
      </w:r>
      <w:r w:rsidR="00843BDE" w:rsidRPr="00D107E2">
        <w:rPr>
          <w:rFonts w:ascii="Arial Narrow" w:hAnsi="Arial Narrow"/>
          <w:sz w:val="16"/>
          <w:szCs w:val="20"/>
          <w:lang w:val="en-US"/>
        </w:rPr>
        <w:t xml:space="preserve"> the</w:t>
      </w:r>
      <w:r w:rsidR="00EA32EB" w:rsidRPr="00D107E2">
        <w:rPr>
          <w:rFonts w:ascii="Arial Narrow" w:hAnsi="Arial Narrow"/>
          <w:sz w:val="16"/>
          <w:szCs w:val="20"/>
          <w:lang w:val="en-US"/>
        </w:rPr>
        <w:t xml:space="preserve"> initi</w:t>
      </w:r>
      <w:r w:rsidR="00843BDE" w:rsidRPr="00D107E2">
        <w:rPr>
          <w:rFonts w:ascii="Arial Narrow" w:hAnsi="Arial Narrow"/>
          <w:sz w:val="16"/>
          <w:szCs w:val="20"/>
          <w:lang w:val="en-US"/>
        </w:rPr>
        <w:t>al blast quantity of explosive</w:t>
      </w:r>
      <w:r w:rsidR="00EA32EB" w:rsidRPr="00D107E2">
        <w:rPr>
          <w:rFonts w:ascii="Arial Narrow" w:hAnsi="Arial Narrow"/>
          <w:sz w:val="16"/>
          <w:szCs w:val="20"/>
          <w:lang w:val="en-US"/>
        </w:rPr>
        <w:t>. The method of determining the impact of the shock wave in air depending on the init</w:t>
      </w:r>
      <w:r w:rsidR="00843BDE" w:rsidRPr="00D107E2">
        <w:rPr>
          <w:rFonts w:ascii="Arial Narrow" w:hAnsi="Arial Narrow"/>
          <w:sz w:val="16"/>
          <w:szCs w:val="20"/>
          <w:lang w:val="en-US"/>
        </w:rPr>
        <w:t>ial blast quantity of explosive</w:t>
      </w:r>
      <w:r w:rsidR="00EA32EB" w:rsidRPr="00D107E2">
        <w:rPr>
          <w:rFonts w:ascii="Arial Narrow" w:hAnsi="Arial Narrow"/>
          <w:sz w:val="16"/>
          <w:szCs w:val="20"/>
          <w:lang w:val="en-US"/>
        </w:rPr>
        <w:t xml:space="preserve"> at a distance measuring point is applicable to forecast the level of overpressure </w:t>
      </w:r>
      <w:r w:rsidR="000E067F" w:rsidRPr="00D107E2">
        <w:rPr>
          <w:rFonts w:ascii="Arial Narrow" w:hAnsi="Arial Narrow"/>
          <w:sz w:val="16"/>
          <w:szCs w:val="20"/>
          <w:lang w:val="en-US"/>
        </w:rPr>
        <w:t>at the safe</w:t>
      </w:r>
      <w:r w:rsidR="00EA32EB" w:rsidRPr="00D107E2">
        <w:rPr>
          <w:rFonts w:ascii="Arial Narrow" w:hAnsi="Arial Narrow"/>
          <w:sz w:val="16"/>
          <w:szCs w:val="20"/>
          <w:lang w:val="en-US"/>
        </w:rPr>
        <w:t xml:space="preserve"> area </w:t>
      </w:r>
      <w:r w:rsidR="000E067F" w:rsidRPr="00D107E2">
        <w:rPr>
          <w:rFonts w:ascii="Arial Narrow" w:hAnsi="Arial Narrow"/>
          <w:sz w:val="16"/>
          <w:szCs w:val="20"/>
          <w:lang w:val="en-US"/>
        </w:rPr>
        <w:t>zone</w:t>
      </w:r>
      <w:r w:rsidR="00EA32EB" w:rsidRPr="00D107E2">
        <w:rPr>
          <w:rFonts w:ascii="Arial Narrow" w:hAnsi="Arial Narrow"/>
          <w:sz w:val="16"/>
          <w:szCs w:val="20"/>
          <w:lang w:val="en-US"/>
        </w:rPr>
        <w:t xml:space="preserve">. Respectively, the impact on the glazing of buildings and facilities located </w:t>
      </w:r>
      <w:r w:rsidR="000E067F" w:rsidRPr="00D107E2">
        <w:rPr>
          <w:rFonts w:ascii="Arial Narrow" w:hAnsi="Arial Narrow"/>
          <w:sz w:val="16"/>
          <w:szCs w:val="20"/>
          <w:lang w:val="en-US"/>
        </w:rPr>
        <w:t>near</w:t>
      </w:r>
      <w:r w:rsidR="00275194" w:rsidRPr="00D107E2">
        <w:rPr>
          <w:rFonts w:ascii="Arial Narrow" w:hAnsi="Arial Narrow"/>
          <w:sz w:val="16"/>
          <w:szCs w:val="20"/>
          <w:lang w:val="en-US"/>
        </w:rPr>
        <w:t xml:space="preserve"> the</w:t>
      </w:r>
      <w:r w:rsidR="00EA32EB" w:rsidRPr="00D107E2">
        <w:rPr>
          <w:rFonts w:ascii="Arial Narrow" w:hAnsi="Arial Narrow"/>
          <w:sz w:val="16"/>
          <w:szCs w:val="20"/>
          <w:lang w:val="en-US"/>
        </w:rPr>
        <w:t xml:space="preserve"> populated area /</w:t>
      </w:r>
      <w:r w:rsidR="009D0540" w:rsidRPr="00D107E2">
        <w:rPr>
          <w:rFonts w:ascii="Arial Narrow" w:hAnsi="Arial Narrow"/>
          <w:sz w:val="16"/>
          <w:szCs w:val="20"/>
          <w:lang w:val="en-US"/>
        </w:rPr>
        <w:t>village</w:t>
      </w:r>
      <w:r w:rsidR="006E7163" w:rsidRPr="00D107E2">
        <w:rPr>
          <w:rFonts w:ascii="Arial Narrow" w:hAnsi="Arial Narrow"/>
          <w:sz w:val="16"/>
          <w:szCs w:val="20"/>
          <w:lang w:val="en-US"/>
        </w:rPr>
        <w:t xml:space="preserve"> </w:t>
      </w:r>
      <w:proofErr w:type="spellStart"/>
      <w:r w:rsidR="006E7163" w:rsidRPr="00D107E2">
        <w:rPr>
          <w:rFonts w:ascii="Arial Narrow" w:hAnsi="Arial Narrow"/>
          <w:sz w:val="16"/>
          <w:szCs w:val="20"/>
          <w:lang w:val="en-US"/>
        </w:rPr>
        <w:t>Opitsvet</w:t>
      </w:r>
      <w:proofErr w:type="spellEnd"/>
      <w:r w:rsidR="00EA32EB" w:rsidRPr="00D107E2">
        <w:rPr>
          <w:rFonts w:ascii="Arial Narrow" w:hAnsi="Arial Narrow"/>
          <w:sz w:val="16"/>
          <w:szCs w:val="20"/>
          <w:lang w:val="en-US"/>
        </w:rPr>
        <w:t xml:space="preserve">/ and the perception of the shock wave </w:t>
      </w:r>
      <w:r w:rsidR="000E5BF1" w:rsidRPr="00D107E2">
        <w:rPr>
          <w:rFonts w:ascii="Arial Narrow" w:hAnsi="Arial Narrow"/>
          <w:sz w:val="16"/>
          <w:szCs w:val="20"/>
          <w:lang w:val="en-US"/>
        </w:rPr>
        <w:t>from</w:t>
      </w:r>
      <w:r w:rsidR="00EA32EB" w:rsidRPr="00D107E2">
        <w:rPr>
          <w:rFonts w:ascii="Arial Narrow" w:hAnsi="Arial Narrow"/>
          <w:sz w:val="16"/>
          <w:szCs w:val="20"/>
          <w:lang w:val="en-US"/>
        </w:rPr>
        <w:t xml:space="preserve"> the residents</w:t>
      </w:r>
      <w:r w:rsidR="006E7163" w:rsidRPr="00D107E2">
        <w:rPr>
          <w:rFonts w:ascii="Arial Narrow" w:hAnsi="Arial Narrow"/>
          <w:sz w:val="16"/>
          <w:szCs w:val="20"/>
          <w:lang w:val="en-US"/>
        </w:rPr>
        <w:t xml:space="preserve"> could be provided</w:t>
      </w:r>
      <w:r w:rsidR="009D0540" w:rsidRPr="00D107E2">
        <w:rPr>
          <w:rFonts w:ascii="Arial Narrow" w:hAnsi="Arial Narrow"/>
          <w:sz w:val="16"/>
          <w:szCs w:val="20"/>
          <w:lang w:val="en-US"/>
        </w:rPr>
        <w:t xml:space="preserve"> depending on the </w:t>
      </w:r>
      <w:r w:rsidR="00B824EB" w:rsidRPr="00D107E2">
        <w:rPr>
          <w:rFonts w:ascii="Arial Narrow" w:hAnsi="Arial Narrow"/>
          <w:sz w:val="16"/>
          <w:szCs w:val="20"/>
          <w:lang w:val="en-US"/>
        </w:rPr>
        <w:t xml:space="preserve">predicted </w:t>
      </w:r>
      <w:r w:rsidR="009D0540" w:rsidRPr="00D107E2">
        <w:rPr>
          <w:rFonts w:ascii="Arial Narrow" w:hAnsi="Arial Narrow"/>
          <w:sz w:val="16"/>
          <w:szCs w:val="20"/>
          <w:lang w:val="en-US"/>
        </w:rPr>
        <w:t>degree of impact load in the air</w:t>
      </w:r>
      <w:r w:rsidR="00B824EB" w:rsidRPr="00D107E2">
        <w:rPr>
          <w:rFonts w:ascii="Arial Narrow" w:hAnsi="Arial Narrow"/>
          <w:sz w:val="16"/>
          <w:szCs w:val="20"/>
          <w:lang w:val="en-US"/>
        </w:rPr>
        <w:t>.</w:t>
      </w:r>
    </w:p>
    <w:p w:rsidR="00D82289" w:rsidRPr="005375A8" w:rsidRDefault="00D82289" w:rsidP="00EA32EB">
      <w:pPr>
        <w:ind w:firstLine="0"/>
        <w:rPr>
          <w:rFonts w:ascii="Arial Narrow" w:hAnsi="Arial Narrow"/>
          <w:sz w:val="28"/>
          <w:szCs w:val="28"/>
        </w:rPr>
      </w:pPr>
    </w:p>
    <w:p w:rsidR="009902A8" w:rsidRPr="00D107E2" w:rsidRDefault="009902A8" w:rsidP="00F71F74">
      <w:pPr>
        <w:ind w:firstLine="0"/>
        <w:rPr>
          <w:rFonts w:ascii="Arial Narrow" w:hAnsi="Arial Narrow"/>
          <w:sz w:val="20"/>
          <w:szCs w:val="20"/>
        </w:rPr>
        <w:sectPr w:rsidR="009902A8" w:rsidRPr="00D107E2" w:rsidSect="001801C3">
          <w:footerReference w:type="default" r:id="rId8"/>
          <w:type w:val="continuous"/>
          <w:pgSz w:w="11906" w:h="16838" w:code="9"/>
          <w:pgMar w:top="1021" w:right="1134" w:bottom="1247" w:left="1134" w:header="709" w:footer="794" w:gutter="0"/>
          <w:pgNumType w:start="108"/>
          <w:cols w:space="708"/>
          <w:docGrid w:linePitch="360"/>
        </w:sectPr>
      </w:pPr>
    </w:p>
    <w:p w:rsidR="00D107E2" w:rsidRPr="00487C68" w:rsidRDefault="00D107E2" w:rsidP="00D107E2">
      <w:pPr>
        <w:ind w:firstLine="0"/>
        <w:rPr>
          <w:rFonts w:ascii="Arial Narrow" w:hAnsi="Arial Narrow"/>
          <w:b/>
          <w:szCs w:val="24"/>
        </w:rPr>
      </w:pPr>
      <w:r w:rsidRPr="00487C68">
        <w:rPr>
          <w:rFonts w:ascii="Arial Narrow" w:hAnsi="Arial Narrow"/>
          <w:b/>
          <w:szCs w:val="24"/>
        </w:rPr>
        <w:lastRenderedPageBreak/>
        <w:t>Въведение</w:t>
      </w:r>
    </w:p>
    <w:p w:rsidR="00D107E2" w:rsidRPr="00766BB1" w:rsidRDefault="00D107E2" w:rsidP="00D107E2">
      <w:pPr>
        <w:ind w:firstLine="0"/>
        <w:rPr>
          <w:rFonts w:ascii="Arial Narrow" w:hAnsi="Arial Narrow"/>
          <w:b/>
          <w:sz w:val="12"/>
          <w:szCs w:val="12"/>
        </w:rPr>
      </w:pPr>
    </w:p>
    <w:p w:rsidR="00CE0A59" w:rsidRDefault="006670A1" w:rsidP="00CE0A59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CE0A59" w:rsidRPr="00CE0A59">
        <w:rPr>
          <w:rFonts w:ascii="Arial Narrow" w:hAnsi="Arial Narrow"/>
          <w:sz w:val="20"/>
          <w:szCs w:val="20"/>
        </w:rPr>
        <w:t>Въздействието на въздушната ударна вълна върху околната среда от технологичните взривявания на кариера „Целовижда“ е анализирано в</w:t>
      </w:r>
      <w:r w:rsidR="00F60E49">
        <w:rPr>
          <w:rFonts w:ascii="Arial Narrow" w:hAnsi="Arial Narrow"/>
          <w:sz w:val="20"/>
          <w:szCs w:val="20"/>
        </w:rPr>
        <w:t xml:space="preserve"> съответствие с методика за </w:t>
      </w:r>
      <w:r w:rsidR="004D11DE">
        <w:rPr>
          <w:rFonts w:ascii="Arial Narrow" w:hAnsi="Arial Narrow"/>
          <w:sz w:val="20"/>
          <w:szCs w:val="20"/>
        </w:rPr>
        <w:t>оценка</w:t>
      </w:r>
      <w:r w:rsidR="00F60E49">
        <w:rPr>
          <w:rFonts w:ascii="Arial Narrow" w:hAnsi="Arial Narrow"/>
          <w:sz w:val="20"/>
          <w:szCs w:val="20"/>
        </w:rPr>
        <w:t xml:space="preserve">, базирана на широко използваната в световната взривна практика величина </w:t>
      </w:r>
      <w:r w:rsidR="002939E0">
        <w:rPr>
          <w:rFonts w:ascii="Arial Narrow" w:hAnsi="Arial Narrow"/>
          <w:sz w:val="20"/>
          <w:szCs w:val="20"/>
        </w:rPr>
        <w:t>„</w:t>
      </w:r>
      <w:r w:rsidR="00F60E49">
        <w:rPr>
          <w:rFonts w:ascii="Arial Narrow" w:hAnsi="Arial Narrow"/>
          <w:sz w:val="20"/>
          <w:szCs w:val="20"/>
        </w:rPr>
        <w:t>приведено разстояние</w:t>
      </w:r>
      <w:r w:rsidR="002939E0">
        <w:rPr>
          <w:rFonts w:ascii="Arial Narrow" w:hAnsi="Arial Narrow"/>
          <w:sz w:val="20"/>
          <w:szCs w:val="20"/>
        </w:rPr>
        <w:t>“</w:t>
      </w:r>
      <w:r w:rsidR="00F60E49">
        <w:rPr>
          <w:rFonts w:ascii="Arial Narrow" w:hAnsi="Arial Narrow"/>
          <w:sz w:val="20"/>
          <w:szCs w:val="20"/>
        </w:rPr>
        <w:t>.</w:t>
      </w:r>
      <w:r w:rsidR="002939E0">
        <w:rPr>
          <w:rFonts w:ascii="Arial Narrow" w:hAnsi="Arial Narrow"/>
          <w:sz w:val="20"/>
          <w:szCs w:val="20"/>
        </w:rPr>
        <w:t xml:space="preserve"> Ф</w:t>
      </w:r>
      <w:r w:rsidR="00CE0A59" w:rsidRPr="00CE0A59">
        <w:rPr>
          <w:rFonts w:ascii="Arial Narrow" w:hAnsi="Arial Narrow"/>
          <w:sz w:val="20"/>
          <w:szCs w:val="20"/>
        </w:rPr>
        <w:t>акторите, влияещи върху взривния ефект, са приети при геометрични и енергетични параметри на технологичните взривявания, определени от относителния разход на взривно вещество за реализиране на желания взривен ефект.</w:t>
      </w:r>
    </w:p>
    <w:p w:rsidR="00766BB1" w:rsidRDefault="00766BB1" w:rsidP="00CE0A59">
      <w:pPr>
        <w:ind w:firstLine="0"/>
        <w:rPr>
          <w:rFonts w:ascii="Arial Narrow" w:hAnsi="Arial Narrow"/>
          <w:sz w:val="20"/>
          <w:szCs w:val="20"/>
        </w:rPr>
      </w:pPr>
    </w:p>
    <w:p w:rsidR="00A3171C" w:rsidRPr="00A3171C" w:rsidRDefault="00A3171C" w:rsidP="00CE0A59">
      <w:pPr>
        <w:ind w:firstLine="0"/>
        <w:rPr>
          <w:rFonts w:ascii="Arial Narrow" w:hAnsi="Arial Narrow"/>
          <w:b/>
          <w:szCs w:val="24"/>
        </w:rPr>
      </w:pPr>
      <w:r w:rsidRPr="00A3171C">
        <w:rPr>
          <w:rFonts w:ascii="Arial Narrow" w:hAnsi="Arial Narrow"/>
          <w:b/>
          <w:szCs w:val="24"/>
        </w:rPr>
        <w:t>Условия на прилагане</w:t>
      </w:r>
    </w:p>
    <w:p w:rsidR="00A3171C" w:rsidRPr="00766BB1" w:rsidRDefault="00A3171C" w:rsidP="00CE0A59">
      <w:pPr>
        <w:ind w:firstLine="0"/>
        <w:rPr>
          <w:rFonts w:ascii="Arial Narrow" w:hAnsi="Arial Narrow"/>
          <w:b/>
          <w:sz w:val="12"/>
          <w:szCs w:val="12"/>
        </w:rPr>
      </w:pPr>
    </w:p>
    <w:p w:rsidR="00CE0A59" w:rsidRDefault="006670A1" w:rsidP="00CE0A59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CE0A59" w:rsidRPr="00CE0A59">
        <w:rPr>
          <w:rFonts w:ascii="Arial Narrow" w:hAnsi="Arial Narrow"/>
          <w:sz w:val="20"/>
          <w:szCs w:val="20"/>
        </w:rPr>
        <w:t xml:space="preserve">Резултатите от прилаганата методика се свеждат до основния параметър – количество взривно вещество, взривявано през интервал от 8-10 ms, тъй като това се смята, че е периодът след иницииране на заряда в сондажа за образуване на ударната вълна във въздушна </w:t>
      </w:r>
      <w:r w:rsidR="00CE0A59" w:rsidRPr="00CE0A59">
        <w:rPr>
          <w:rFonts w:ascii="Arial Narrow" w:hAnsi="Arial Narrow"/>
          <w:sz w:val="20"/>
          <w:szCs w:val="20"/>
        </w:rPr>
        <w:lastRenderedPageBreak/>
        <w:t xml:space="preserve">среда. В реален масив влиянието на физико-механичните, структурните и акустичните свойства има определящо значение, но те не са предмет на анализа. За илюстриране на това влияние се приема коефициентът </w:t>
      </w:r>
      <w:r>
        <w:rPr>
          <w:rFonts w:ascii="Arial Narrow" w:hAnsi="Arial Narrow"/>
          <w:sz w:val="20"/>
          <w:szCs w:val="20"/>
        </w:rPr>
        <w:t>/</w:t>
      </w:r>
      <w:r w:rsidR="00CE0A59" w:rsidRPr="00CE0A59">
        <w:rPr>
          <w:rFonts w:ascii="Arial Narrow" w:hAnsi="Arial Narrow"/>
          <w:sz w:val="20"/>
          <w:szCs w:val="20"/>
        </w:rPr>
        <w:t>К</w:t>
      </w:r>
      <w:r>
        <w:rPr>
          <w:rFonts w:ascii="Arial Narrow" w:hAnsi="Arial Narrow"/>
          <w:sz w:val="20"/>
          <w:szCs w:val="20"/>
        </w:rPr>
        <w:t>/</w:t>
      </w:r>
      <w:r w:rsidR="00CE0A59" w:rsidRPr="00CE0A59">
        <w:rPr>
          <w:rFonts w:ascii="Arial Narrow" w:hAnsi="Arial Narrow"/>
          <w:sz w:val="20"/>
          <w:szCs w:val="20"/>
        </w:rPr>
        <w:t>, който определя условията на прилагане.</w:t>
      </w:r>
    </w:p>
    <w:p w:rsidR="00766BB1" w:rsidRPr="00766BB1" w:rsidRDefault="00766BB1" w:rsidP="00CE0A59">
      <w:pPr>
        <w:ind w:firstLine="0"/>
        <w:rPr>
          <w:rFonts w:ascii="Arial Narrow" w:hAnsi="Arial Narrow"/>
          <w:sz w:val="12"/>
          <w:szCs w:val="12"/>
        </w:rPr>
      </w:pPr>
    </w:p>
    <w:p w:rsidR="00F71F74" w:rsidRDefault="00E17242" w:rsidP="00CE0A59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F71F74" w:rsidRPr="00D107E2">
        <w:rPr>
          <w:rFonts w:ascii="Arial Narrow" w:hAnsi="Arial Narrow"/>
          <w:sz w:val="20"/>
          <w:szCs w:val="20"/>
        </w:rPr>
        <w:t xml:space="preserve">Регистрираните метеорологични условия за </w:t>
      </w:r>
      <w:r w:rsidR="00D80537" w:rsidRPr="00D107E2">
        <w:rPr>
          <w:rFonts w:ascii="Arial Narrow" w:hAnsi="Arial Narrow"/>
          <w:sz w:val="20"/>
          <w:szCs w:val="20"/>
        </w:rPr>
        <w:t xml:space="preserve">района </w:t>
      </w:r>
      <w:r w:rsidR="00F71F74" w:rsidRPr="00D107E2">
        <w:rPr>
          <w:rFonts w:ascii="Arial Narrow" w:hAnsi="Arial Narrow"/>
          <w:sz w:val="20"/>
          <w:szCs w:val="20"/>
        </w:rPr>
        <w:t>н</w:t>
      </w:r>
      <w:r w:rsidR="00D80537">
        <w:rPr>
          <w:rFonts w:ascii="Arial Narrow" w:hAnsi="Arial Narrow"/>
          <w:sz w:val="20"/>
          <w:szCs w:val="20"/>
        </w:rPr>
        <w:t xml:space="preserve">а провеждане на взривяванията </w:t>
      </w:r>
      <w:r w:rsidR="00F71F74" w:rsidRPr="00D107E2">
        <w:rPr>
          <w:rFonts w:ascii="Arial Narrow" w:hAnsi="Arial Narrow"/>
          <w:sz w:val="20"/>
          <w:szCs w:val="20"/>
        </w:rPr>
        <w:t>не се приемат като определящи параметри поради променливия характер на стойностите. Целта на изследването е изведената функционална зависимост да не отчита всеки параметър поотделно, а да дава общ коефициент, ко</w:t>
      </w:r>
      <w:r w:rsidR="00A30BC5">
        <w:rPr>
          <w:rFonts w:ascii="Arial Narrow" w:hAnsi="Arial Narrow"/>
          <w:sz w:val="20"/>
          <w:szCs w:val="20"/>
        </w:rPr>
        <w:t>й</w:t>
      </w:r>
      <w:r w:rsidR="00F71F74" w:rsidRPr="00D107E2">
        <w:rPr>
          <w:rFonts w:ascii="Arial Narrow" w:hAnsi="Arial Narrow"/>
          <w:sz w:val="20"/>
          <w:szCs w:val="20"/>
        </w:rPr>
        <w:t xml:space="preserve">то да включва и условията на взривяването. Тези </w:t>
      </w:r>
      <w:r w:rsidR="009C0D0D">
        <w:rPr>
          <w:rFonts w:ascii="Arial Narrow" w:hAnsi="Arial Narrow"/>
          <w:sz w:val="20"/>
          <w:szCs w:val="20"/>
        </w:rPr>
        <w:t>ограничения</w:t>
      </w:r>
      <w:r w:rsidR="00F71F74" w:rsidRPr="00D107E2">
        <w:rPr>
          <w:rFonts w:ascii="Arial Narrow" w:hAnsi="Arial Narrow"/>
          <w:sz w:val="20"/>
          <w:szCs w:val="20"/>
        </w:rPr>
        <w:t xml:space="preserve"> са сведени до количество взривно вещество във функционална зависимост от разстоянието, на което страничният ефект от взрива би имал безопасно действие.</w:t>
      </w:r>
    </w:p>
    <w:p w:rsidR="000F4A59" w:rsidRPr="00766BB1" w:rsidRDefault="000F4A59" w:rsidP="00F71F74">
      <w:pPr>
        <w:ind w:firstLine="0"/>
        <w:rPr>
          <w:rFonts w:ascii="Arial Narrow" w:hAnsi="Arial Narrow"/>
          <w:sz w:val="12"/>
          <w:szCs w:val="12"/>
        </w:rPr>
      </w:pPr>
    </w:p>
    <w:p w:rsidR="00766BB1" w:rsidRDefault="00BA6829" w:rsidP="00897DD2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897DD2" w:rsidRPr="00D107E2">
        <w:rPr>
          <w:rFonts w:ascii="Arial Narrow" w:hAnsi="Arial Narrow"/>
          <w:sz w:val="20"/>
          <w:szCs w:val="20"/>
        </w:rPr>
        <w:t>Приведено</w:t>
      </w:r>
      <w:r w:rsidR="00BB735B">
        <w:rPr>
          <w:rFonts w:ascii="Arial Narrow" w:hAnsi="Arial Narrow"/>
          <w:sz w:val="20"/>
          <w:szCs w:val="20"/>
        </w:rPr>
        <w:t>то</w:t>
      </w:r>
      <w:r w:rsidR="00897DD2" w:rsidRPr="00D107E2">
        <w:rPr>
          <w:rFonts w:ascii="Arial Narrow" w:hAnsi="Arial Narrow"/>
          <w:sz w:val="20"/>
          <w:szCs w:val="20"/>
        </w:rPr>
        <w:t xml:space="preserve"> разстояние е аргумент на функционална зависимост</w:t>
      </w:r>
      <w:r w:rsidR="00B265E5">
        <w:rPr>
          <w:rFonts w:ascii="Arial Narrow" w:hAnsi="Arial Narrow"/>
          <w:sz w:val="20"/>
          <w:szCs w:val="20"/>
        </w:rPr>
        <w:t>, използвана за целта на изследването,</w:t>
      </w:r>
      <w:r w:rsidR="00897DD2" w:rsidRPr="00D107E2">
        <w:rPr>
          <w:rFonts w:ascii="Arial Narrow" w:hAnsi="Arial Narrow"/>
          <w:sz w:val="20"/>
          <w:szCs w:val="20"/>
        </w:rPr>
        <w:t xml:space="preserve"> </w:t>
      </w:r>
      <w:r w:rsidR="00B265E5">
        <w:rPr>
          <w:rFonts w:ascii="Arial Narrow" w:hAnsi="Arial Narrow"/>
          <w:sz w:val="20"/>
          <w:szCs w:val="20"/>
        </w:rPr>
        <w:t>н</w:t>
      </w:r>
      <w:r w:rsidR="00897DD2" w:rsidRPr="00D107E2">
        <w:rPr>
          <w:rFonts w:ascii="Arial Narrow" w:hAnsi="Arial Narrow"/>
          <w:sz w:val="20"/>
          <w:szCs w:val="20"/>
        </w:rPr>
        <w:t>а измерените стойности на свръхналягането</w:t>
      </w:r>
      <w:r w:rsidR="00B265E5">
        <w:rPr>
          <w:rFonts w:ascii="Arial Narrow" w:hAnsi="Arial Narrow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vertAlign w:val="subscript"/>
              </w:rPr>
              <m:t>+</m:t>
            </m:r>
          </m:sub>
        </m:sSub>
      </m:oMath>
      <w:r w:rsidR="00B265E5">
        <w:rPr>
          <w:rFonts w:ascii="Arial Narrow" w:eastAsiaTheme="minorEastAsia" w:hAnsi="Arial Narrow"/>
          <w:sz w:val="20"/>
          <w:szCs w:val="20"/>
        </w:rPr>
        <w:t xml:space="preserve">, </w:t>
      </w:r>
      <w:proofErr w:type="gramStart"/>
      <w:r w:rsidR="00B265E5">
        <w:rPr>
          <w:rFonts w:ascii="Arial Narrow" w:eastAsiaTheme="minorEastAsia" w:hAnsi="Arial Narrow"/>
          <w:sz w:val="20"/>
          <w:szCs w:val="20"/>
          <w:lang w:val="en-US"/>
        </w:rPr>
        <w:t>dB</w:t>
      </w:r>
      <w:proofErr w:type="gramEnd"/>
      <w:r w:rsidR="00B265E5">
        <w:rPr>
          <w:rFonts w:ascii="Arial Narrow" w:eastAsiaTheme="minorEastAsia" w:hAnsi="Arial Narrow"/>
          <w:sz w:val="20"/>
          <w:szCs w:val="20"/>
          <w:lang w:val="en-US"/>
        </w:rPr>
        <w:t>,</w:t>
      </w:r>
      <w:r w:rsidR="00897DD2" w:rsidRPr="00D107E2">
        <w:rPr>
          <w:rFonts w:ascii="Arial Narrow" w:hAnsi="Arial Narrow"/>
          <w:sz w:val="20"/>
          <w:szCs w:val="20"/>
        </w:rPr>
        <w:t xml:space="preserve"> </w:t>
      </w:r>
      <w:r w:rsidR="00B265E5">
        <w:rPr>
          <w:rFonts w:ascii="Arial Narrow" w:hAnsi="Arial Narrow"/>
          <w:sz w:val="20"/>
          <w:szCs w:val="20"/>
        </w:rPr>
        <w:t>при</w:t>
      </w:r>
      <w:r w:rsidR="00897DD2" w:rsidRPr="00D107E2">
        <w:rPr>
          <w:rFonts w:ascii="Arial Narrow" w:hAnsi="Arial Narrow"/>
          <w:sz w:val="20"/>
          <w:szCs w:val="20"/>
        </w:rPr>
        <w:t xml:space="preserve"> </w:t>
      </w:r>
      <w:r w:rsidR="00897DD2" w:rsidRPr="00D107E2">
        <w:rPr>
          <w:rFonts w:ascii="Arial Narrow" w:hAnsi="Arial Narrow"/>
          <w:sz w:val="20"/>
          <w:szCs w:val="20"/>
        </w:rPr>
        <w:lastRenderedPageBreak/>
        <w:t>съответния коеф</w:t>
      </w:r>
      <w:r w:rsidR="002D0142">
        <w:rPr>
          <w:rFonts w:ascii="Arial Narrow" w:hAnsi="Arial Narrow"/>
          <w:sz w:val="20"/>
          <w:szCs w:val="20"/>
        </w:rPr>
        <w:t xml:space="preserve">ициент </w:t>
      </w:r>
      <w:r w:rsidR="002D0142" w:rsidRPr="00D748C1">
        <w:rPr>
          <w:rFonts w:ascii="Arial Narrow" w:hAnsi="Arial Narrow"/>
          <w:i/>
          <w:sz w:val="20"/>
          <w:szCs w:val="20"/>
        </w:rPr>
        <w:t>K</w:t>
      </w:r>
      <w:r w:rsidR="002D0142">
        <w:rPr>
          <w:rFonts w:ascii="Arial Narrow" w:hAnsi="Arial Narrow"/>
          <w:sz w:val="20"/>
          <w:szCs w:val="20"/>
        </w:rPr>
        <w:t xml:space="preserve"> и степенен показател </w:t>
      </w:r>
      <w:r w:rsidR="002D0142" w:rsidRPr="00D748C1">
        <w:rPr>
          <w:rFonts w:ascii="Arial Narrow" w:hAnsi="Arial Narrow"/>
          <w:i/>
          <w:sz w:val="20"/>
          <w:szCs w:val="20"/>
        </w:rPr>
        <w:t>n</w:t>
      </w:r>
      <w:r w:rsidR="002D0142">
        <w:rPr>
          <w:rFonts w:ascii="Arial Narrow" w:hAnsi="Arial Narrow"/>
          <w:sz w:val="20"/>
          <w:szCs w:val="20"/>
        </w:rPr>
        <w:t xml:space="preserve"> в следния вид:</w:t>
      </w:r>
    </w:p>
    <w:p w:rsidR="00766BB1" w:rsidRPr="00766BB1" w:rsidRDefault="00766BB1" w:rsidP="00897DD2">
      <w:pPr>
        <w:ind w:firstLine="0"/>
        <w:rPr>
          <w:rFonts w:ascii="Arial Narrow" w:hAnsi="Arial Narrow"/>
          <w:sz w:val="12"/>
          <w:szCs w:val="12"/>
        </w:rPr>
      </w:pPr>
    </w:p>
    <w:p w:rsidR="00853AE6" w:rsidRPr="00766BB1" w:rsidRDefault="00853AE6" w:rsidP="00897DD2">
      <w:pPr>
        <w:ind w:firstLine="0"/>
        <w:rPr>
          <w:rFonts w:ascii="Arial Narrow" w:hAnsi="Arial Narrow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y=k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(x)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</m:sSup>
        </m:oMath>
      </m:oMathPara>
    </w:p>
    <w:p w:rsidR="00DA1B82" w:rsidRPr="00766BB1" w:rsidRDefault="00DA1B82" w:rsidP="00897DD2">
      <w:pPr>
        <w:ind w:firstLine="0"/>
        <w:rPr>
          <w:rFonts w:ascii="Arial Narrow" w:eastAsiaTheme="minorEastAsia" w:hAnsi="Arial Narrow"/>
          <w:sz w:val="12"/>
          <w:szCs w:val="12"/>
          <w:lang w:val="en-US"/>
        </w:rPr>
      </w:pPr>
    </w:p>
    <w:p w:rsidR="00DA1B82" w:rsidRDefault="00DA1B82" w:rsidP="00897DD2">
      <w:pPr>
        <w:ind w:firstLine="0"/>
        <w:rPr>
          <w:rFonts w:ascii="Arial Narrow" w:eastAsiaTheme="minorEastAsia" w:hAnsi="Arial Narrow"/>
          <w:sz w:val="20"/>
          <w:szCs w:val="20"/>
          <w:lang w:val="en-US"/>
        </w:rPr>
      </w:pPr>
      <w:r>
        <w:rPr>
          <w:rFonts w:ascii="Arial Narrow" w:eastAsiaTheme="minorEastAsia" w:hAnsi="Arial Narrow"/>
          <w:sz w:val="20"/>
          <w:szCs w:val="20"/>
        </w:rPr>
        <w:t>или</w:t>
      </w:r>
    </w:p>
    <w:p w:rsidR="00DA1B82" w:rsidRPr="00766BB1" w:rsidRDefault="00DA1B82" w:rsidP="00897DD2">
      <w:pPr>
        <w:ind w:firstLine="0"/>
        <w:rPr>
          <w:rFonts w:ascii="Arial Narrow" w:eastAsiaTheme="minorEastAsia" w:hAnsi="Arial Narrow"/>
          <w:sz w:val="12"/>
          <w:szCs w:val="12"/>
          <w:lang w:val="en-US"/>
        </w:rPr>
      </w:pPr>
    </w:p>
    <w:p w:rsidR="00DA1B82" w:rsidRPr="00766BB1" w:rsidRDefault="00846A40" w:rsidP="00DA1B82">
      <w:pPr>
        <w:ind w:firstLine="0"/>
        <w:rPr>
          <w:rFonts w:ascii="Arial Narrow" w:eastAsiaTheme="minorEastAsia" w:hAnsi="Arial Narrow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  <w:vertAlign w:val="subscript"/>
                </w:rPr>
                <m:t>+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=K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>dB,</m:t>
          </m:r>
        </m:oMath>
      </m:oMathPara>
    </w:p>
    <w:p w:rsidR="00DA1B82" w:rsidRPr="00766BB1" w:rsidRDefault="00DA1B82" w:rsidP="00897DD2">
      <w:pPr>
        <w:ind w:firstLine="0"/>
        <w:rPr>
          <w:rFonts w:ascii="Arial Narrow" w:eastAsiaTheme="minorEastAsia" w:hAnsi="Arial Narrow"/>
          <w:sz w:val="12"/>
          <w:szCs w:val="12"/>
          <w:lang w:val="en-US"/>
        </w:rPr>
      </w:pPr>
    </w:p>
    <w:p w:rsidR="001224F8" w:rsidRPr="003A1EB5" w:rsidRDefault="00BE5DC3" w:rsidP="00DA1B82">
      <w:pPr>
        <w:ind w:firstLine="0"/>
        <w:rPr>
          <w:rFonts w:ascii="Arial Narrow" w:eastAsiaTheme="minorEastAsia" w:hAnsi="Arial Narrow"/>
          <w:i/>
          <w:sz w:val="20"/>
          <w:szCs w:val="20"/>
          <w:lang w:val="en-US"/>
        </w:rPr>
      </w:pPr>
      <w:r>
        <w:rPr>
          <w:rFonts w:ascii="Arial Narrow" w:eastAsiaTheme="minorEastAsia" w:hAnsi="Arial Narrow"/>
          <w:sz w:val="20"/>
          <w:szCs w:val="20"/>
        </w:rPr>
        <w:t>където</w:t>
      </w:r>
      <w:r>
        <w:rPr>
          <w:rFonts w:ascii="Arial Narrow" w:eastAsiaTheme="minorEastAsia" w:hAnsi="Arial Narrow"/>
          <w:sz w:val="20"/>
          <w:szCs w:val="20"/>
          <w:lang w:val="en-US"/>
        </w:rPr>
        <w:t>:</w:t>
      </w:r>
      <w:r w:rsidR="001224F8">
        <w:rPr>
          <w:rFonts w:ascii="Arial Narrow" w:eastAsiaTheme="minorEastAsia" w:hAnsi="Arial Narrow"/>
          <w:sz w:val="20"/>
          <w:szCs w:val="20"/>
          <w:lang w:val="en-US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R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Q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, </m:t>
        </m:r>
      </m:oMath>
      <w:r w:rsidR="0007399B">
        <w:rPr>
          <w:rFonts w:ascii="Arial Narrow" w:eastAsiaTheme="minorEastAsia" w:hAnsi="Arial Narrow"/>
          <w:sz w:val="20"/>
          <w:szCs w:val="20"/>
        </w:rPr>
        <w:t>е приведеното разстояние,</w:t>
      </w:r>
      <w:r w:rsidR="0007399B" w:rsidRPr="0007399B">
        <w:rPr>
          <w:rFonts w:ascii="Arial Narrow" w:eastAsiaTheme="minorEastAsia" w:hAnsi="Arial Narrow"/>
          <w:sz w:val="20"/>
          <w:szCs w:val="20"/>
        </w:rPr>
        <w:t xml:space="preserve"> m/kg</w:t>
      </w:r>
      <w:r w:rsidR="0007399B" w:rsidRPr="0007399B">
        <w:rPr>
          <w:rFonts w:ascii="Arial Narrow" w:eastAsiaTheme="minorEastAsia" w:hAnsi="Arial Narrow"/>
          <w:sz w:val="20"/>
          <w:szCs w:val="20"/>
          <w:vertAlign w:val="superscript"/>
        </w:rPr>
        <w:t>1/3</w:t>
      </w:r>
      <w:r w:rsidR="003A1EB5">
        <w:rPr>
          <w:rFonts w:ascii="Arial Narrow" w:eastAsiaTheme="minorEastAsia" w:hAnsi="Arial Narrow"/>
          <w:sz w:val="20"/>
          <w:szCs w:val="20"/>
          <w:lang w:val="en-US"/>
        </w:rPr>
        <w:t>;</w:t>
      </w:r>
    </w:p>
    <w:p w:rsidR="00DA1B82" w:rsidRPr="00BE5DC3" w:rsidRDefault="00DA1B82" w:rsidP="00DA1B82">
      <w:pPr>
        <w:ind w:firstLine="0"/>
        <w:rPr>
          <w:rFonts w:ascii="Arial Narrow" w:eastAsiaTheme="minorEastAsia" w:hAnsi="Arial Narrow"/>
          <w:sz w:val="20"/>
          <w:szCs w:val="20"/>
          <w:lang w:val="en-US"/>
        </w:rPr>
      </w:pPr>
      <w:r w:rsidRPr="00DA1B82">
        <w:rPr>
          <w:rFonts w:ascii="Arial Narrow" w:eastAsiaTheme="minorEastAsia" w:hAnsi="Arial Narrow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R</m:t>
        </m:r>
      </m:oMath>
      <w:r w:rsidRPr="00DA1B82">
        <w:rPr>
          <w:rFonts w:ascii="Arial Narrow" w:eastAsiaTheme="minorEastAsia" w:hAnsi="Arial Narrow"/>
          <w:sz w:val="20"/>
          <w:szCs w:val="20"/>
        </w:rPr>
        <w:t xml:space="preserve"> </w:t>
      </w:r>
      <w:r w:rsidR="00226F73">
        <w:rPr>
          <w:rFonts w:ascii="Arial Narrow" w:eastAsiaTheme="minorEastAsia" w:hAnsi="Arial Narrow"/>
          <w:sz w:val="20"/>
          <w:szCs w:val="20"/>
          <w:lang w:val="en-US"/>
        </w:rPr>
        <w:t>–</w:t>
      </w:r>
      <w:r w:rsidRPr="00DA1B82">
        <w:rPr>
          <w:rFonts w:ascii="Arial Narrow" w:eastAsiaTheme="minorEastAsia" w:hAnsi="Arial Narrow"/>
          <w:sz w:val="20"/>
          <w:szCs w:val="20"/>
        </w:rPr>
        <w:t xml:space="preserve"> </w:t>
      </w:r>
      <w:proofErr w:type="gramStart"/>
      <w:r w:rsidRPr="00DA1B82">
        <w:rPr>
          <w:rFonts w:ascii="Arial Narrow" w:eastAsiaTheme="minorEastAsia" w:hAnsi="Arial Narrow"/>
          <w:sz w:val="20"/>
          <w:szCs w:val="20"/>
        </w:rPr>
        <w:t>разстояние</w:t>
      </w:r>
      <w:r w:rsidR="00226F73">
        <w:rPr>
          <w:rFonts w:ascii="Arial Narrow" w:eastAsiaTheme="minorEastAsia" w:hAnsi="Arial Narrow"/>
          <w:sz w:val="20"/>
          <w:szCs w:val="20"/>
        </w:rPr>
        <w:t>то</w:t>
      </w:r>
      <w:proofErr w:type="gramEnd"/>
      <w:r w:rsidRPr="00DA1B82">
        <w:rPr>
          <w:rFonts w:ascii="Arial Narrow" w:eastAsiaTheme="minorEastAsia" w:hAnsi="Arial Narrow"/>
          <w:sz w:val="20"/>
          <w:szCs w:val="20"/>
        </w:rPr>
        <w:t xml:space="preserve"> до мястото на взривяване, m;</w:t>
      </w:r>
    </w:p>
    <w:p w:rsidR="00DA1B82" w:rsidRPr="00DA1B82" w:rsidRDefault="00DA1B82" w:rsidP="00DA1B82">
      <w:pPr>
        <w:ind w:firstLine="0"/>
        <w:rPr>
          <w:rFonts w:ascii="Arial Narrow" w:eastAsiaTheme="minorEastAsia" w:hAnsi="Arial Narrow"/>
          <w:sz w:val="20"/>
          <w:szCs w:val="20"/>
          <w:lang w:val="en-US"/>
        </w:rPr>
      </w:pPr>
      <w:r>
        <w:rPr>
          <w:rFonts w:ascii="Arial Narrow" w:eastAsiaTheme="minorEastAsia" w:hAnsi="Arial Narrow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Q</m:t>
        </m:r>
      </m:oMath>
      <w:r w:rsidR="00A547EF">
        <w:rPr>
          <w:rFonts w:ascii="Arial Narrow" w:eastAsiaTheme="minorEastAsia" w:hAnsi="Arial Narrow"/>
          <w:sz w:val="20"/>
          <w:szCs w:val="20"/>
          <w:lang w:val="en-US"/>
        </w:rPr>
        <w:t xml:space="preserve"> </w:t>
      </w:r>
      <w:r w:rsidRPr="00DA1B82">
        <w:rPr>
          <w:rFonts w:ascii="Arial Narrow" w:eastAsiaTheme="minorEastAsia" w:hAnsi="Arial Narrow"/>
          <w:sz w:val="20"/>
          <w:szCs w:val="20"/>
        </w:rPr>
        <w:t>–</w:t>
      </w:r>
      <w:r w:rsidR="00A547EF">
        <w:rPr>
          <w:rFonts w:ascii="Arial Narrow" w:eastAsiaTheme="minorEastAsia" w:hAnsi="Arial Narrow"/>
          <w:sz w:val="20"/>
          <w:szCs w:val="20"/>
          <w:lang w:val="en-US"/>
        </w:rPr>
        <w:t xml:space="preserve"> </w:t>
      </w:r>
      <w:r w:rsidRPr="00DA1B82">
        <w:rPr>
          <w:rFonts w:ascii="Arial Narrow" w:eastAsiaTheme="minorEastAsia" w:hAnsi="Arial Narrow"/>
          <w:sz w:val="20"/>
          <w:szCs w:val="20"/>
        </w:rPr>
        <w:t>масата на взривявания заряд, kg</w:t>
      </w:r>
      <w:r w:rsidR="00D748C1">
        <w:rPr>
          <w:rFonts w:ascii="Arial Narrow" w:eastAsiaTheme="minorEastAsia" w:hAnsi="Arial Narrow"/>
          <w:sz w:val="20"/>
          <w:szCs w:val="20"/>
        </w:rPr>
        <w:t>;</w:t>
      </w:r>
    </w:p>
    <w:p w:rsidR="00DA1B82" w:rsidRPr="00DA1B82" w:rsidRDefault="00DA1B82" w:rsidP="00DA1B82">
      <w:pPr>
        <w:ind w:firstLine="0"/>
        <w:rPr>
          <w:rFonts w:ascii="Arial Narrow" w:eastAsiaTheme="minorEastAsia" w:hAnsi="Arial Narrow"/>
          <w:sz w:val="20"/>
          <w:szCs w:val="20"/>
          <w:lang w:val="en-US"/>
        </w:rPr>
      </w:pPr>
      <w:r>
        <w:rPr>
          <w:rFonts w:ascii="Arial Narrow" w:eastAsiaTheme="minorEastAsia" w:hAnsi="Arial Narrow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K</m:t>
        </m:r>
      </m:oMath>
      <w:r w:rsidRPr="00DA1B82">
        <w:rPr>
          <w:rFonts w:ascii="Arial Narrow" w:eastAsiaTheme="minorEastAsia" w:hAnsi="Arial Narrow"/>
          <w:sz w:val="20"/>
          <w:szCs w:val="20"/>
        </w:rPr>
        <w:t xml:space="preserve"> – коефициент, характеризиращ условията на взривяване</w:t>
      </w:r>
      <w:r w:rsidRPr="00DA1B82">
        <w:rPr>
          <w:rFonts w:ascii="Arial Narrow" w:eastAsiaTheme="minorEastAsia" w:hAnsi="Arial Narrow"/>
          <w:sz w:val="20"/>
          <w:szCs w:val="20"/>
          <w:lang w:val="en-US"/>
        </w:rPr>
        <w:t>;</w:t>
      </w:r>
    </w:p>
    <w:p w:rsidR="00DA1B82" w:rsidRDefault="00DA1B82" w:rsidP="00DA1B82">
      <w:pPr>
        <w:ind w:firstLine="0"/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sz w:val="20"/>
          <w:szCs w:val="20"/>
          <w:lang w:val="en-US"/>
        </w:rPr>
        <w:tab/>
      </w:r>
      <w:r w:rsidRPr="00DA1B82">
        <w:rPr>
          <w:rFonts w:ascii="Arial Narrow" w:eastAsiaTheme="minorEastAsia" w:hAnsi="Arial Narrow"/>
          <w:i/>
          <w:sz w:val="20"/>
          <w:szCs w:val="20"/>
          <w:lang w:val="en-US"/>
        </w:rPr>
        <w:t>n</w:t>
      </w:r>
      <w:r w:rsidRPr="00DA1B82">
        <w:rPr>
          <w:rFonts w:ascii="Arial Narrow" w:eastAsiaTheme="minorEastAsia" w:hAnsi="Arial Narrow"/>
          <w:sz w:val="20"/>
          <w:szCs w:val="20"/>
          <w:lang w:val="en-US"/>
        </w:rPr>
        <w:t xml:space="preserve"> – </w:t>
      </w:r>
      <w:proofErr w:type="gramStart"/>
      <w:r w:rsidRPr="00DA1B82">
        <w:rPr>
          <w:rFonts w:ascii="Arial Narrow" w:eastAsiaTheme="minorEastAsia" w:hAnsi="Arial Narrow"/>
          <w:sz w:val="20"/>
          <w:szCs w:val="20"/>
        </w:rPr>
        <w:t>степенен</w:t>
      </w:r>
      <w:proofErr w:type="gramEnd"/>
      <w:r w:rsidRPr="00DA1B82">
        <w:rPr>
          <w:rFonts w:ascii="Arial Narrow" w:eastAsiaTheme="minorEastAsia" w:hAnsi="Arial Narrow"/>
          <w:sz w:val="20"/>
          <w:szCs w:val="20"/>
        </w:rPr>
        <w:t xml:space="preserve"> показател, определящ </w:t>
      </w:r>
      <w:r w:rsidR="00F2364E">
        <w:rPr>
          <w:rFonts w:ascii="Arial Narrow" w:eastAsiaTheme="minorEastAsia" w:hAnsi="Arial Narrow"/>
          <w:sz w:val="20"/>
          <w:szCs w:val="20"/>
        </w:rPr>
        <w:t>характера на разпространение</w:t>
      </w:r>
      <w:r w:rsidRPr="00DA1B82">
        <w:rPr>
          <w:rFonts w:ascii="Arial Narrow" w:eastAsiaTheme="minorEastAsia" w:hAnsi="Arial Narrow"/>
          <w:sz w:val="20"/>
          <w:szCs w:val="20"/>
        </w:rPr>
        <w:t xml:space="preserve"> на фронта на ударната вълна в</w:t>
      </w:r>
      <w:r w:rsidR="00F2364E">
        <w:rPr>
          <w:rFonts w:ascii="Arial Narrow" w:eastAsiaTheme="minorEastAsia" w:hAnsi="Arial Narrow"/>
          <w:sz w:val="20"/>
          <w:szCs w:val="20"/>
        </w:rPr>
        <w:t>ъв въздушното пространство</w:t>
      </w:r>
      <w:r w:rsidRPr="00DA1B82">
        <w:rPr>
          <w:rFonts w:ascii="Arial Narrow" w:eastAsiaTheme="minorEastAsia" w:hAnsi="Arial Narrow"/>
          <w:sz w:val="20"/>
          <w:szCs w:val="20"/>
        </w:rPr>
        <w:t xml:space="preserve"> около </w:t>
      </w:r>
      <w:r w:rsidR="005E70A3">
        <w:rPr>
          <w:rFonts w:ascii="Arial Narrow" w:eastAsiaTheme="minorEastAsia" w:hAnsi="Arial Narrow"/>
          <w:sz w:val="20"/>
          <w:szCs w:val="20"/>
        </w:rPr>
        <w:t>мястото на взривяване</w:t>
      </w:r>
      <w:r w:rsidRPr="00DA1B82">
        <w:rPr>
          <w:rFonts w:ascii="Arial Narrow" w:eastAsiaTheme="minorEastAsia" w:hAnsi="Arial Narrow"/>
          <w:sz w:val="20"/>
          <w:szCs w:val="20"/>
        </w:rPr>
        <w:t>.</w:t>
      </w:r>
    </w:p>
    <w:p w:rsidR="000F4A59" w:rsidRPr="00766BB1" w:rsidRDefault="000F4A59" w:rsidP="00DA1B82">
      <w:pPr>
        <w:ind w:firstLine="0"/>
        <w:rPr>
          <w:rFonts w:ascii="Arial Narrow" w:eastAsiaTheme="minorEastAsia" w:hAnsi="Arial Narrow"/>
          <w:sz w:val="12"/>
          <w:szCs w:val="12"/>
        </w:rPr>
      </w:pPr>
    </w:p>
    <w:p w:rsidR="00897DD2" w:rsidRDefault="00A57F90" w:rsidP="00897DD2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Pr="00D107E2">
        <w:rPr>
          <w:rFonts w:ascii="Arial Narrow" w:hAnsi="Arial Narrow"/>
          <w:sz w:val="20"/>
          <w:szCs w:val="20"/>
        </w:rPr>
        <w:t xml:space="preserve">Характерно за приведеното разстояние </w:t>
      </w:r>
      <w:r w:rsidRPr="009306A9">
        <w:rPr>
          <w:rFonts w:ascii="Arial Narrow" w:hAnsi="Arial Narrow"/>
          <w:i/>
          <w:sz w:val="20"/>
          <w:szCs w:val="20"/>
        </w:rPr>
        <w:t>r</w:t>
      </w:r>
      <w:r w:rsidRPr="00D107E2">
        <w:rPr>
          <w:rFonts w:ascii="Arial Narrow" w:hAnsi="Arial Narrow"/>
          <w:sz w:val="20"/>
          <w:szCs w:val="20"/>
        </w:rPr>
        <w:t xml:space="preserve"> е, че за по-малки количества взривно вещество стойността му спрямо разстоянието </w:t>
      </w:r>
      <w:r w:rsidRPr="009306A9">
        <w:rPr>
          <w:rFonts w:ascii="Arial Narrow" w:hAnsi="Arial Narrow"/>
          <w:i/>
          <w:sz w:val="20"/>
          <w:szCs w:val="20"/>
        </w:rPr>
        <w:t>R</w:t>
      </w:r>
      <w:r w:rsidRPr="00D107E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/1000 </w:t>
      </w:r>
      <w:r>
        <w:rPr>
          <w:rFonts w:ascii="Arial Narrow" w:hAnsi="Arial Narrow"/>
          <w:sz w:val="20"/>
          <w:szCs w:val="20"/>
          <w:lang w:val="en-US"/>
        </w:rPr>
        <w:t>m/</w:t>
      </w:r>
      <w:r>
        <w:rPr>
          <w:rFonts w:ascii="Arial Narrow" w:hAnsi="Arial Narrow"/>
          <w:sz w:val="20"/>
          <w:szCs w:val="20"/>
        </w:rPr>
        <w:t xml:space="preserve"> </w:t>
      </w:r>
      <w:r w:rsidRPr="00D107E2">
        <w:rPr>
          <w:rFonts w:ascii="Arial Narrow" w:hAnsi="Arial Narrow"/>
          <w:sz w:val="20"/>
          <w:szCs w:val="20"/>
        </w:rPr>
        <w:t>е значително по-висока. Затова,</w:t>
      </w:r>
      <w:r>
        <w:rPr>
          <w:rFonts w:ascii="Arial Narrow" w:hAnsi="Arial Narrow"/>
          <w:sz w:val="20"/>
          <w:szCs w:val="20"/>
        </w:rPr>
        <w:t xml:space="preserve"> ако за тротилови</w:t>
      </w:r>
      <w:r w:rsidRPr="00D107E2">
        <w:rPr>
          <w:rFonts w:ascii="Arial Narrow" w:hAnsi="Arial Narrow"/>
          <w:sz w:val="20"/>
          <w:szCs w:val="20"/>
        </w:rPr>
        <w:t xml:space="preserve"> заряди от 0,830 kg то е от порядъка на 1000 m/kg</w:t>
      </w:r>
      <w:r w:rsidRPr="00D107E2">
        <w:rPr>
          <w:rFonts w:ascii="Arial Narrow" w:hAnsi="Arial Narrow"/>
          <w:sz w:val="20"/>
          <w:szCs w:val="20"/>
          <w:vertAlign w:val="superscript"/>
        </w:rPr>
        <w:t>1/3</w:t>
      </w:r>
      <w:r w:rsidRPr="00D107E2">
        <w:rPr>
          <w:rFonts w:ascii="Arial Narrow" w:hAnsi="Arial Narrow"/>
          <w:sz w:val="20"/>
          <w:szCs w:val="20"/>
        </w:rPr>
        <w:t>, а за детонатор</w:t>
      </w:r>
      <w:r w:rsidR="003A6AAA">
        <w:rPr>
          <w:rFonts w:ascii="Arial Narrow" w:hAnsi="Arial Narrow"/>
          <w:sz w:val="20"/>
          <w:szCs w:val="20"/>
        </w:rPr>
        <w:t xml:space="preserve">, взривяван на повърхността </w:t>
      </w:r>
      <w:r w:rsidRPr="00D107E2">
        <w:rPr>
          <w:rFonts w:ascii="Arial Narrow" w:hAnsi="Arial Narrow"/>
          <w:sz w:val="20"/>
          <w:szCs w:val="20"/>
        </w:rPr>
        <w:t xml:space="preserve">– над </w:t>
      </w:r>
      <w:r>
        <w:rPr>
          <w:rFonts w:ascii="Arial Narrow" w:hAnsi="Arial Narrow"/>
          <w:sz w:val="20"/>
          <w:szCs w:val="20"/>
        </w:rPr>
        <w:t>8</w:t>
      </w:r>
      <w:r w:rsidRPr="00D107E2">
        <w:rPr>
          <w:rFonts w:ascii="Arial Narrow" w:hAnsi="Arial Narrow"/>
          <w:sz w:val="20"/>
          <w:szCs w:val="20"/>
        </w:rPr>
        <w:t>000 m/kg</w:t>
      </w:r>
      <w:r w:rsidRPr="00D107E2">
        <w:rPr>
          <w:rFonts w:ascii="Arial Narrow" w:hAnsi="Arial Narrow"/>
          <w:sz w:val="20"/>
          <w:szCs w:val="20"/>
          <w:vertAlign w:val="superscript"/>
        </w:rPr>
        <w:t>1/3</w:t>
      </w:r>
      <w:r w:rsidRPr="00D107E2">
        <w:rPr>
          <w:rFonts w:ascii="Arial Narrow" w:hAnsi="Arial Narrow"/>
          <w:sz w:val="20"/>
          <w:szCs w:val="20"/>
        </w:rPr>
        <w:t>, съответно за технологичните взривявания приведеното разстояние е от порядъка на 50÷100 m/kg</w:t>
      </w:r>
      <w:r w:rsidRPr="00D107E2">
        <w:rPr>
          <w:rFonts w:ascii="Arial Narrow" w:hAnsi="Arial Narrow"/>
          <w:sz w:val="20"/>
          <w:szCs w:val="20"/>
          <w:vertAlign w:val="superscript"/>
        </w:rPr>
        <w:t>1/3</w:t>
      </w:r>
      <w:r>
        <w:rPr>
          <w:rFonts w:ascii="Arial Narrow" w:hAnsi="Arial Narrow"/>
          <w:sz w:val="20"/>
          <w:szCs w:val="20"/>
        </w:rPr>
        <w:t xml:space="preserve"> на разстояние </w:t>
      </w:r>
      <w:r w:rsidR="00EF7F9B" w:rsidRPr="00EF7F9B">
        <w:rPr>
          <w:rFonts w:ascii="Arial Narrow" w:hAnsi="Arial Narrow"/>
          <w:i/>
          <w:sz w:val="20"/>
          <w:szCs w:val="20"/>
          <w:lang w:val="en-US"/>
        </w:rPr>
        <w:t>R</w:t>
      </w:r>
      <w:r w:rsidR="00EF7F9B">
        <w:rPr>
          <w:rFonts w:ascii="Arial Narrow" w:hAnsi="Arial Narrow"/>
          <w:sz w:val="20"/>
          <w:szCs w:val="20"/>
          <w:lang w:val="en-US"/>
        </w:rPr>
        <w:t>=</w:t>
      </w:r>
      <w:r>
        <w:rPr>
          <w:rFonts w:ascii="Arial Narrow" w:hAnsi="Arial Narrow"/>
          <w:sz w:val="20"/>
          <w:szCs w:val="20"/>
        </w:rPr>
        <w:t xml:space="preserve">500÷1000 </w:t>
      </w:r>
      <w:r>
        <w:rPr>
          <w:rFonts w:ascii="Arial Narrow" w:hAnsi="Arial Narrow"/>
          <w:sz w:val="20"/>
          <w:szCs w:val="20"/>
          <w:lang w:val="en-US"/>
        </w:rPr>
        <w:t>m</w:t>
      </w:r>
      <w:r>
        <w:rPr>
          <w:rFonts w:ascii="Arial Narrow" w:hAnsi="Arial Narrow"/>
          <w:sz w:val="20"/>
          <w:szCs w:val="20"/>
        </w:rPr>
        <w:t xml:space="preserve"> от взривното поле.</w:t>
      </w:r>
      <w:r w:rsidR="002B5FAB">
        <w:rPr>
          <w:rFonts w:ascii="Arial Narrow" w:hAnsi="Arial Narrow"/>
          <w:sz w:val="20"/>
          <w:szCs w:val="20"/>
        </w:rPr>
        <w:t xml:space="preserve"> </w:t>
      </w:r>
      <w:r w:rsidR="00E70BD8">
        <w:rPr>
          <w:rFonts w:ascii="Arial Narrow" w:hAnsi="Arial Narrow"/>
          <w:sz w:val="20"/>
          <w:szCs w:val="20"/>
        </w:rPr>
        <w:t>За заряди, взривявани в неограничено от твърда среда пространство</w:t>
      </w:r>
      <w:r w:rsidR="00897DD2" w:rsidRPr="00D107E2">
        <w:rPr>
          <w:rFonts w:ascii="Arial Narrow" w:hAnsi="Arial Narrow"/>
          <w:sz w:val="20"/>
          <w:szCs w:val="20"/>
        </w:rPr>
        <w:t>, се о</w:t>
      </w:r>
      <w:r w:rsidR="009306A9">
        <w:rPr>
          <w:rFonts w:ascii="Arial Narrow" w:hAnsi="Arial Narrow"/>
          <w:sz w:val="20"/>
          <w:szCs w:val="20"/>
        </w:rPr>
        <w:t xml:space="preserve">тчита по-висок коефициент К </w:t>
      </w:r>
      <w:r w:rsidR="00897DD2" w:rsidRPr="00D107E2">
        <w:rPr>
          <w:rFonts w:ascii="Arial Narrow" w:hAnsi="Arial Narrow"/>
          <w:sz w:val="20"/>
          <w:szCs w:val="20"/>
        </w:rPr>
        <w:t>и по-висок степенен показател n, което определя по-висо</w:t>
      </w:r>
      <w:r w:rsidR="009306A9">
        <w:rPr>
          <w:rFonts w:ascii="Arial Narrow" w:hAnsi="Arial Narrow"/>
          <w:sz w:val="20"/>
          <w:szCs w:val="20"/>
        </w:rPr>
        <w:t>ки нива на свръхналягането и</w:t>
      </w:r>
      <w:r w:rsidR="00897DD2" w:rsidRPr="00D107E2">
        <w:rPr>
          <w:rFonts w:ascii="Arial Narrow" w:hAnsi="Arial Narrow"/>
          <w:sz w:val="20"/>
          <w:szCs w:val="20"/>
        </w:rPr>
        <w:t xml:space="preserve"> по-далечно разпространение на фронта.</w:t>
      </w:r>
    </w:p>
    <w:p w:rsidR="00F53FCA" w:rsidRPr="00766BB1" w:rsidRDefault="00F53FCA" w:rsidP="00897DD2">
      <w:pPr>
        <w:ind w:firstLine="0"/>
        <w:rPr>
          <w:rFonts w:ascii="Arial Narrow" w:hAnsi="Arial Narrow"/>
          <w:sz w:val="12"/>
          <w:szCs w:val="12"/>
        </w:rPr>
      </w:pPr>
    </w:p>
    <w:p w:rsidR="00F53FCA" w:rsidRDefault="00F53FCA" w:rsidP="00F53FCA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Pr="00D107E2">
        <w:rPr>
          <w:rFonts w:ascii="Arial Narrow" w:hAnsi="Arial Narrow"/>
          <w:sz w:val="20"/>
          <w:szCs w:val="20"/>
        </w:rPr>
        <w:t>Пунктовете на регистрация на страничния ефект от взрива при мониторинг и контрол на взривно-сеизмичното въздействие върху структурите на водопроводната мрежа, изградени при взривно-сеизмично оразмеряване на те</w:t>
      </w:r>
      <w:r>
        <w:rPr>
          <w:rFonts w:ascii="Arial Narrow" w:hAnsi="Arial Narrow"/>
          <w:sz w:val="20"/>
          <w:szCs w:val="20"/>
        </w:rPr>
        <w:t xml:space="preserve">хнологичните взривни работи, са </w:t>
      </w:r>
      <w:r w:rsidRPr="00D107E2">
        <w:rPr>
          <w:rFonts w:ascii="Arial Narrow" w:hAnsi="Arial Narrow"/>
          <w:sz w:val="20"/>
          <w:szCs w:val="20"/>
        </w:rPr>
        <w:t>трасе водопровод</w:t>
      </w:r>
      <w:r>
        <w:rPr>
          <w:rFonts w:ascii="Arial Narrow" w:hAnsi="Arial Narrow"/>
          <w:sz w:val="20"/>
          <w:szCs w:val="20"/>
        </w:rPr>
        <w:t xml:space="preserve">, захранващ района, и </w:t>
      </w:r>
      <w:r w:rsidRPr="00D107E2">
        <w:rPr>
          <w:rFonts w:ascii="Arial Narrow" w:hAnsi="Arial Narrow"/>
          <w:sz w:val="20"/>
          <w:szCs w:val="20"/>
        </w:rPr>
        <w:t>сграда</w:t>
      </w:r>
      <w:r>
        <w:rPr>
          <w:rFonts w:ascii="Arial Narrow" w:hAnsi="Arial Narrow"/>
          <w:sz w:val="20"/>
          <w:szCs w:val="20"/>
        </w:rPr>
        <w:t xml:space="preserve"> на</w:t>
      </w:r>
      <w:r w:rsidRPr="00D107E2">
        <w:rPr>
          <w:rFonts w:ascii="Arial Narrow" w:hAnsi="Arial Narrow"/>
          <w:sz w:val="20"/>
          <w:szCs w:val="20"/>
        </w:rPr>
        <w:t xml:space="preserve"> „водосборник“,</w:t>
      </w:r>
      <w:r>
        <w:rPr>
          <w:rFonts w:ascii="Arial Narrow" w:hAnsi="Arial Narrow"/>
          <w:sz w:val="20"/>
          <w:szCs w:val="20"/>
        </w:rPr>
        <w:t xml:space="preserve"> </w:t>
      </w:r>
      <w:r w:rsidRPr="00D107E2">
        <w:rPr>
          <w:rFonts w:ascii="Arial Narrow" w:hAnsi="Arial Narrow"/>
          <w:sz w:val="20"/>
          <w:szCs w:val="20"/>
        </w:rPr>
        <w:t>които се намират в района на охраняваната зона.</w:t>
      </w:r>
    </w:p>
    <w:p w:rsidR="002B5FAB" w:rsidRDefault="002B5FAB" w:rsidP="00A82F24">
      <w:pPr>
        <w:ind w:firstLine="0"/>
        <w:rPr>
          <w:rFonts w:ascii="Arial Narrow" w:hAnsi="Arial Narrow"/>
          <w:b/>
          <w:szCs w:val="24"/>
        </w:rPr>
      </w:pPr>
    </w:p>
    <w:p w:rsidR="00A82F24" w:rsidRPr="00A3171C" w:rsidRDefault="00A82F24" w:rsidP="00A82F24">
      <w:pPr>
        <w:ind w:firstLine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Резултати от измерванията</w:t>
      </w:r>
    </w:p>
    <w:p w:rsidR="00A82F24" w:rsidRPr="00766BB1" w:rsidRDefault="00A82F24" w:rsidP="00A82F24">
      <w:pPr>
        <w:ind w:firstLine="0"/>
        <w:rPr>
          <w:rFonts w:ascii="Arial Narrow" w:hAnsi="Arial Narrow"/>
          <w:b/>
          <w:sz w:val="12"/>
          <w:szCs w:val="12"/>
        </w:rPr>
      </w:pPr>
    </w:p>
    <w:p w:rsidR="004C42DD" w:rsidRDefault="004D058F" w:rsidP="00897DD2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4C42DD">
        <w:rPr>
          <w:rFonts w:ascii="Arial Narrow" w:hAnsi="Arial Narrow"/>
          <w:sz w:val="20"/>
          <w:szCs w:val="20"/>
        </w:rPr>
        <w:t xml:space="preserve">Технологичните взривявания са </w:t>
      </w:r>
      <w:r w:rsidR="00DD1BF4">
        <w:rPr>
          <w:rFonts w:ascii="Arial Narrow" w:hAnsi="Arial Narrow"/>
          <w:sz w:val="20"/>
          <w:szCs w:val="20"/>
        </w:rPr>
        <w:t xml:space="preserve">проведени при </w:t>
      </w:r>
      <w:r w:rsidR="00760BE3">
        <w:rPr>
          <w:rFonts w:ascii="Arial Narrow" w:hAnsi="Arial Narrow"/>
          <w:sz w:val="20"/>
          <w:szCs w:val="20"/>
        </w:rPr>
        <w:t xml:space="preserve">входящи и отчетени </w:t>
      </w:r>
      <w:r w:rsidR="00DD1BF4">
        <w:rPr>
          <w:rFonts w:ascii="Arial Narrow" w:hAnsi="Arial Narrow"/>
          <w:sz w:val="20"/>
          <w:szCs w:val="20"/>
        </w:rPr>
        <w:t>параметри на взривните работи, посочени в таблица 1</w:t>
      </w:r>
      <w:r w:rsidR="00584D8A">
        <w:rPr>
          <w:rFonts w:ascii="Arial Narrow" w:hAnsi="Arial Narrow"/>
          <w:sz w:val="20"/>
          <w:szCs w:val="20"/>
        </w:rPr>
        <w:t>.</w:t>
      </w:r>
    </w:p>
    <w:p w:rsidR="00584D8A" w:rsidRPr="00766BB1" w:rsidRDefault="00584D8A" w:rsidP="00897DD2">
      <w:pPr>
        <w:ind w:firstLine="0"/>
        <w:rPr>
          <w:rFonts w:ascii="Arial Narrow" w:hAnsi="Arial Narrow"/>
          <w:sz w:val="12"/>
          <w:szCs w:val="12"/>
        </w:rPr>
      </w:pPr>
    </w:p>
    <w:p w:rsidR="00584D8A" w:rsidRDefault="00584D8A" w:rsidP="00897DD2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Таблица 1</w:t>
      </w:r>
    </w:p>
    <w:p w:rsidR="00584D8A" w:rsidRPr="00D875B5" w:rsidRDefault="00584D8A" w:rsidP="00584D8A">
      <w:pPr>
        <w:ind w:firstLine="0"/>
        <w:rPr>
          <w:rFonts w:ascii="Arial Narrow" w:hAnsi="Arial Narrow"/>
          <w:i/>
          <w:sz w:val="20"/>
          <w:szCs w:val="20"/>
        </w:rPr>
      </w:pPr>
      <w:r w:rsidRPr="00D875B5">
        <w:rPr>
          <w:rFonts w:ascii="Arial Narrow" w:hAnsi="Arial Narrow"/>
          <w:i/>
          <w:sz w:val="20"/>
          <w:szCs w:val="20"/>
        </w:rPr>
        <w:t>Параметри на технологичните взривявания</w:t>
      </w:r>
    </w:p>
    <w:tbl>
      <w:tblPr>
        <w:tblStyle w:val="TableGrid"/>
        <w:tblW w:w="0" w:type="auto"/>
        <w:jc w:val="center"/>
        <w:tblInd w:w="108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314"/>
        <w:gridCol w:w="1198"/>
        <w:gridCol w:w="972"/>
        <w:gridCol w:w="1085"/>
      </w:tblGrid>
      <w:tr w:rsidR="002255DE" w:rsidRPr="002255DE" w:rsidTr="00E55364">
        <w:trPr>
          <w:trHeight w:val="564"/>
          <w:jc w:val="center"/>
        </w:trPr>
        <w:tc>
          <w:tcPr>
            <w:tcW w:w="1314" w:type="dxa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Регистрирано свръхналягане</w:t>
            </w:r>
          </w:p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P</w:t>
            </w:r>
            <w:r w:rsidRPr="002255DE">
              <w:rPr>
                <w:rFonts w:ascii="Arial Narrow" w:hAnsi="Arial Narrow"/>
                <w:sz w:val="20"/>
                <w:szCs w:val="20"/>
                <w:vertAlign w:val="subscript"/>
              </w:rPr>
              <w:t>+</w:t>
            </w:r>
            <w:r w:rsidRPr="002255DE">
              <w:rPr>
                <w:rFonts w:ascii="Arial Narrow" w:hAnsi="Arial Narrow"/>
                <w:sz w:val="20"/>
                <w:szCs w:val="20"/>
              </w:rPr>
              <w:t>, dB</w:t>
            </w:r>
          </w:p>
        </w:tc>
        <w:tc>
          <w:tcPr>
            <w:tcW w:w="0" w:type="auto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Маса</w:t>
            </w:r>
            <w:r w:rsidRPr="002255D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2255DE">
              <w:rPr>
                <w:rFonts w:ascii="Arial Narrow" w:hAnsi="Arial Narrow"/>
                <w:sz w:val="20"/>
                <w:szCs w:val="20"/>
              </w:rPr>
              <w:t>на заряда</w:t>
            </w:r>
          </w:p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Q</w:t>
            </w:r>
            <w:r w:rsidRPr="002255DE">
              <w:rPr>
                <w:rFonts w:ascii="Arial Narrow" w:hAnsi="Arial Narrow"/>
                <w:sz w:val="20"/>
                <w:szCs w:val="20"/>
                <w:vertAlign w:val="subscript"/>
              </w:rPr>
              <w:t>инт</w:t>
            </w:r>
            <w:r w:rsidRPr="002255DE">
              <w:rPr>
                <w:rFonts w:ascii="Arial Narrow" w:hAnsi="Arial Narrow"/>
                <w:sz w:val="20"/>
                <w:szCs w:val="20"/>
              </w:rPr>
              <w:t>, kg</w:t>
            </w:r>
          </w:p>
        </w:tc>
        <w:tc>
          <w:tcPr>
            <w:tcW w:w="0" w:type="auto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Разстояние</w:t>
            </w:r>
          </w:p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R, m</w:t>
            </w:r>
          </w:p>
        </w:tc>
        <w:tc>
          <w:tcPr>
            <w:tcW w:w="1085" w:type="dxa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Приведено</w:t>
            </w:r>
          </w:p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разстояние</w:t>
            </w:r>
          </w:p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r, m/kg</w:t>
            </w:r>
            <w:r w:rsidRPr="002255DE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</w:tr>
      <w:tr w:rsidR="002255DE" w:rsidRPr="002255DE" w:rsidTr="00E55364">
        <w:trPr>
          <w:jc w:val="center"/>
        </w:trPr>
        <w:tc>
          <w:tcPr>
            <w:tcW w:w="1314" w:type="dxa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141,0</w:t>
            </w:r>
          </w:p>
        </w:tc>
        <w:tc>
          <w:tcPr>
            <w:tcW w:w="0" w:type="auto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197,7</w:t>
            </w:r>
          </w:p>
        </w:tc>
        <w:tc>
          <w:tcPr>
            <w:tcW w:w="0" w:type="auto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578</w:t>
            </w:r>
          </w:p>
        </w:tc>
        <w:tc>
          <w:tcPr>
            <w:tcW w:w="1085" w:type="dxa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54,622</w:t>
            </w:r>
          </w:p>
        </w:tc>
      </w:tr>
      <w:tr w:rsidR="002255DE" w:rsidRPr="002255DE" w:rsidTr="00E55364">
        <w:trPr>
          <w:jc w:val="center"/>
        </w:trPr>
        <w:tc>
          <w:tcPr>
            <w:tcW w:w="1314" w:type="dxa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138,0</w:t>
            </w:r>
          </w:p>
        </w:tc>
        <w:tc>
          <w:tcPr>
            <w:tcW w:w="0" w:type="auto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197,7</w:t>
            </w:r>
          </w:p>
        </w:tc>
        <w:tc>
          <w:tcPr>
            <w:tcW w:w="0" w:type="auto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329</w:t>
            </w:r>
          </w:p>
        </w:tc>
        <w:tc>
          <w:tcPr>
            <w:tcW w:w="1085" w:type="dxa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89,056</w:t>
            </w:r>
          </w:p>
        </w:tc>
      </w:tr>
      <w:tr w:rsidR="002255DE" w:rsidRPr="002255DE" w:rsidTr="00E55364">
        <w:trPr>
          <w:jc w:val="center"/>
        </w:trPr>
        <w:tc>
          <w:tcPr>
            <w:tcW w:w="1314" w:type="dxa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132,3</w:t>
            </w:r>
          </w:p>
        </w:tc>
        <w:tc>
          <w:tcPr>
            <w:tcW w:w="0" w:type="auto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193,6</w:t>
            </w:r>
          </w:p>
        </w:tc>
        <w:tc>
          <w:tcPr>
            <w:tcW w:w="0" w:type="auto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765</w:t>
            </w:r>
          </w:p>
        </w:tc>
        <w:tc>
          <w:tcPr>
            <w:tcW w:w="1085" w:type="dxa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105,273</w:t>
            </w:r>
          </w:p>
        </w:tc>
      </w:tr>
      <w:tr w:rsidR="002255DE" w:rsidRPr="002255DE" w:rsidTr="00E55364">
        <w:trPr>
          <w:jc w:val="center"/>
        </w:trPr>
        <w:tc>
          <w:tcPr>
            <w:tcW w:w="1314" w:type="dxa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141,0</w:t>
            </w:r>
          </w:p>
        </w:tc>
        <w:tc>
          <w:tcPr>
            <w:tcW w:w="0" w:type="auto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90,4</w:t>
            </w:r>
          </w:p>
        </w:tc>
        <w:tc>
          <w:tcPr>
            <w:tcW w:w="0" w:type="auto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204</w:t>
            </w:r>
          </w:p>
        </w:tc>
        <w:tc>
          <w:tcPr>
            <w:tcW w:w="1085" w:type="dxa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55,615</w:t>
            </w:r>
          </w:p>
        </w:tc>
      </w:tr>
      <w:tr w:rsidR="002255DE" w:rsidRPr="002255DE" w:rsidTr="00E55364">
        <w:trPr>
          <w:jc w:val="center"/>
        </w:trPr>
        <w:tc>
          <w:tcPr>
            <w:tcW w:w="1314" w:type="dxa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147,6</w:t>
            </w:r>
          </w:p>
        </w:tc>
        <w:tc>
          <w:tcPr>
            <w:tcW w:w="0" w:type="auto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90,4</w:t>
            </w:r>
          </w:p>
        </w:tc>
        <w:tc>
          <w:tcPr>
            <w:tcW w:w="0" w:type="auto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262</w:t>
            </w:r>
          </w:p>
        </w:tc>
        <w:tc>
          <w:tcPr>
            <w:tcW w:w="1085" w:type="dxa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45,833</w:t>
            </w:r>
          </w:p>
        </w:tc>
      </w:tr>
      <w:tr w:rsidR="002255DE" w:rsidRPr="002255DE" w:rsidTr="00E55364">
        <w:trPr>
          <w:jc w:val="center"/>
        </w:trPr>
        <w:tc>
          <w:tcPr>
            <w:tcW w:w="1314" w:type="dxa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133,3</w:t>
            </w:r>
          </w:p>
        </w:tc>
        <w:tc>
          <w:tcPr>
            <w:tcW w:w="0" w:type="auto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100,4</w:t>
            </w:r>
          </w:p>
        </w:tc>
        <w:tc>
          <w:tcPr>
            <w:tcW w:w="0" w:type="auto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287</w:t>
            </w:r>
          </w:p>
        </w:tc>
        <w:tc>
          <w:tcPr>
            <w:tcW w:w="1085" w:type="dxa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65,903</w:t>
            </w:r>
          </w:p>
        </w:tc>
      </w:tr>
      <w:tr w:rsidR="002255DE" w:rsidRPr="002255DE" w:rsidTr="00E55364">
        <w:trPr>
          <w:jc w:val="center"/>
        </w:trPr>
        <w:tc>
          <w:tcPr>
            <w:tcW w:w="1314" w:type="dxa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133,6</w:t>
            </w:r>
          </w:p>
        </w:tc>
        <w:tc>
          <w:tcPr>
            <w:tcW w:w="0" w:type="auto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100,4</w:t>
            </w:r>
          </w:p>
        </w:tc>
        <w:tc>
          <w:tcPr>
            <w:tcW w:w="0" w:type="auto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316</w:t>
            </w:r>
          </w:p>
        </w:tc>
        <w:tc>
          <w:tcPr>
            <w:tcW w:w="1085" w:type="dxa"/>
            <w:vAlign w:val="center"/>
          </w:tcPr>
          <w:p w:rsidR="002255DE" w:rsidRPr="002255DE" w:rsidRDefault="002255DE" w:rsidP="002255D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255DE">
              <w:rPr>
                <w:rFonts w:ascii="Arial Narrow" w:hAnsi="Arial Narrow"/>
                <w:sz w:val="20"/>
                <w:szCs w:val="20"/>
              </w:rPr>
              <w:t>59,319</w:t>
            </w:r>
          </w:p>
        </w:tc>
      </w:tr>
    </w:tbl>
    <w:p w:rsidR="00897DD2" w:rsidRPr="00D107E2" w:rsidRDefault="000F4A59" w:rsidP="00897DD2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2B2F98">
        <w:rPr>
          <w:rFonts w:ascii="Arial Narrow" w:hAnsi="Arial Narrow"/>
          <w:sz w:val="20"/>
          <w:szCs w:val="20"/>
        </w:rPr>
        <w:t>С</w:t>
      </w:r>
      <w:r w:rsidR="00897DD2" w:rsidRPr="00D107E2">
        <w:rPr>
          <w:rFonts w:ascii="Arial Narrow" w:hAnsi="Arial Narrow"/>
          <w:sz w:val="20"/>
          <w:szCs w:val="20"/>
        </w:rPr>
        <w:t xml:space="preserve">тойностите на приведеното разстояние </w:t>
      </w:r>
      <w:r w:rsidR="002B2F98">
        <w:rPr>
          <w:rFonts w:ascii="Arial Narrow" w:hAnsi="Arial Narrow"/>
          <w:sz w:val="20"/>
          <w:szCs w:val="20"/>
        </w:rPr>
        <w:t xml:space="preserve">се определят </w:t>
      </w:r>
      <w:r w:rsidR="002F76CF">
        <w:rPr>
          <w:rFonts w:ascii="Arial Narrow" w:hAnsi="Arial Narrow"/>
          <w:sz w:val="20"/>
          <w:szCs w:val="20"/>
        </w:rPr>
        <w:t>при</w:t>
      </w:r>
      <w:r w:rsidR="00897DD2" w:rsidRPr="00D107E2">
        <w:rPr>
          <w:rFonts w:ascii="Arial Narrow" w:hAnsi="Arial Narrow"/>
          <w:sz w:val="20"/>
          <w:szCs w:val="20"/>
        </w:rPr>
        <w:t xml:space="preserve"> </w:t>
      </w:r>
      <w:r w:rsidR="00F9029A">
        <w:rPr>
          <w:rFonts w:ascii="Arial Narrow" w:hAnsi="Arial Narrow"/>
          <w:sz w:val="20"/>
          <w:szCs w:val="20"/>
        </w:rPr>
        <w:t>първоначално инициираното</w:t>
      </w:r>
      <w:r w:rsidR="00897DD2" w:rsidRPr="00D107E2">
        <w:rPr>
          <w:rFonts w:ascii="Arial Narrow" w:hAnsi="Arial Narrow"/>
          <w:sz w:val="20"/>
          <w:szCs w:val="20"/>
        </w:rPr>
        <w:t xml:space="preserve"> количество взривно ве</w:t>
      </w:r>
      <w:r w:rsidR="00766BB1">
        <w:rPr>
          <w:rFonts w:ascii="Arial Narrow" w:hAnsi="Arial Narrow"/>
          <w:sz w:val="20"/>
          <w:szCs w:val="20"/>
        </w:rPr>
        <w:softHyphen/>
      </w:r>
      <w:r w:rsidR="00897DD2" w:rsidRPr="00D107E2">
        <w:rPr>
          <w:rFonts w:ascii="Arial Narrow" w:hAnsi="Arial Narrow"/>
          <w:sz w:val="20"/>
          <w:szCs w:val="20"/>
        </w:rPr>
        <w:t xml:space="preserve">щество </w:t>
      </w:r>
      <w:r w:rsidR="002F76CF">
        <w:rPr>
          <w:rFonts w:ascii="Arial Narrow" w:hAnsi="Arial Narrow"/>
          <w:sz w:val="20"/>
          <w:szCs w:val="20"/>
        </w:rPr>
        <w:t>в зависимост от паспорта за пробивно-взривни работи</w:t>
      </w:r>
      <w:r w:rsidR="00897DD2" w:rsidRPr="00D107E2">
        <w:rPr>
          <w:rFonts w:ascii="Arial Narrow" w:hAnsi="Arial Narrow"/>
          <w:sz w:val="20"/>
          <w:szCs w:val="20"/>
        </w:rPr>
        <w:t xml:space="preserve">. </w:t>
      </w:r>
      <w:r w:rsidR="00F9029A">
        <w:rPr>
          <w:rFonts w:ascii="Arial Narrow" w:hAnsi="Arial Narrow"/>
          <w:sz w:val="20"/>
          <w:szCs w:val="20"/>
        </w:rPr>
        <w:t>Р</w:t>
      </w:r>
      <w:r w:rsidR="00897DD2" w:rsidRPr="00D107E2">
        <w:rPr>
          <w:rFonts w:ascii="Arial Narrow" w:hAnsi="Arial Narrow"/>
          <w:sz w:val="20"/>
          <w:szCs w:val="20"/>
        </w:rPr>
        <w:t>езултатите показва</w:t>
      </w:r>
      <w:r w:rsidR="00F9029A">
        <w:rPr>
          <w:rFonts w:ascii="Arial Narrow" w:hAnsi="Arial Narrow"/>
          <w:sz w:val="20"/>
          <w:szCs w:val="20"/>
        </w:rPr>
        <w:t>т</w:t>
      </w:r>
      <w:r w:rsidR="00897DD2" w:rsidRPr="00D107E2">
        <w:rPr>
          <w:rFonts w:ascii="Arial Narrow" w:hAnsi="Arial Narrow"/>
          <w:sz w:val="20"/>
          <w:szCs w:val="20"/>
        </w:rPr>
        <w:t xml:space="preserve">, че по стойност на </w:t>
      </w:r>
      <w:proofErr w:type="spellStart"/>
      <w:r w:rsidR="00897DD2" w:rsidRPr="00D107E2">
        <w:rPr>
          <w:rFonts w:ascii="Arial Narrow" w:hAnsi="Arial Narrow"/>
          <w:sz w:val="20"/>
          <w:szCs w:val="20"/>
        </w:rPr>
        <w:t>свръхна</w:t>
      </w:r>
      <w:r w:rsidR="00766BB1">
        <w:rPr>
          <w:rFonts w:ascii="Arial Narrow" w:hAnsi="Arial Narrow"/>
          <w:sz w:val="20"/>
          <w:szCs w:val="20"/>
        </w:rPr>
        <w:softHyphen/>
      </w:r>
      <w:r w:rsidR="00897DD2" w:rsidRPr="00D107E2">
        <w:rPr>
          <w:rFonts w:ascii="Arial Narrow" w:hAnsi="Arial Narrow"/>
          <w:sz w:val="20"/>
          <w:szCs w:val="20"/>
        </w:rPr>
        <w:t>лягането</w:t>
      </w:r>
      <w:proofErr w:type="spellEnd"/>
      <w:r w:rsidR="00897DD2" w:rsidRPr="00D107E2">
        <w:rPr>
          <w:rFonts w:ascii="Arial Narrow" w:hAnsi="Arial Narrow"/>
          <w:sz w:val="20"/>
          <w:szCs w:val="20"/>
        </w:rPr>
        <w:t xml:space="preserve"> в пунктовете на измерване, въздействието на ударната вълна във въздуха е в границите, допустими за охраняемия обект /</w:t>
      </w:r>
      <w:r w:rsidR="008C6378" w:rsidRPr="00D107E2">
        <w:rPr>
          <w:rFonts w:ascii="Arial Narrow" w:hAnsi="Arial Narrow"/>
          <w:sz w:val="20"/>
          <w:szCs w:val="20"/>
        </w:rPr>
        <w:t>урбанизиран район</w:t>
      </w:r>
      <w:r w:rsidR="00897DD2" w:rsidRPr="00D107E2">
        <w:rPr>
          <w:rFonts w:ascii="Arial Narrow" w:hAnsi="Arial Narrow"/>
          <w:sz w:val="20"/>
          <w:szCs w:val="20"/>
        </w:rPr>
        <w:t>/.</w:t>
      </w:r>
    </w:p>
    <w:p w:rsidR="00B01B83" w:rsidRPr="00D107E2" w:rsidRDefault="00B01B83" w:rsidP="00B01B83">
      <w:pPr>
        <w:ind w:firstLine="0"/>
        <w:rPr>
          <w:rFonts w:ascii="Arial Narrow" w:hAnsi="Arial Narrow"/>
          <w:sz w:val="20"/>
          <w:szCs w:val="20"/>
        </w:rPr>
      </w:pPr>
      <w:r w:rsidRPr="00D107E2">
        <w:rPr>
          <w:rFonts w:ascii="Arial Narrow" w:hAnsi="Arial Narrow"/>
          <w:noProof/>
          <w:sz w:val="20"/>
          <w:szCs w:val="20"/>
          <w:lang w:eastAsia="bg-BG"/>
        </w:rPr>
        <w:lastRenderedPageBreak/>
        <w:drawing>
          <wp:inline distT="0" distB="0" distL="0" distR="0" wp14:anchorId="1194402E" wp14:editId="7F6ED3B0">
            <wp:extent cx="2592126" cy="4047214"/>
            <wp:effectExtent l="0" t="0" r="17780" b="1079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1B83" w:rsidRDefault="00171DC8" w:rsidP="00766BB1">
      <w:pPr>
        <w:spacing w:before="120"/>
        <w:ind w:firstLine="0"/>
        <w:rPr>
          <w:rFonts w:ascii="Arial Narrow" w:hAnsi="Arial Narrow"/>
          <w:b/>
          <w:sz w:val="16"/>
          <w:szCs w:val="16"/>
        </w:rPr>
      </w:pPr>
      <w:r w:rsidRPr="00171DC8">
        <w:rPr>
          <w:rFonts w:ascii="Arial Narrow" w:hAnsi="Arial Narrow"/>
          <w:b/>
          <w:sz w:val="16"/>
          <w:szCs w:val="16"/>
        </w:rPr>
        <w:t>Фиг</w:t>
      </w:r>
      <w:r w:rsidR="00766BB1">
        <w:rPr>
          <w:rFonts w:ascii="Arial Narrow" w:hAnsi="Arial Narrow"/>
          <w:b/>
          <w:sz w:val="16"/>
          <w:szCs w:val="16"/>
        </w:rPr>
        <w:t>.</w:t>
      </w:r>
      <w:r w:rsidRPr="00171DC8">
        <w:rPr>
          <w:rFonts w:ascii="Arial Narrow" w:hAnsi="Arial Narrow"/>
          <w:b/>
          <w:sz w:val="16"/>
          <w:szCs w:val="16"/>
        </w:rPr>
        <w:t xml:space="preserve"> </w:t>
      </w:r>
      <w:r w:rsidRPr="00171DC8">
        <w:rPr>
          <w:rFonts w:ascii="Arial Narrow" w:hAnsi="Arial Narrow"/>
          <w:b/>
          <w:sz w:val="16"/>
          <w:szCs w:val="16"/>
          <w:lang w:val="en-US"/>
        </w:rPr>
        <w:t>1</w:t>
      </w:r>
      <w:r w:rsidR="00B01B83" w:rsidRPr="00171DC8">
        <w:rPr>
          <w:rFonts w:ascii="Arial Narrow" w:hAnsi="Arial Narrow"/>
          <w:b/>
          <w:sz w:val="16"/>
          <w:szCs w:val="16"/>
        </w:rPr>
        <w:t xml:space="preserve">. Зависимост за проведените технологични взривявания, изведена чрез софтуера на измервателната апаратура </w:t>
      </w:r>
      <w:proofErr w:type="spellStart"/>
      <w:r w:rsidR="00B01B83" w:rsidRPr="00171DC8">
        <w:rPr>
          <w:rFonts w:ascii="Arial Narrow" w:hAnsi="Arial Narrow"/>
          <w:b/>
          <w:sz w:val="16"/>
          <w:szCs w:val="16"/>
          <w:lang w:val="en-US"/>
        </w:rPr>
        <w:t>Blastware</w:t>
      </w:r>
      <w:proofErr w:type="spellEnd"/>
      <w:r w:rsidR="00B01B83" w:rsidRPr="00171DC8">
        <w:rPr>
          <w:rFonts w:ascii="Arial Narrow" w:hAnsi="Arial Narrow"/>
          <w:b/>
          <w:sz w:val="16"/>
          <w:szCs w:val="16"/>
          <w:lang w:val="en-US"/>
        </w:rPr>
        <w:t>®.</w:t>
      </w:r>
    </w:p>
    <w:p w:rsidR="00766BB1" w:rsidRPr="00766BB1" w:rsidRDefault="00766BB1" w:rsidP="00B01B83">
      <w:pPr>
        <w:ind w:firstLine="0"/>
        <w:rPr>
          <w:rFonts w:ascii="Arial Narrow" w:hAnsi="Arial Narrow"/>
          <w:b/>
          <w:sz w:val="16"/>
          <w:szCs w:val="16"/>
        </w:rPr>
      </w:pPr>
    </w:p>
    <w:p w:rsidR="00B01B83" w:rsidRPr="00D107E2" w:rsidRDefault="00B01B83" w:rsidP="00B01B83">
      <w:pPr>
        <w:ind w:firstLine="0"/>
        <w:rPr>
          <w:rFonts w:ascii="Arial Narrow" w:hAnsi="Arial Narrow"/>
          <w:sz w:val="20"/>
          <w:szCs w:val="20"/>
        </w:rPr>
      </w:pPr>
      <w:r w:rsidRPr="00D107E2">
        <w:rPr>
          <w:rFonts w:ascii="Arial Narrow" w:hAnsi="Arial Narrow"/>
          <w:noProof/>
          <w:sz w:val="20"/>
          <w:szCs w:val="20"/>
          <w:lang w:eastAsia="bg-BG"/>
        </w:rPr>
        <w:drawing>
          <wp:inline distT="0" distB="0" distL="0" distR="0" wp14:anchorId="59BC02DE" wp14:editId="1CC6E920">
            <wp:extent cx="2592126" cy="3959749"/>
            <wp:effectExtent l="0" t="0" r="17780" b="2222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1B83" w:rsidRPr="007A0CB8" w:rsidRDefault="007A0CB8" w:rsidP="00766BB1">
      <w:pPr>
        <w:spacing w:before="120"/>
        <w:ind w:firstLine="0"/>
        <w:rPr>
          <w:rFonts w:ascii="Arial Narrow" w:hAnsi="Arial Narrow"/>
          <w:b/>
          <w:sz w:val="16"/>
          <w:szCs w:val="16"/>
        </w:rPr>
      </w:pPr>
      <w:r w:rsidRPr="007A0CB8">
        <w:rPr>
          <w:rFonts w:ascii="Arial Narrow" w:hAnsi="Arial Narrow"/>
          <w:b/>
          <w:sz w:val="16"/>
          <w:szCs w:val="16"/>
        </w:rPr>
        <w:t>Фиг</w:t>
      </w:r>
      <w:r w:rsidR="00766BB1">
        <w:rPr>
          <w:rFonts w:ascii="Arial Narrow" w:hAnsi="Arial Narrow"/>
          <w:b/>
          <w:sz w:val="16"/>
          <w:szCs w:val="16"/>
        </w:rPr>
        <w:t>.</w:t>
      </w:r>
      <w:r w:rsidRPr="007A0CB8">
        <w:rPr>
          <w:rFonts w:ascii="Arial Narrow" w:hAnsi="Arial Narrow"/>
          <w:b/>
          <w:sz w:val="16"/>
          <w:szCs w:val="16"/>
        </w:rPr>
        <w:t xml:space="preserve"> </w:t>
      </w:r>
      <w:r w:rsidR="008319BA">
        <w:rPr>
          <w:rFonts w:ascii="Arial Narrow" w:hAnsi="Arial Narrow"/>
          <w:b/>
          <w:sz w:val="16"/>
          <w:szCs w:val="16"/>
          <w:lang w:val="en-US"/>
        </w:rPr>
        <w:t>2</w:t>
      </w:r>
      <w:r w:rsidR="00B01B83" w:rsidRPr="007A0CB8">
        <w:rPr>
          <w:rFonts w:ascii="Arial Narrow" w:hAnsi="Arial Narrow"/>
          <w:b/>
          <w:sz w:val="16"/>
          <w:szCs w:val="16"/>
        </w:rPr>
        <w:t xml:space="preserve">. Сравнителна графика на </w:t>
      </w:r>
      <w:proofErr w:type="spellStart"/>
      <w:r w:rsidR="008319BA">
        <w:rPr>
          <w:rFonts w:ascii="Arial Narrow" w:hAnsi="Arial Narrow"/>
          <w:b/>
          <w:sz w:val="16"/>
          <w:szCs w:val="16"/>
        </w:rPr>
        <w:t>регресионните</w:t>
      </w:r>
      <w:proofErr w:type="spellEnd"/>
      <w:r w:rsidR="00B01B83" w:rsidRPr="007A0CB8">
        <w:rPr>
          <w:rFonts w:ascii="Arial Narrow" w:hAnsi="Arial Narrow"/>
          <w:b/>
          <w:sz w:val="16"/>
          <w:szCs w:val="16"/>
        </w:rPr>
        <w:t xml:space="preserve"> прави, изведени по методиката на изследване и чрез специализирания софтуер на измервателната апаратура </w:t>
      </w:r>
      <w:proofErr w:type="spellStart"/>
      <w:r w:rsidR="00B01B83" w:rsidRPr="007A0CB8">
        <w:rPr>
          <w:rFonts w:ascii="Arial Narrow" w:hAnsi="Arial Narrow"/>
          <w:b/>
          <w:sz w:val="16"/>
          <w:szCs w:val="16"/>
          <w:lang w:val="en-US"/>
        </w:rPr>
        <w:t>Blastware</w:t>
      </w:r>
      <w:proofErr w:type="spellEnd"/>
      <w:r w:rsidR="00B01B83" w:rsidRPr="007A0CB8">
        <w:rPr>
          <w:rFonts w:ascii="Arial Narrow" w:hAnsi="Arial Narrow"/>
          <w:b/>
          <w:sz w:val="16"/>
          <w:szCs w:val="16"/>
          <w:lang w:val="en-US"/>
        </w:rPr>
        <w:t>®</w:t>
      </w:r>
    </w:p>
    <w:p w:rsidR="00E55364" w:rsidRDefault="00E55364" w:rsidP="00E55364">
      <w:pPr>
        <w:ind w:firstLine="0"/>
        <w:rPr>
          <w:rFonts w:ascii="Arial Narrow" w:hAnsi="Arial Narrow"/>
          <w:sz w:val="20"/>
          <w:szCs w:val="20"/>
        </w:rPr>
      </w:pPr>
    </w:p>
    <w:p w:rsidR="00766BB1" w:rsidRPr="00766BB1" w:rsidRDefault="00766BB1" w:rsidP="00E55364">
      <w:pPr>
        <w:ind w:firstLine="0"/>
        <w:rPr>
          <w:rFonts w:ascii="Arial Narrow" w:hAnsi="Arial Narrow"/>
          <w:sz w:val="20"/>
          <w:szCs w:val="20"/>
        </w:rPr>
      </w:pPr>
    </w:p>
    <w:p w:rsidR="00766BB1" w:rsidRPr="00A3171C" w:rsidRDefault="00766BB1" w:rsidP="00766BB1">
      <w:pPr>
        <w:ind w:firstLine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lastRenderedPageBreak/>
        <w:t>Анализ на резултатите</w:t>
      </w:r>
    </w:p>
    <w:p w:rsidR="00766BB1" w:rsidRPr="00A3171C" w:rsidRDefault="00766BB1" w:rsidP="00766BB1">
      <w:pPr>
        <w:ind w:firstLine="0"/>
        <w:rPr>
          <w:rFonts w:ascii="Arial Narrow" w:hAnsi="Arial Narrow"/>
          <w:b/>
          <w:szCs w:val="24"/>
        </w:rPr>
      </w:pPr>
    </w:p>
    <w:p w:rsidR="00766BB1" w:rsidRDefault="00766BB1" w:rsidP="00766BB1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en-US"/>
        </w:rPr>
        <w:t xml:space="preserve">   </w:t>
      </w:r>
      <w:r w:rsidRPr="00D107E2">
        <w:rPr>
          <w:rFonts w:ascii="Arial Narrow" w:hAnsi="Arial Narrow"/>
          <w:sz w:val="20"/>
          <w:szCs w:val="20"/>
        </w:rPr>
        <w:t>Анализът на зависимостта „приведено разстояние – ре</w:t>
      </w:r>
      <w:r>
        <w:rPr>
          <w:rFonts w:ascii="Arial Narrow" w:hAnsi="Arial Narrow"/>
          <w:sz w:val="20"/>
          <w:szCs w:val="20"/>
        </w:rPr>
        <w:softHyphen/>
      </w:r>
      <w:r w:rsidRPr="00D107E2">
        <w:rPr>
          <w:rFonts w:ascii="Arial Narrow" w:hAnsi="Arial Narrow"/>
          <w:sz w:val="20"/>
          <w:szCs w:val="20"/>
        </w:rPr>
        <w:t xml:space="preserve">гистрирано </w:t>
      </w:r>
      <w:proofErr w:type="spellStart"/>
      <w:r w:rsidRPr="00D107E2">
        <w:rPr>
          <w:rFonts w:ascii="Arial Narrow" w:hAnsi="Arial Narrow"/>
          <w:sz w:val="20"/>
          <w:szCs w:val="20"/>
        </w:rPr>
        <w:t>свръхналягане</w:t>
      </w:r>
      <w:proofErr w:type="spellEnd"/>
      <w:r w:rsidRPr="00D107E2">
        <w:rPr>
          <w:rFonts w:ascii="Arial Narrow" w:hAnsi="Arial Narrow"/>
          <w:sz w:val="20"/>
          <w:szCs w:val="20"/>
        </w:rPr>
        <w:t xml:space="preserve">” определена от програмния продукт </w:t>
      </w:r>
      <w:proofErr w:type="spellStart"/>
      <w:r w:rsidRPr="00D107E2">
        <w:rPr>
          <w:rFonts w:ascii="Arial Narrow" w:hAnsi="Arial Narrow"/>
          <w:sz w:val="20"/>
          <w:szCs w:val="20"/>
        </w:rPr>
        <w:t>Blаstware</w:t>
      </w:r>
      <w:proofErr w:type="spellEnd"/>
      <w:r w:rsidRPr="00D107E2">
        <w:rPr>
          <w:rFonts w:ascii="Arial Narrow" w:hAnsi="Arial Narrow"/>
          <w:sz w:val="20"/>
          <w:szCs w:val="20"/>
        </w:rPr>
        <w:t>® дава завис</w:t>
      </w:r>
      <w:r>
        <w:rPr>
          <w:rFonts w:ascii="Arial Narrow" w:hAnsi="Arial Narrow"/>
          <w:sz w:val="20"/>
          <w:szCs w:val="20"/>
        </w:rPr>
        <w:t xml:space="preserve">имостта представена на фигура </w:t>
      </w:r>
      <w:r w:rsidRPr="00D107E2">
        <w:rPr>
          <w:rFonts w:ascii="Arial Narrow" w:hAnsi="Arial Narrow"/>
          <w:sz w:val="20"/>
          <w:szCs w:val="20"/>
          <w:lang w:val="en-US"/>
        </w:rPr>
        <w:t>1</w:t>
      </w:r>
      <w:r w:rsidRPr="00D107E2">
        <w:rPr>
          <w:rFonts w:ascii="Arial Narrow" w:hAnsi="Arial Narrow"/>
          <w:sz w:val="20"/>
          <w:szCs w:val="20"/>
        </w:rPr>
        <w:t xml:space="preserve">. Разработеният алгоритъм </w:t>
      </w:r>
      <w:r>
        <w:rPr>
          <w:rFonts w:ascii="Arial Narrow" w:hAnsi="Arial Narrow"/>
          <w:sz w:val="20"/>
          <w:szCs w:val="20"/>
        </w:rPr>
        <w:t>дава</w:t>
      </w:r>
      <w:r w:rsidRPr="00D107E2">
        <w:rPr>
          <w:rFonts w:ascii="Arial Narrow" w:hAnsi="Arial Narrow"/>
          <w:sz w:val="20"/>
          <w:szCs w:val="20"/>
        </w:rPr>
        <w:t xml:space="preserve"> пълно съвпа</w:t>
      </w:r>
      <w:r>
        <w:rPr>
          <w:rFonts w:ascii="Arial Narrow" w:hAnsi="Arial Narrow"/>
          <w:sz w:val="20"/>
          <w:szCs w:val="20"/>
        </w:rPr>
        <w:softHyphen/>
      </w:r>
      <w:r w:rsidRPr="00D107E2">
        <w:rPr>
          <w:rFonts w:ascii="Arial Narrow" w:hAnsi="Arial Narrow"/>
          <w:sz w:val="20"/>
          <w:szCs w:val="20"/>
        </w:rPr>
        <w:t xml:space="preserve">дение на </w:t>
      </w:r>
      <w:proofErr w:type="spellStart"/>
      <w:r w:rsidRPr="00D107E2">
        <w:rPr>
          <w:rFonts w:ascii="Arial Narrow" w:hAnsi="Arial Narrow"/>
          <w:sz w:val="20"/>
          <w:szCs w:val="20"/>
        </w:rPr>
        <w:t>ко</w:t>
      </w:r>
      <w:proofErr w:type="spellEnd"/>
      <w:r>
        <w:rPr>
          <w:rFonts w:ascii="Arial Narrow" w:hAnsi="Arial Narrow"/>
          <w:sz w:val="20"/>
          <w:szCs w:val="20"/>
          <w:lang w:val="en-US"/>
        </w:rPr>
        <w:t>o</w:t>
      </w:r>
      <w:proofErr w:type="spellStart"/>
      <w:r>
        <w:rPr>
          <w:rFonts w:ascii="Arial Narrow" w:hAnsi="Arial Narrow"/>
          <w:sz w:val="20"/>
          <w:szCs w:val="20"/>
        </w:rPr>
        <w:t>рдинатите</w:t>
      </w:r>
      <w:proofErr w:type="spellEnd"/>
      <w:r>
        <w:rPr>
          <w:rFonts w:ascii="Arial Narrow" w:hAnsi="Arial Narrow"/>
          <w:sz w:val="20"/>
          <w:szCs w:val="20"/>
        </w:rPr>
        <w:t xml:space="preserve"> по </w:t>
      </w:r>
      <w:r w:rsidRPr="004735BB">
        <w:rPr>
          <w:rFonts w:ascii="Arial Narrow" w:hAnsi="Arial Narrow"/>
          <w:i/>
          <w:sz w:val="20"/>
          <w:szCs w:val="20"/>
          <w:lang w:val="en-US"/>
        </w:rPr>
        <w:t>x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и </w:t>
      </w:r>
      <w:r w:rsidRPr="004735BB">
        <w:rPr>
          <w:rFonts w:ascii="Arial Narrow" w:hAnsi="Arial Narrow"/>
          <w:i/>
          <w:sz w:val="20"/>
          <w:szCs w:val="20"/>
          <w:lang w:val="en-US"/>
        </w:rPr>
        <w:t>y</w:t>
      </w:r>
      <w:r>
        <w:rPr>
          <w:rFonts w:ascii="Arial Narrow" w:hAnsi="Arial Narrow"/>
          <w:sz w:val="20"/>
          <w:szCs w:val="20"/>
        </w:rPr>
        <w:t xml:space="preserve"> /фиг. 2/.</w:t>
      </w:r>
    </w:p>
    <w:p w:rsidR="00766BB1" w:rsidRDefault="00766BB1" w:rsidP="00E55364">
      <w:pPr>
        <w:ind w:firstLine="0"/>
        <w:rPr>
          <w:rFonts w:ascii="Arial Narrow" w:hAnsi="Arial Narrow"/>
          <w:sz w:val="20"/>
          <w:szCs w:val="20"/>
        </w:rPr>
      </w:pPr>
    </w:p>
    <w:p w:rsidR="00E55364" w:rsidRDefault="00E55364" w:rsidP="00E55364">
      <w:pPr>
        <w:ind w:firstLine="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Pr="00D107E2">
        <w:rPr>
          <w:rFonts w:ascii="Arial Narrow" w:hAnsi="Arial Narrow"/>
          <w:sz w:val="20"/>
          <w:szCs w:val="20"/>
        </w:rPr>
        <w:t>Въздействието на ударна вълна във въздуха в зоната „граница на охраняваната зона – с. Опицвет” е в границата под Ниво I.</w:t>
      </w:r>
      <w:r>
        <w:rPr>
          <w:rFonts w:ascii="Arial Narrow" w:hAnsi="Arial Narrow"/>
          <w:sz w:val="20"/>
          <w:szCs w:val="20"/>
        </w:rPr>
        <w:t xml:space="preserve"> </w:t>
      </w:r>
      <w:r w:rsidRPr="00D107E2">
        <w:rPr>
          <w:rFonts w:ascii="Arial Narrow" w:hAnsi="Arial Narrow"/>
          <w:sz w:val="20"/>
          <w:szCs w:val="20"/>
        </w:rPr>
        <w:t>Следователно, технологичното взривяване би се възприело от хората като грохот. Не се очаква дрънчене, напукване или счупване и при лошо изпълнено остъкляване (само с пирончета без маджун).</w:t>
      </w:r>
    </w:p>
    <w:p w:rsidR="00E55364" w:rsidRPr="00CB23F9" w:rsidRDefault="00E55364" w:rsidP="00E55364">
      <w:pPr>
        <w:ind w:firstLine="0"/>
        <w:rPr>
          <w:rFonts w:ascii="Arial Narrow" w:hAnsi="Arial Narrow"/>
          <w:sz w:val="20"/>
          <w:szCs w:val="20"/>
          <w:lang w:val="en-US"/>
        </w:rPr>
      </w:pPr>
    </w:p>
    <w:p w:rsidR="00E55364" w:rsidRDefault="00E55364" w:rsidP="00E55364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en-US"/>
        </w:rPr>
        <w:t xml:space="preserve">   </w:t>
      </w:r>
      <w:r w:rsidRPr="00D107E2">
        <w:rPr>
          <w:rFonts w:ascii="Arial Narrow" w:hAnsi="Arial Narrow"/>
          <w:sz w:val="20"/>
          <w:szCs w:val="20"/>
        </w:rPr>
        <w:t>Прогнозираните стойности на свръхналягане във фронта на ударна вълна във въздуха са изчислени по зависи</w:t>
      </w:r>
      <w:r w:rsidR="00766BB1">
        <w:rPr>
          <w:rFonts w:ascii="Arial Narrow" w:hAnsi="Arial Narrow"/>
          <w:sz w:val="20"/>
          <w:szCs w:val="20"/>
        </w:rPr>
        <w:softHyphen/>
      </w:r>
      <w:r w:rsidRPr="00D107E2">
        <w:rPr>
          <w:rFonts w:ascii="Arial Narrow" w:hAnsi="Arial Narrow"/>
          <w:sz w:val="20"/>
          <w:szCs w:val="20"/>
        </w:rPr>
        <w:t>мостта, получена по методиката, за следните условия:</w:t>
      </w:r>
    </w:p>
    <w:p w:rsidR="00766BB1" w:rsidRPr="00D107E2" w:rsidRDefault="00766BB1" w:rsidP="00E55364">
      <w:pPr>
        <w:ind w:firstLine="0"/>
        <w:rPr>
          <w:rFonts w:ascii="Arial Narrow" w:hAnsi="Arial Narrow"/>
          <w:sz w:val="20"/>
          <w:szCs w:val="20"/>
        </w:rPr>
      </w:pPr>
    </w:p>
    <w:p w:rsidR="00E55364" w:rsidRPr="00D107E2" w:rsidRDefault="00E55364" w:rsidP="00766BB1">
      <w:pPr>
        <w:ind w:firstLine="170"/>
        <w:rPr>
          <w:rFonts w:ascii="Arial Narrow" w:hAnsi="Arial Narrow"/>
          <w:sz w:val="20"/>
          <w:szCs w:val="20"/>
        </w:rPr>
      </w:pPr>
      <w:r w:rsidRPr="00D107E2">
        <w:rPr>
          <w:rFonts w:ascii="Arial Narrow" w:hAnsi="Arial Narrow"/>
          <w:sz w:val="20"/>
          <w:szCs w:val="20"/>
        </w:rPr>
        <w:t>- височина на работното стъпало H = 12,0 m;</w:t>
      </w:r>
    </w:p>
    <w:p w:rsidR="00E55364" w:rsidRPr="00D107E2" w:rsidRDefault="00E55364" w:rsidP="00766BB1">
      <w:pPr>
        <w:ind w:firstLine="170"/>
        <w:rPr>
          <w:rFonts w:ascii="Arial Narrow" w:hAnsi="Arial Narrow"/>
          <w:sz w:val="20"/>
          <w:szCs w:val="20"/>
        </w:rPr>
      </w:pPr>
      <w:r w:rsidRPr="00D107E2">
        <w:rPr>
          <w:rFonts w:ascii="Arial Narrow" w:hAnsi="Arial Narrow"/>
          <w:sz w:val="20"/>
          <w:szCs w:val="20"/>
        </w:rPr>
        <w:t>- диаметър на сондажите d = 110 mm;</w:t>
      </w:r>
    </w:p>
    <w:p w:rsidR="00E55364" w:rsidRPr="00D107E2" w:rsidRDefault="00E55364" w:rsidP="00766BB1">
      <w:pPr>
        <w:ind w:firstLine="170"/>
        <w:rPr>
          <w:rFonts w:ascii="Arial Narrow" w:hAnsi="Arial Narrow"/>
          <w:sz w:val="20"/>
          <w:szCs w:val="20"/>
        </w:rPr>
      </w:pPr>
      <w:r w:rsidRPr="00D107E2">
        <w:rPr>
          <w:rFonts w:ascii="Arial Narrow" w:hAnsi="Arial Narrow"/>
          <w:sz w:val="20"/>
          <w:szCs w:val="20"/>
        </w:rPr>
        <w:t>- геометрични параметри за реализиране на желания взривен ефект:</w:t>
      </w:r>
    </w:p>
    <w:p w:rsidR="00E55364" w:rsidRPr="00D107E2" w:rsidRDefault="00E55364" w:rsidP="00766BB1">
      <w:pPr>
        <w:numPr>
          <w:ilvl w:val="0"/>
          <w:numId w:val="2"/>
        </w:numPr>
        <w:ind w:left="924" w:hanging="357"/>
        <w:rPr>
          <w:rFonts w:ascii="Arial Narrow" w:hAnsi="Arial Narrow"/>
          <w:sz w:val="20"/>
          <w:szCs w:val="20"/>
        </w:rPr>
      </w:pPr>
      <w:r w:rsidRPr="00D107E2">
        <w:rPr>
          <w:rFonts w:ascii="Arial Narrow" w:hAnsi="Arial Narrow"/>
          <w:sz w:val="20"/>
          <w:szCs w:val="20"/>
        </w:rPr>
        <w:t>взривна мрежа: a = b = 3,0 m;</w:t>
      </w:r>
    </w:p>
    <w:p w:rsidR="00E55364" w:rsidRPr="00D107E2" w:rsidRDefault="00E55364" w:rsidP="00766BB1">
      <w:pPr>
        <w:numPr>
          <w:ilvl w:val="0"/>
          <w:numId w:val="2"/>
        </w:numPr>
        <w:ind w:left="924" w:hanging="357"/>
        <w:rPr>
          <w:rFonts w:ascii="Arial Narrow" w:hAnsi="Arial Narrow"/>
          <w:sz w:val="20"/>
          <w:szCs w:val="20"/>
        </w:rPr>
      </w:pPr>
      <w:r w:rsidRPr="00D107E2">
        <w:rPr>
          <w:rFonts w:ascii="Arial Narrow" w:hAnsi="Arial Narrow"/>
          <w:sz w:val="20"/>
          <w:szCs w:val="20"/>
        </w:rPr>
        <w:t>дължина на забивка l</w:t>
      </w:r>
      <w:r w:rsidRPr="00D107E2">
        <w:rPr>
          <w:rFonts w:ascii="Arial Narrow" w:hAnsi="Arial Narrow"/>
          <w:sz w:val="20"/>
          <w:szCs w:val="20"/>
          <w:vertAlign w:val="subscript"/>
        </w:rPr>
        <w:t xml:space="preserve">заб  </w:t>
      </w:r>
      <w:r w:rsidRPr="00D107E2">
        <w:rPr>
          <w:rFonts w:ascii="Arial Narrow" w:hAnsi="Arial Narrow"/>
          <w:sz w:val="20"/>
          <w:szCs w:val="20"/>
        </w:rPr>
        <w:t>= 3,0 m;</w:t>
      </w:r>
    </w:p>
    <w:p w:rsidR="00E55364" w:rsidRDefault="00E55364" w:rsidP="00766BB1">
      <w:pPr>
        <w:ind w:firstLine="170"/>
        <w:rPr>
          <w:rFonts w:ascii="Arial Narrow" w:hAnsi="Arial Narrow"/>
          <w:sz w:val="20"/>
          <w:szCs w:val="20"/>
        </w:rPr>
      </w:pPr>
      <w:r w:rsidRPr="00603D92">
        <w:rPr>
          <w:rFonts w:ascii="Arial Narrow" w:hAnsi="Arial Narrow"/>
          <w:sz w:val="20"/>
          <w:szCs w:val="20"/>
        </w:rPr>
        <w:t>- маса на заряда взривно вещество при взривяване на един сондаж с един интервал (t &gt; 8 ms) Q</w:t>
      </w:r>
      <w:r w:rsidRPr="004735BB">
        <w:rPr>
          <w:rFonts w:ascii="Arial Narrow" w:hAnsi="Arial Narrow"/>
          <w:sz w:val="14"/>
          <w:szCs w:val="20"/>
        </w:rPr>
        <w:t>инт</w:t>
      </w:r>
      <w:r w:rsidRPr="00603D92">
        <w:rPr>
          <w:rFonts w:ascii="Arial Narrow" w:hAnsi="Arial Narrow"/>
          <w:sz w:val="20"/>
          <w:szCs w:val="20"/>
        </w:rPr>
        <w:t xml:space="preserve"> = 95 kg и от два сондажа, взривени в рамките на един интервал (t &gt; 8 ms) Q</w:t>
      </w:r>
      <w:r w:rsidRPr="004735BB">
        <w:rPr>
          <w:rFonts w:ascii="Arial Narrow" w:hAnsi="Arial Narrow"/>
          <w:sz w:val="14"/>
          <w:szCs w:val="20"/>
        </w:rPr>
        <w:t>инт</w:t>
      </w:r>
      <w:r w:rsidRPr="00603D92">
        <w:rPr>
          <w:rFonts w:ascii="Arial Narrow" w:hAnsi="Arial Narrow"/>
          <w:sz w:val="20"/>
          <w:szCs w:val="20"/>
        </w:rPr>
        <w:t xml:space="preserve"> = 190 kg. Това внася ограничение в изпълнение на схемата на свързване – при подкопна схема подкопът се осъществява съответно от един до два сондажа.</w:t>
      </w:r>
    </w:p>
    <w:p w:rsidR="00E55364" w:rsidRPr="00D107E2" w:rsidRDefault="00E55364" w:rsidP="00E55364">
      <w:pPr>
        <w:ind w:firstLine="0"/>
        <w:rPr>
          <w:rFonts w:ascii="Arial Narrow" w:hAnsi="Arial Narrow"/>
          <w:sz w:val="20"/>
          <w:szCs w:val="20"/>
        </w:rPr>
      </w:pPr>
    </w:p>
    <w:p w:rsidR="00A214BD" w:rsidRDefault="00A214BD" w:rsidP="00A214BD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Pr="00D107E2">
        <w:rPr>
          <w:rFonts w:ascii="Arial Narrow" w:hAnsi="Arial Narrow"/>
          <w:sz w:val="20"/>
          <w:szCs w:val="20"/>
        </w:rPr>
        <w:t>Анализът на изчислената прогнозирана стойност на свръхналягането на фронта на въздушната ударна вълна по при</w:t>
      </w:r>
      <w:r>
        <w:rPr>
          <w:rFonts w:ascii="Arial Narrow" w:hAnsi="Arial Narrow"/>
          <w:sz w:val="20"/>
          <w:szCs w:val="20"/>
        </w:rPr>
        <w:t xml:space="preserve">етите критерии за безопасност във </w:t>
      </w:r>
      <w:r w:rsidRPr="00D107E2">
        <w:rPr>
          <w:rFonts w:ascii="Arial Narrow" w:hAnsi="Arial Narrow"/>
          <w:sz w:val="20"/>
          <w:szCs w:val="20"/>
        </w:rPr>
        <w:t>взривна</w:t>
      </w:r>
      <w:r>
        <w:rPr>
          <w:rFonts w:ascii="Arial Narrow" w:hAnsi="Arial Narrow"/>
          <w:sz w:val="20"/>
          <w:szCs w:val="20"/>
        </w:rPr>
        <w:t>та</w:t>
      </w:r>
      <w:r w:rsidRPr="00D107E2">
        <w:rPr>
          <w:rFonts w:ascii="Arial Narrow" w:hAnsi="Arial Narrow"/>
          <w:sz w:val="20"/>
          <w:szCs w:val="20"/>
        </w:rPr>
        <w:t xml:space="preserve"> пр</w:t>
      </w:r>
      <w:r w:rsidR="00AD7C23">
        <w:rPr>
          <w:rFonts w:ascii="Arial Narrow" w:hAnsi="Arial Narrow"/>
          <w:sz w:val="20"/>
          <w:szCs w:val="20"/>
        </w:rPr>
        <w:t xml:space="preserve">актика определят </w:t>
      </w:r>
      <w:r w:rsidRPr="00D107E2">
        <w:rPr>
          <w:rFonts w:ascii="Arial Narrow" w:hAnsi="Arial Narrow"/>
          <w:sz w:val="20"/>
          <w:szCs w:val="20"/>
        </w:rPr>
        <w:t xml:space="preserve">въздействието на въздушната ударна вълна в </w:t>
      </w:r>
      <w:r w:rsidR="00AD7C23">
        <w:rPr>
          <w:rFonts w:ascii="Arial Narrow" w:hAnsi="Arial Narrow"/>
          <w:sz w:val="20"/>
          <w:szCs w:val="20"/>
        </w:rPr>
        <w:t>района на „охранявана</w:t>
      </w:r>
      <w:r w:rsidRPr="00D107E2">
        <w:rPr>
          <w:rFonts w:ascii="Arial Narrow" w:hAnsi="Arial Narrow"/>
          <w:sz w:val="20"/>
          <w:szCs w:val="20"/>
        </w:rPr>
        <w:t xml:space="preserve"> зона” (R=700 m) и </w:t>
      </w:r>
      <w:r w:rsidR="00567C49">
        <w:rPr>
          <w:rFonts w:ascii="Arial Narrow" w:hAnsi="Arial Narrow"/>
          <w:sz w:val="20"/>
          <w:szCs w:val="20"/>
        </w:rPr>
        <w:t>охраняем обект –</w:t>
      </w:r>
      <w:r w:rsidRPr="00D107E2">
        <w:rPr>
          <w:rFonts w:ascii="Arial Narrow" w:hAnsi="Arial Narrow"/>
          <w:sz w:val="20"/>
          <w:szCs w:val="20"/>
        </w:rPr>
        <w:t xml:space="preserve"> с. Опицвет (R≥1350 m) въздействието </w:t>
      </w:r>
      <w:r w:rsidR="00567C49">
        <w:rPr>
          <w:rFonts w:ascii="Arial Narrow" w:hAnsi="Arial Narrow"/>
          <w:sz w:val="20"/>
          <w:szCs w:val="20"/>
        </w:rPr>
        <w:t xml:space="preserve">да </w:t>
      </w:r>
      <w:r w:rsidRPr="00D107E2">
        <w:rPr>
          <w:rFonts w:ascii="Arial Narrow" w:hAnsi="Arial Narrow"/>
          <w:sz w:val="20"/>
          <w:szCs w:val="20"/>
        </w:rPr>
        <w:t>е от Ниво I или технологичното взривяване се възпри</w:t>
      </w:r>
      <w:r w:rsidR="00F53FCA">
        <w:rPr>
          <w:rFonts w:ascii="Arial Narrow" w:hAnsi="Arial Narrow"/>
          <w:sz w:val="20"/>
          <w:szCs w:val="20"/>
        </w:rPr>
        <w:t>е</w:t>
      </w:r>
      <w:r w:rsidRPr="00D107E2">
        <w:rPr>
          <w:rFonts w:ascii="Arial Narrow" w:hAnsi="Arial Narrow"/>
          <w:sz w:val="20"/>
          <w:szCs w:val="20"/>
        </w:rPr>
        <w:t>ма от хората като далечен грохот</w:t>
      </w:r>
      <w:r w:rsidR="000846B7">
        <w:rPr>
          <w:rFonts w:ascii="Arial Narrow" w:hAnsi="Arial Narrow"/>
          <w:sz w:val="20"/>
          <w:szCs w:val="20"/>
        </w:rPr>
        <w:t>.</w:t>
      </w:r>
    </w:p>
    <w:p w:rsidR="000F532D" w:rsidRDefault="000F532D" w:rsidP="00A214BD">
      <w:pPr>
        <w:ind w:firstLine="0"/>
        <w:rPr>
          <w:rFonts w:ascii="Arial Narrow" w:hAnsi="Arial Narrow"/>
          <w:sz w:val="20"/>
          <w:szCs w:val="20"/>
        </w:rPr>
      </w:pPr>
    </w:p>
    <w:p w:rsidR="000F532D" w:rsidRDefault="000F532D" w:rsidP="000F532D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Pr="00D107E2">
        <w:rPr>
          <w:rFonts w:ascii="Arial Narrow" w:hAnsi="Arial Narrow"/>
          <w:sz w:val="20"/>
          <w:szCs w:val="20"/>
        </w:rPr>
        <w:t xml:space="preserve">Изчислената по разработената методика прогнозирана стойност на свръхналягането на ударна вълна във въздуха в района на с. Опицвет е по-ниска от тенденцията на разпространението </w:t>
      </w:r>
      <w:r w:rsidRPr="00047FAD">
        <w:rPr>
          <w:sz w:val="18"/>
          <w:szCs w:val="18"/>
        </w:rPr>
        <w:t>ѝ</w:t>
      </w:r>
      <w:r>
        <w:rPr>
          <w:sz w:val="20"/>
          <w:szCs w:val="20"/>
        </w:rPr>
        <w:t xml:space="preserve"> </w:t>
      </w:r>
      <w:r w:rsidRPr="00D107E2">
        <w:rPr>
          <w:rFonts w:ascii="Arial Narrow" w:hAnsi="Arial Narrow" w:cs="Arial Narrow"/>
          <w:sz w:val="20"/>
          <w:szCs w:val="20"/>
        </w:rPr>
        <w:t>в</w:t>
      </w:r>
      <w:r w:rsidRPr="00D107E2">
        <w:rPr>
          <w:rFonts w:ascii="Arial Narrow" w:hAnsi="Arial Narrow"/>
          <w:sz w:val="20"/>
          <w:szCs w:val="20"/>
        </w:rPr>
        <w:t xml:space="preserve"> </w:t>
      </w:r>
      <w:r w:rsidRPr="00D107E2">
        <w:rPr>
          <w:rFonts w:ascii="Arial Narrow" w:hAnsi="Arial Narrow" w:cs="Arial Narrow"/>
          <w:sz w:val="20"/>
          <w:szCs w:val="20"/>
        </w:rPr>
        <w:t>зависимо</w:t>
      </w:r>
      <w:r>
        <w:rPr>
          <w:rFonts w:ascii="Arial Narrow" w:hAnsi="Arial Narrow"/>
          <w:sz w:val="20"/>
          <w:szCs w:val="20"/>
        </w:rPr>
        <w:t>ст от измерените стой</w:t>
      </w:r>
      <w:r w:rsidR="00766BB1"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t>ности</w:t>
      </w:r>
      <w:r>
        <w:rPr>
          <w:rFonts w:ascii="Arial Narrow" w:hAnsi="Arial Narrow"/>
          <w:sz w:val="20"/>
          <w:szCs w:val="20"/>
          <w:lang w:val="en-US"/>
        </w:rPr>
        <w:t xml:space="preserve">. </w:t>
      </w:r>
      <w:r>
        <w:rPr>
          <w:rFonts w:ascii="Arial Narrow" w:hAnsi="Arial Narrow"/>
          <w:sz w:val="20"/>
          <w:szCs w:val="20"/>
        </w:rPr>
        <w:t>Стойностите са под допустимите</w:t>
      </w:r>
      <w:r w:rsidRPr="00D107E2">
        <w:rPr>
          <w:rFonts w:ascii="Arial Narrow" w:hAnsi="Arial Narrow"/>
          <w:sz w:val="20"/>
          <w:szCs w:val="20"/>
        </w:rPr>
        <w:t xml:space="preserve"> за въздействие на свръхналягането от въздушната ударна вълна върху хора или обекти</w:t>
      </w:r>
      <w:r>
        <w:rPr>
          <w:rFonts w:ascii="Arial Narrow" w:hAnsi="Arial Narrow"/>
          <w:sz w:val="20"/>
          <w:szCs w:val="20"/>
        </w:rPr>
        <w:t xml:space="preserve"> /фиг.</w:t>
      </w:r>
      <w:r>
        <w:rPr>
          <w:rFonts w:ascii="Arial Narrow" w:hAnsi="Arial Narrow"/>
          <w:sz w:val="20"/>
          <w:szCs w:val="20"/>
          <w:lang w:val="en-US"/>
        </w:rPr>
        <w:t xml:space="preserve"> 3</w:t>
      </w:r>
      <w:r w:rsidRPr="00D107E2">
        <w:rPr>
          <w:rFonts w:ascii="Arial Narrow" w:hAnsi="Arial Narrow"/>
          <w:sz w:val="20"/>
          <w:szCs w:val="20"/>
        </w:rPr>
        <w:t>/.</w:t>
      </w:r>
    </w:p>
    <w:p w:rsidR="00766BB1" w:rsidRDefault="00766BB1" w:rsidP="000F532D">
      <w:pPr>
        <w:ind w:firstLine="0"/>
        <w:rPr>
          <w:rFonts w:ascii="Arial Narrow" w:hAnsi="Arial Narrow"/>
          <w:sz w:val="20"/>
          <w:szCs w:val="20"/>
          <w:lang w:val="en-US"/>
        </w:rPr>
      </w:pPr>
    </w:p>
    <w:p w:rsidR="00766BB1" w:rsidRPr="00D107E2" w:rsidRDefault="00766BB1" w:rsidP="00766BB1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С</w:t>
      </w:r>
      <w:r w:rsidRPr="00D107E2">
        <w:rPr>
          <w:rFonts w:ascii="Arial Narrow" w:hAnsi="Arial Narrow"/>
          <w:sz w:val="20"/>
          <w:szCs w:val="20"/>
        </w:rPr>
        <w:t>тойност</w:t>
      </w:r>
      <w:r>
        <w:rPr>
          <w:rFonts w:ascii="Arial Narrow" w:hAnsi="Arial Narrow"/>
          <w:sz w:val="20"/>
          <w:szCs w:val="20"/>
        </w:rPr>
        <w:t>ите</w:t>
      </w:r>
      <w:r w:rsidRPr="00D107E2">
        <w:rPr>
          <w:rFonts w:ascii="Arial Narrow" w:hAnsi="Arial Narrow"/>
          <w:sz w:val="20"/>
          <w:szCs w:val="20"/>
        </w:rPr>
        <w:t xml:space="preserve"> на свръхналягането са далеч под препоръчваното ниво на въздействие в населени места</w:t>
      </w:r>
      <w:r>
        <w:rPr>
          <w:rFonts w:ascii="Arial Narrow" w:hAnsi="Arial Narrow"/>
          <w:sz w:val="20"/>
          <w:szCs w:val="20"/>
        </w:rPr>
        <w:t xml:space="preserve">, съответно, </w:t>
      </w:r>
      <w:r w:rsidRPr="00D107E2">
        <w:rPr>
          <w:rFonts w:ascii="Arial Narrow" w:hAnsi="Arial Narrow"/>
          <w:sz w:val="20"/>
          <w:szCs w:val="20"/>
        </w:rPr>
        <w:t>е</w:t>
      </w:r>
      <w:r>
        <w:rPr>
          <w:rFonts w:ascii="Arial Narrow" w:hAnsi="Arial Narrow"/>
          <w:sz w:val="20"/>
          <w:szCs w:val="20"/>
        </w:rPr>
        <w:t xml:space="preserve"> и</w:t>
      </w:r>
      <w:r w:rsidRPr="00D107E2">
        <w:rPr>
          <w:rFonts w:ascii="Arial Narrow" w:hAnsi="Arial Narrow"/>
          <w:sz w:val="20"/>
          <w:szCs w:val="20"/>
        </w:rPr>
        <w:t xml:space="preserve"> по-ниска от нивото, което предизвиква нарушаване на цялостта (напукване или счупване) на </w:t>
      </w:r>
      <w:r>
        <w:rPr>
          <w:rFonts w:ascii="Arial Narrow" w:hAnsi="Arial Narrow"/>
          <w:sz w:val="20"/>
          <w:szCs w:val="20"/>
        </w:rPr>
        <w:t>остъклението</w:t>
      </w:r>
      <w:r w:rsidRPr="00D107E2">
        <w:rPr>
          <w:rFonts w:ascii="Arial Narrow" w:hAnsi="Arial Narrow"/>
          <w:sz w:val="20"/>
          <w:szCs w:val="20"/>
        </w:rPr>
        <w:t xml:space="preserve"> н</w:t>
      </w:r>
      <w:r>
        <w:rPr>
          <w:rFonts w:ascii="Arial Narrow" w:hAnsi="Arial Narrow"/>
          <w:sz w:val="20"/>
          <w:szCs w:val="20"/>
        </w:rPr>
        <w:t>а жилищните сгради в с. Опицвет.</w:t>
      </w:r>
    </w:p>
    <w:p w:rsidR="00766BB1" w:rsidRDefault="00766BB1" w:rsidP="00766BB1">
      <w:pPr>
        <w:ind w:firstLine="0"/>
        <w:rPr>
          <w:rFonts w:ascii="Arial Narrow" w:hAnsi="Arial Narrow"/>
          <w:b/>
          <w:szCs w:val="24"/>
          <w:lang w:val="en-US"/>
        </w:rPr>
      </w:pPr>
    </w:p>
    <w:p w:rsidR="0061653F" w:rsidRPr="00D107E2" w:rsidRDefault="0061653F" w:rsidP="00B01B83">
      <w:pPr>
        <w:ind w:firstLine="0"/>
        <w:rPr>
          <w:rFonts w:ascii="Arial Narrow" w:hAnsi="Arial Narrow"/>
          <w:sz w:val="20"/>
          <w:szCs w:val="20"/>
        </w:rPr>
      </w:pPr>
    </w:p>
    <w:p w:rsidR="00B01B83" w:rsidRPr="00D107E2" w:rsidRDefault="00B01B83" w:rsidP="00B01B83">
      <w:pPr>
        <w:ind w:firstLine="0"/>
        <w:rPr>
          <w:rFonts w:ascii="Arial Narrow" w:hAnsi="Arial Narrow"/>
          <w:sz w:val="20"/>
          <w:szCs w:val="20"/>
          <w:lang w:val="en-US"/>
        </w:rPr>
      </w:pPr>
      <w:r w:rsidRPr="00D107E2">
        <w:rPr>
          <w:rFonts w:ascii="Arial Narrow" w:hAnsi="Arial Narrow"/>
          <w:noProof/>
          <w:sz w:val="20"/>
          <w:szCs w:val="20"/>
          <w:lang w:eastAsia="bg-BG"/>
        </w:rPr>
        <w:lastRenderedPageBreak/>
        <w:drawing>
          <wp:inline distT="0" distB="0" distL="0" distR="0" wp14:anchorId="72937AB9" wp14:editId="1ED7F071">
            <wp:extent cx="2616200" cy="3943350"/>
            <wp:effectExtent l="0" t="0" r="12700" b="1905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1B83" w:rsidRPr="00976AAC" w:rsidRDefault="007A0CB8" w:rsidP="00766BB1">
      <w:pPr>
        <w:spacing w:before="120"/>
        <w:ind w:firstLine="0"/>
        <w:rPr>
          <w:rFonts w:ascii="Arial Narrow" w:hAnsi="Arial Narrow"/>
          <w:b/>
          <w:sz w:val="16"/>
          <w:szCs w:val="16"/>
        </w:rPr>
      </w:pPr>
      <w:r w:rsidRPr="00976AAC">
        <w:rPr>
          <w:rFonts w:ascii="Arial Narrow" w:hAnsi="Arial Narrow"/>
          <w:b/>
          <w:sz w:val="16"/>
          <w:szCs w:val="16"/>
        </w:rPr>
        <w:t>Фиг</w:t>
      </w:r>
      <w:r w:rsidR="00766BB1">
        <w:rPr>
          <w:rFonts w:ascii="Arial Narrow" w:hAnsi="Arial Narrow"/>
          <w:b/>
          <w:sz w:val="16"/>
          <w:szCs w:val="16"/>
        </w:rPr>
        <w:t>.</w:t>
      </w:r>
      <w:r w:rsidRPr="00976AAC">
        <w:rPr>
          <w:rFonts w:ascii="Arial Narrow" w:hAnsi="Arial Narrow"/>
          <w:b/>
          <w:sz w:val="16"/>
          <w:szCs w:val="16"/>
        </w:rPr>
        <w:t xml:space="preserve"> </w:t>
      </w:r>
      <w:r w:rsidR="008319BA">
        <w:rPr>
          <w:rFonts w:ascii="Arial Narrow" w:hAnsi="Arial Narrow"/>
          <w:b/>
          <w:sz w:val="16"/>
          <w:szCs w:val="16"/>
          <w:lang w:val="en-US"/>
        </w:rPr>
        <w:t>3</w:t>
      </w:r>
      <w:r w:rsidR="00B01B83" w:rsidRPr="00976AAC">
        <w:rPr>
          <w:rFonts w:ascii="Arial Narrow" w:hAnsi="Arial Narrow"/>
          <w:b/>
          <w:sz w:val="16"/>
          <w:szCs w:val="16"/>
        </w:rPr>
        <w:t>. Прогнозирани нива на свръхналягането от технологичните взривявания в охраняемата зона и при охраняемия обект.</w:t>
      </w:r>
    </w:p>
    <w:p w:rsidR="00691D63" w:rsidRDefault="00691D63" w:rsidP="00897DD2">
      <w:pPr>
        <w:ind w:firstLine="0"/>
        <w:rPr>
          <w:rFonts w:ascii="Arial Narrow" w:hAnsi="Arial Narrow"/>
          <w:b/>
          <w:szCs w:val="24"/>
          <w:lang w:val="en-US"/>
        </w:rPr>
      </w:pPr>
    </w:p>
    <w:p w:rsidR="00D63C70" w:rsidRDefault="00D63C70" w:rsidP="00897DD2">
      <w:pPr>
        <w:ind w:firstLine="0"/>
        <w:rPr>
          <w:rFonts w:ascii="Arial Narrow" w:hAnsi="Arial Narrow"/>
          <w:b/>
          <w:szCs w:val="24"/>
        </w:rPr>
      </w:pPr>
      <w:r w:rsidRPr="00FD2C74">
        <w:rPr>
          <w:rFonts w:ascii="Arial Narrow" w:hAnsi="Arial Narrow"/>
          <w:b/>
          <w:szCs w:val="24"/>
        </w:rPr>
        <w:t>Заключение</w:t>
      </w:r>
    </w:p>
    <w:p w:rsidR="00FD2C74" w:rsidRPr="00766BB1" w:rsidRDefault="00FD2C74" w:rsidP="00897DD2">
      <w:pPr>
        <w:ind w:firstLine="0"/>
        <w:rPr>
          <w:rFonts w:ascii="Arial Narrow" w:hAnsi="Arial Narrow"/>
          <w:b/>
          <w:sz w:val="12"/>
          <w:szCs w:val="12"/>
        </w:rPr>
      </w:pPr>
    </w:p>
    <w:p w:rsidR="00FD2C74" w:rsidRDefault="00FD2C74" w:rsidP="00897DD2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Pr="00FD2C74">
        <w:rPr>
          <w:rFonts w:ascii="Arial Narrow" w:hAnsi="Arial Narrow"/>
          <w:sz w:val="20"/>
          <w:szCs w:val="20"/>
        </w:rPr>
        <w:t xml:space="preserve">Анализът показва, че в зоната „взривно поле – пункт на измерване”, регистрираното ниво на свръхналягане е I-во до II-ро ниво, което не предполага каквито и да било структурни нарушения. В зоната са разположени обекти – промишлени сгради, категоризирани като индустриални постройки, като не са отчетени нарушения на </w:t>
      </w:r>
      <w:proofErr w:type="spellStart"/>
      <w:r w:rsidRPr="00FD2C74">
        <w:rPr>
          <w:rFonts w:ascii="Arial Narrow" w:hAnsi="Arial Narrow"/>
          <w:sz w:val="20"/>
          <w:szCs w:val="20"/>
        </w:rPr>
        <w:t>остъкле</w:t>
      </w:r>
      <w:r w:rsidR="00766BB1">
        <w:rPr>
          <w:rFonts w:ascii="Arial Narrow" w:hAnsi="Arial Narrow"/>
          <w:sz w:val="20"/>
          <w:szCs w:val="20"/>
        </w:rPr>
        <w:softHyphen/>
      </w:r>
      <w:r w:rsidRPr="00FD2C74">
        <w:rPr>
          <w:rFonts w:ascii="Arial Narrow" w:hAnsi="Arial Narrow"/>
          <w:sz w:val="20"/>
          <w:szCs w:val="20"/>
        </w:rPr>
        <w:t>нието</w:t>
      </w:r>
      <w:proofErr w:type="spellEnd"/>
      <w:r w:rsidRPr="00FD2C74">
        <w:rPr>
          <w:rFonts w:ascii="Arial Narrow" w:hAnsi="Arial Narrow"/>
          <w:sz w:val="20"/>
          <w:szCs w:val="20"/>
        </w:rPr>
        <w:t>.</w:t>
      </w:r>
    </w:p>
    <w:p w:rsidR="00FD2C74" w:rsidRDefault="00B42542" w:rsidP="00897DD2">
      <w:pPr>
        <w:ind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Pr="00B42542">
        <w:rPr>
          <w:rFonts w:ascii="Arial Narrow" w:hAnsi="Arial Narrow"/>
          <w:sz w:val="20"/>
          <w:szCs w:val="20"/>
        </w:rPr>
        <w:t>Въздействието на ударна</w:t>
      </w:r>
      <w:r w:rsidR="00475B4E">
        <w:rPr>
          <w:rFonts w:ascii="Arial Narrow" w:hAnsi="Arial Narrow"/>
          <w:sz w:val="20"/>
          <w:szCs w:val="20"/>
        </w:rPr>
        <w:t>та</w:t>
      </w:r>
      <w:r w:rsidRPr="00B42542">
        <w:rPr>
          <w:rFonts w:ascii="Arial Narrow" w:hAnsi="Arial Narrow"/>
          <w:sz w:val="20"/>
          <w:szCs w:val="20"/>
        </w:rPr>
        <w:t xml:space="preserve"> вълна във въздуха в зоната „граница на охраняваната зона – с. Опицвет” при извърш</w:t>
      </w:r>
      <w:r w:rsidR="00766BB1">
        <w:rPr>
          <w:rFonts w:ascii="Arial Narrow" w:hAnsi="Arial Narrow"/>
          <w:sz w:val="20"/>
          <w:szCs w:val="20"/>
        </w:rPr>
        <w:softHyphen/>
      </w:r>
      <w:r w:rsidRPr="00B42542">
        <w:rPr>
          <w:rFonts w:ascii="Arial Narrow" w:hAnsi="Arial Narrow"/>
          <w:sz w:val="20"/>
          <w:szCs w:val="20"/>
        </w:rPr>
        <w:t>ване на технологични взривявания на кариера „</w:t>
      </w:r>
      <w:proofErr w:type="spellStart"/>
      <w:r w:rsidRPr="00B42542">
        <w:rPr>
          <w:rFonts w:ascii="Arial Narrow" w:hAnsi="Arial Narrow"/>
          <w:sz w:val="20"/>
          <w:szCs w:val="20"/>
        </w:rPr>
        <w:t>Цело</w:t>
      </w:r>
      <w:r w:rsidR="00766BB1">
        <w:rPr>
          <w:rFonts w:ascii="Arial Narrow" w:hAnsi="Arial Narrow"/>
          <w:sz w:val="20"/>
          <w:szCs w:val="20"/>
        </w:rPr>
        <w:softHyphen/>
      </w:r>
      <w:r w:rsidRPr="00B42542">
        <w:rPr>
          <w:rFonts w:ascii="Arial Narrow" w:hAnsi="Arial Narrow"/>
          <w:sz w:val="20"/>
          <w:szCs w:val="20"/>
        </w:rPr>
        <w:t>вижда</w:t>
      </w:r>
      <w:proofErr w:type="spellEnd"/>
      <w:r w:rsidRPr="00B42542">
        <w:rPr>
          <w:rFonts w:ascii="Arial Narrow" w:hAnsi="Arial Narrow"/>
          <w:sz w:val="20"/>
          <w:szCs w:val="20"/>
        </w:rPr>
        <w:t>“ е в границата под Ниво I.</w:t>
      </w:r>
      <w:r>
        <w:rPr>
          <w:rFonts w:ascii="Arial Narrow" w:hAnsi="Arial Narrow"/>
          <w:sz w:val="20"/>
          <w:szCs w:val="20"/>
        </w:rPr>
        <w:t xml:space="preserve"> Прогнозираните </w:t>
      </w:r>
      <w:r w:rsidR="00D25BDF">
        <w:rPr>
          <w:rFonts w:ascii="Arial Narrow" w:hAnsi="Arial Narrow"/>
          <w:sz w:val="20"/>
          <w:szCs w:val="20"/>
        </w:rPr>
        <w:t xml:space="preserve">по разработената методика стойности </w:t>
      </w:r>
      <w:r>
        <w:rPr>
          <w:rFonts w:ascii="Arial Narrow" w:hAnsi="Arial Narrow"/>
          <w:sz w:val="20"/>
          <w:szCs w:val="20"/>
        </w:rPr>
        <w:t>на свръхналяг</w:t>
      </w:r>
      <w:r w:rsidR="00DB3924">
        <w:rPr>
          <w:rFonts w:ascii="Arial Narrow" w:hAnsi="Arial Narrow"/>
          <w:sz w:val="20"/>
          <w:szCs w:val="20"/>
        </w:rPr>
        <w:t>а</w:t>
      </w:r>
      <w:r>
        <w:rPr>
          <w:rFonts w:ascii="Arial Narrow" w:hAnsi="Arial Narrow"/>
          <w:sz w:val="20"/>
          <w:szCs w:val="20"/>
        </w:rPr>
        <w:t>нето</w:t>
      </w:r>
      <w:r w:rsidR="00D1703A">
        <w:rPr>
          <w:rFonts w:ascii="Arial Narrow" w:hAnsi="Arial Narrow"/>
          <w:sz w:val="20"/>
          <w:szCs w:val="20"/>
        </w:rPr>
        <w:t xml:space="preserve"> на разстояние „охраняем обект“</w:t>
      </w:r>
      <w:r>
        <w:rPr>
          <w:rFonts w:ascii="Arial Narrow" w:hAnsi="Arial Narrow"/>
          <w:sz w:val="20"/>
          <w:szCs w:val="20"/>
        </w:rPr>
        <w:t xml:space="preserve"> </w:t>
      </w:r>
      <w:r w:rsidR="00475B4E">
        <w:rPr>
          <w:rFonts w:ascii="Arial Narrow" w:hAnsi="Arial Narrow"/>
          <w:sz w:val="20"/>
          <w:szCs w:val="20"/>
        </w:rPr>
        <w:t xml:space="preserve">потвърждават безопасните нива на въздействие </w:t>
      </w:r>
      <w:r w:rsidR="00D25BDF">
        <w:rPr>
          <w:rFonts w:ascii="Arial Narrow" w:hAnsi="Arial Narrow"/>
          <w:sz w:val="20"/>
          <w:szCs w:val="20"/>
        </w:rPr>
        <w:t>за урбанизиран район.</w:t>
      </w:r>
    </w:p>
    <w:p w:rsidR="00194A0F" w:rsidRDefault="00194A0F" w:rsidP="00BE64C0">
      <w:pPr>
        <w:ind w:firstLine="0"/>
        <w:rPr>
          <w:rFonts w:ascii="Arial Narrow" w:hAnsi="Arial Narrow"/>
          <w:b/>
          <w:szCs w:val="24"/>
        </w:rPr>
      </w:pPr>
    </w:p>
    <w:p w:rsidR="00BE64C0" w:rsidRDefault="00BE64C0" w:rsidP="00BE64C0">
      <w:pPr>
        <w:ind w:firstLine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Литература</w:t>
      </w:r>
    </w:p>
    <w:p w:rsidR="00BE64C0" w:rsidRPr="00766BB1" w:rsidRDefault="00BE64C0" w:rsidP="00BE64C0">
      <w:pPr>
        <w:ind w:firstLine="0"/>
        <w:rPr>
          <w:rFonts w:ascii="Arial Narrow" w:hAnsi="Arial Narrow"/>
          <w:b/>
          <w:sz w:val="12"/>
          <w:szCs w:val="12"/>
        </w:rPr>
      </w:pPr>
    </w:p>
    <w:p w:rsidR="00751CF7" w:rsidRPr="00161832" w:rsidRDefault="00E22C0D" w:rsidP="00211A6A">
      <w:pPr>
        <w:ind w:left="284" w:hanging="284"/>
        <w:rPr>
          <w:rFonts w:ascii="Arial Narrow" w:hAnsi="Arial Narrow"/>
          <w:sz w:val="20"/>
          <w:szCs w:val="20"/>
          <w:lang w:val="en-US"/>
        </w:rPr>
      </w:pPr>
      <w:r w:rsidRPr="00211A6A">
        <w:rPr>
          <w:rFonts w:ascii="Arial Narrow" w:hAnsi="Arial Narrow"/>
          <w:sz w:val="20"/>
          <w:szCs w:val="20"/>
        </w:rPr>
        <w:t>Митков, В., 2010</w:t>
      </w:r>
      <w:r>
        <w:rPr>
          <w:rFonts w:ascii="Arial Narrow" w:hAnsi="Arial Narrow"/>
          <w:sz w:val="20"/>
          <w:szCs w:val="20"/>
        </w:rPr>
        <w:t xml:space="preserve">, </w:t>
      </w:r>
      <w:r w:rsidRPr="00211A6A">
        <w:rPr>
          <w:rFonts w:ascii="Arial Narrow" w:hAnsi="Arial Narrow"/>
          <w:i/>
          <w:sz w:val="20"/>
          <w:szCs w:val="20"/>
        </w:rPr>
        <w:t>Безопасност при производство и употреба на експлозиви</w:t>
      </w:r>
      <w:r w:rsidRPr="00211A6A">
        <w:rPr>
          <w:rFonts w:ascii="Arial Narrow" w:hAnsi="Arial Narrow"/>
          <w:sz w:val="20"/>
          <w:szCs w:val="20"/>
        </w:rPr>
        <w:t>, ИК „Св. Иван Рилски“</w:t>
      </w:r>
      <w:r w:rsidR="00161832">
        <w:rPr>
          <w:rFonts w:ascii="Arial Narrow" w:hAnsi="Arial Narrow"/>
          <w:sz w:val="20"/>
          <w:szCs w:val="20"/>
        </w:rPr>
        <w:t>, С</w:t>
      </w:r>
      <w:r w:rsidR="00161832">
        <w:rPr>
          <w:rFonts w:ascii="Arial Narrow" w:hAnsi="Arial Narrow"/>
          <w:sz w:val="20"/>
          <w:szCs w:val="20"/>
          <w:lang w:val="en-US"/>
        </w:rPr>
        <w:t>.</w:t>
      </w:r>
    </w:p>
    <w:p w:rsidR="00D56228" w:rsidRPr="00AA0669" w:rsidRDefault="00751CF7" w:rsidP="00211A6A">
      <w:pPr>
        <w:ind w:left="284" w:hanging="284"/>
        <w:rPr>
          <w:rFonts w:ascii="Arial Narrow" w:hAnsi="Arial Narrow"/>
          <w:sz w:val="20"/>
          <w:szCs w:val="20"/>
          <w:lang w:val="en-US"/>
        </w:rPr>
      </w:pPr>
      <w:r w:rsidRPr="00751CF7">
        <w:rPr>
          <w:rFonts w:ascii="Arial Narrow" w:hAnsi="Arial Narrow"/>
          <w:sz w:val="20"/>
          <w:szCs w:val="20"/>
        </w:rPr>
        <w:t>Birch, W., Bermingham</w:t>
      </w:r>
      <w:r w:rsidR="009C5292">
        <w:rPr>
          <w:rFonts w:ascii="Arial Narrow" w:hAnsi="Arial Narrow"/>
          <w:sz w:val="20"/>
          <w:szCs w:val="20"/>
          <w:lang w:val="en-US"/>
        </w:rPr>
        <w:t>,</w:t>
      </w:r>
      <w:r w:rsidRPr="00751CF7">
        <w:rPr>
          <w:rFonts w:ascii="Arial Narrow" w:hAnsi="Arial Narrow"/>
          <w:sz w:val="20"/>
          <w:szCs w:val="20"/>
        </w:rPr>
        <w:t xml:space="preserve"> L., Johnson</w:t>
      </w:r>
      <w:r w:rsidR="009C5292">
        <w:rPr>
          <w:rFonts w:ascii="Arial Narrow" w:hAnsi="Arial Narrow"/>
          <w:sz w:val="20"/>
          <w:szCs w:val="20"/>
          <w:lang w:val="en-US"/>
        </w:rPr>
        <w:t>,</w:t>
      </w:r>
      <w:r w:rsidRPr="00751CF7">
        <w:rPr>
          <w:rFonts w:ascii="Arial Narrow" w:hAnsi="Arial Narrow"/>
          <w:sz w:val="20"/>
          <w:szCs w:val="20"/>
        </w:rPr>
        <w:t xml:space="preserve"> C., Farnfield</w:t>
      </w:r>
      <w:r w:rsidR="009C5292">
        <w:rPr>
          <w:rFonts w:ascii="Arial Narrow" w:hAnsi="Arial Narrow"/>
          <w:sz w:val="20"/>
          <w:szCs w:val="20"/>
          <w:lang w:val="en-US"/>
        </w:rPr>
        <w:t>,</w:t>
      </w:r>
      <w:r w:rsidRPr="00751CF7">
        <w:rPr>
          <w:rFonts w:ascii="Arial Narrow" w:hAnsi="Arial Narrow"/>
          <w:sz w:val="20"/>
          <w:szCs w:val="20"/>
        </w:rPr>
        <w:t xml:space="preserve"> R., Hosein S., Investigation to determine the origin of air overpressure from Qu</w:t>
      </w:r>
      <w:bookmarkStart w:id="0" w:name="_GoBack"/>
      <w:bookmarkEnd w:id="0"/>
      <w:r w:rsidRPr="00751CF7">
        <w:rPr>
          <w:rFonts w:ascii="Arial Narrow" w:hAnsi="Arial Narrow"/>
          <w:sz w:val="20"/>
          <w:szCs w:val="20"/>
        </w:rPr>
        <w:t xml:space="preserve">arry blasting, </w:t>
      </w:r>
      <w:r w:rsidRPr="00751CF7">
        <w:rPr>
          <w:rFonts w:ascii="Arial Narrow" w:hAnsi="Arial Narrow"/>
          <w:i/>
          <w:sz w:val="20"/>
          <w:szCs w:val="20"/>
        </w:rPr>
        <w:t>The Journal of Explosive Engineers</w:t>
      </w:r>
      <w:r w:rsidRPr="00751CF7">
        <w:rPr>
          <w:rFonts w:ascii="Arial Narrow" w:hAnsi="Arial Narrow"/>
          <w:sz w:val="20"/>
          <w:szCs w:val="20"/>
        </w:rPr>
        <w:t>, January/February 2014</w:t>
      </w:r>
      <w:r w:rsidR="00AA0669">
        <w:rPr>
          <w:rFonts w:ascii="Arial Narrow" w:hAnsi="Arial Narrow"/>
          <w:sz w:val="20"/>
          <w:szCs w:val="20"/>
          <w:lang w:val="en-US"/>
        </w:rPr>
        <w:t>, USA</w:t>
      </w:r>
      <w:r w:rsidR="009C5292">
        <w:rPr>
          <w:rFonts w:ascii="Arial Narrow" w:hAnsi="Arial Narrow"/>
          <w:sz w:val="20"/>
          <w:szCs w:val="20"/>
          <w:lang w:val="en-US"/>
        </w:rPr>
        <w:t>, p. 32 - 39</w:t>
      </w:r>
    </w:p>
    <w:p w:rsidR="006E3916" w:rsidRDefault="00D56228" w:rsidP="006E3916">
      <w:pPr>
        <w:ind w:left="284" w:hanging="284"/>
        <w:rPr>
          <w:rFonts w:ascii="Arial Narrow" w:hAnsi="Arial Narrow"/>
          <w:sz w:val="20"/>
          <w:szCs w:val="20"/>
          <w:lang w:val="en-US"/>
        </w:rPr>
      </w:pPr>
      <w:r w:rsidRPr="00D56228">
        <w:rPr>
          <w:rFonts w:ascii="Arial Narrow" w:hAnsi="Arial Narrow"/>
          <w:sz w:val="20"/>
          <w:szCs w:val="20"/>
          <w:lang w:val="en-US"/>
        </w:rPr>
        <w:t>Konya</w:t>
      </w:r>
      <w:r w:rsidR="009C5292">
        <w:rPr>
          <w:rFonts w:ascii="Arial Narrow" w:hAnsi="Arial Narrow"/>
          <w:sz w:val="20"/>
          <w:szCs w:val="20"/>
          <w:lang w:val="en-US"/>
        </w:rPr>
        <w:t>,</w:t>
      </w:r>
      <w:r w:rsidRPr="00D56228">
        <w:rPr>
          <w:rFonts w:ascii="Arial Narrow" w:hAnsi="Arial Narrow"/>
          <w:sz w:val="20"/>
          <w:szCs w:val="20"/>
          <w:lang w:val="en-US"/>
        </w:rPr>
        <w:t xml:space="preserve"> </w:t>
      </w:r>
      <w:proofErr w:type="gramStart"/>
      <w:r w:rsidRPr="00D56228">
        <w:rPr>
          <w:rFonts w:ascii="Arial Narrow" w:hAnsi="Arial Narrow"/>
          <w:sz w:val="20"/>
          <w:szCs w:val="20"/>
          <w:lang w:val="en-US"/>
        </w:rPr>
        <w:t>С.,</w:t>
      </w:r>
      <w:proofErr w:type="gramEnd"/>
      <w:r w:rsidRPr="00D56228">
        <w:rPr>
          <w:rFonts w:ascii="Arial Narrow" w:hAnsi="Arial Narrow"/>
          <w:sz w:val="20"/>
          <w:szCs w:val="20"/>
          <w:lang w:val="en-US"/>
        </w:rPr>
        <w:t xml:space="preserve"> Walter</w:t>
      </w:r>
      <w:r w:rsidR="009C5292">
        <w:rPr>
          <w:rFonts w:ascii="Arial Narrow" w:hAnsi="Arial Narrow"/>
          <w:sz w:val="20"/>
          <w:szCs w:val="20"/>
          <w:lang w:val="en-US"/>
        </w:rPr>
        <w:t>,</w:t>
      </w:r>
      <w:r w:rsidRPr="00D56228">
        <w:rPr>
          <w:rFonts w:ascii="Arial Narrow" w:hAnsi="Arial Narrow"/>
          <w:sz w:val="20"/>
          <w:szCs w:val="20"/>
          <w:lang w:val="en-US"/>
        </w:rPr>
        <w:t xml:space="preserve"> E., 1990</w:t>
      </w:r>
      <w:r>
        <w:rPr>
          <w:rFonts w:ascii="Arial Narrow" w:hAnsi="Arial Narrow"/>
          <w:sz w:val="20"/>
          <w:szCs w:val="20"/>
          <w:lang w:val="en-US"/>
        </w:rPr>
        <w:t>,</w:t>
      </w:r>
      <w:r w:rsidR="009C5292">
        <w:rPr>
          <w:rFonts w:ascii="Arial Narrow" w:hAnsi="Arial Narrow"/>
          <w:sz w:val="20"/>
          <w:szCs w:val="20"/>
          <w:lang w:val="en-US"/>
        </w:rPr>
        <w:t xml:space="preserve"> </w:t>
      </w:r>
      <w:r w:rsidRPr="00D56228">
        <w:rPr>
          <w:rFonts w:ascii="Arial Narrow" w:hAnsi="Arial Narrow"/>
          <w:i/>
          <w:sz w:val="20"/>
          <w:szCs w:val="20"/>
          <w:lang w:val="en-US"/>
        </w:rPr>
        <w:t>Surface blast design</w:t>
      </w:r>
      <w:r>
        <w:rPr>
          <w:rFonts w:ascii="Arial Narrow" w:hAnsi="Arial Narrow"/>
          <w:sz w:val="20"/>
          <w:szCs w:val="20"/>
          <w:lang w:val="en-US"/>
        </w:rPr>
        <w:t>, Prentice Hall</w:t>
      </w:r>
      <w:r w:rsidR="00AA0669">
        <w:rPr>
          <w:rFonts w:ascii="Arial Narrow" w:hAnsi="Arial Narrow"/>
          <w:sz w:val="20"/>
          <w:szCs w:val="20"/>
          <w:lang w:val="en-US"/>
        </w:rPr>
        <w:t>, USA</w:t>
      </w:r>
    </w:p>
    <w:p w:rsidR="006E3916" w:rsidRPr="006E3916" w:rsidRDefault="006E3916" w:rsidP="006E3916">
      <w:pPr>
        <w:ind w:left="284" w:hanging="284"/>
        <w:rPr>
          <w:rFonts w:ascii="Arial Narrow" w:hAnsi="Arial Narrow"/>
          <w:sz w:val="20"/>
          <w:szCs w:val="20"/>
          <w:lang w:val="en-US"/>
        </w:rPr>
      </w:pPr>
      <w:r w:rsidRPr="006E3916">
        <w:rPr>
          <w:rFonts w:ascii="Arial Narrow" w:hAnsi="Arial Narrow"/>
          <w:sz w:val="20"/>
          <w:szCs w:val="20"/>
        </w:rPr>
        <w:t>Olofsson S., 2002</w:t>
      </w:r>
      <w:r>
        <w:rPr>
          <w:rFonts w:ascii="Arial Narrow" w:hAnsi="Arial Narrow"/>
          <w:sz w:val="20"/>
          <w:szCs w:val="20"/>
          <w:lang w:val="en-US"/>
        </w:rPr>
        <w:t xml:space="preserve">, </w:t>
      </w:r>
      <w:r w:rsidRPr="006E3916">
        <w:rPr>
          <w:rFonts w:ascii="Arial Narrow" w:hAnsi="Arial Narrow"/>
          <w:sz w:val="20"/>
          <w:szCs w:val="20"/>
        </w:rPr>
        <w:t>Applied explosives technology for constru</w:t>
      </w:r>
      <w:r w:rsidR="00B01FC8">
        <w:rPr>
          <w:rFonts w:ascii="Arial Narrow" w:hAnsi="Arial Narrow"/>
          <w:sz w:val="20"/>
          <w:szCs w:val="20"/>
        </w:rPr>
        <w:t>ction and mining, Аrla, Sweden</w:t>
      </w:r>
    </w:p>
    <w:p w:rsidR="00D56228" w:rsidRDefault="00D56228" w:rsidP="00211A6A">
      <w:pPr>
        <w:ind w:left="284" w:hanging="284"/>
        <w:rPr>
          <w:rFonts w:ascii="Arial Narrow" w:hAnsi="Arial Narrow"/>
          <w:sz w:val="20"/>
          <w:szCs w:val="20"/>
        </w:rPr>
      </w:pPr>
    </w:p>
    <w:p w:rsidR="00766BB1" w:rsidRPr="00766BB1" w:rsidRDefault="00766BB1" w:rsidP="00766BB1">
      <w:pPr>
        <w:ind w:firstLine="0"/>
        <w:jc w:val="left"/>
        <w:rPr>
          <w:rFonts w:ascii="Arial Narrow" w:hAnsi="Arial Narrow"/>
          <w:sz w:val="16"/>
          <w:szCs w:val="16"/>
        </w:rPr>
      </w:pPr>
      <w:r w:rsidRPr="00766BB1">
        <w:rPr>
          <w:rFonts w:ascii="Arial Narrow" w:hAnsi="Arial Narrow"/>
          <w:sz w:val="16"/>
          <w:szCs w:val="16"/>
        </w:rPr>
        <w:t>Статията е препоръчана за публикуване от кат. „Подземно строителство“.</w:t>
      </w:r>
    </w:p>
    <w:sectPr w:rsidR="00766BB1" w:rsidRPr="00766BB1" w:rsidSect="00766BB1">
      <w:type w:val="continuous"/>
      <w:pgSz w:w="11906" w:h="16838" w:code="9"/>
      <w:pgMar w:top="1021" w:right="1134" w:bottom="1247" w:left="1134" w:header="709" w:footer="794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40" w:rsidRDefault="00846A40" w:rsidP="005375A8">
      <w:r>
        <w:separator/>
      </w:r>
    </w:p>
  </w:endnote>
  <w:endnote w:type="continuationSeparator" w:id="0">
    <w:p w:rsidR="00846A40" w:rsidRDefault="00846A40" w:rsidP="0053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803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375A8" w:rsidRPr="005375A8" w:rsidRDefault="005375A8" w:rsidP="00E93E89">
        <w:pPr>
          <w:pStyle w:val="Footer"/>
          <w:ind w:firstLine="0"/>
          <w:jc w:val="center"/>
          <w:rPr>
            <w:sz w:val="20"/>
            <w:szCs w:val="20"/>
          </w:rPr>
        </w:pPr>
        <w:r w:rsidRPr="005375A8">
          <w:rPr>
            <w:sz w:val="20"/>
            <w:szCs w:val="20"/>
          </w:rPr>
          <w:fldChar w:fldCharType="begin"/>
        </w:r>
        <w:r w:rsidRPr="005375A8">
          <w:rPr>
            <w:sz w:val="20"/>
            <w:szCs w:val="20"/>
          </w:rPr>
          <w:instrText xml:space="preserve"> PAGE   \* MERGEFORMAT </w:instrText>
        </w:r>
        <w:r w:rsidRPr="005375A8">
          <w:rPr>
            <w:sz w:val="20"/>
            <w:szCs w:val="20"/>
          </w:rPr>
          <w:fldChar w:fldCharType="separate"/>
        </w:r>
        <w:r w:rsidR="001801C3">
          <w:rPr>
            <w:noProof/>
            <w:sz w:val="20"/>
            <w:szCs w:val="20"/>
          </w:rPr>
          <w:t>110</w:t>
        </w:r>
        <w:r w:rsidRPr="005375A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40" w:rsidRDefault="00846A40" w:rsidP="005375A8">
      <w:r>
        <w:separator/>
      </w:r>
    </w:p>
  </w:footnote>
  <w:footnote w:type="continuationSeparator" w:id="0">
    <w:p w:rsidR="00846A40" w:rsidRDefault="00846A40" w:rsidP="00537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152"/>
    <w:multiLevelType w:val="hybridMultilevel"/>
    <w:tmpl w:val="724A0184"/>
    <w:lvl w:ilvl="0" w:tplc="040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1A7CFD"/>
    <w:multiLevelType w:val="hybridMultilevel"/>
    <w:tmpl w:val="16204F50"/>
    <w:lvl w:ilvl="0" w:tplc="2764A604">
      <w:start w:val="1"/>
      <w:numFmt w:val="decimal"/>
      <w:lvlText w:val="%1."/>
      <w:lvlJc w:val="left"/>
      <w:pPr>
        <w:ind w:left="1069" w:hanging="360"/>
      </w:pPr>
    </w:lvl>
    <w:lvl w:ilvl="1" w:tplc="04020011">
      <w:start w:val="1"/>
      <w:numFmt w:val="decimal"/>
      <w:lvlText w:val="%2)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61"/>
    <w:rsid w:val="00002C2B"/>
    <w:rsid w:val="000061D5"/>
    <w:rsid w:val="000148FE"/>
    <w:rsid w:val="000436D5"/>
    <w:rsid w:val="000467C2"/>
    <w:rsid w:val="00047FAD"/>
    <w:rsid w:val="00050890"/>
    <w:rsid w:val="00055BD1"/>
    <w:rsid w:val="00056635"/>
    <w:rsid w:val="00062229"/>
    <w:rsid w:val="0007399B"/>
    <w:rsid w:val="000846B7"/>
    <w:rsid w:val="000910F8"/>
    <w:rsid w:val="00096A04"/>
    <w:rsid w:val="000B0351"/>
    <w:rsid w:val="000E067F"/>
    <w:rsid w:val="000E5A3D"/>
    <w:rsid w:val="000E5BF1"/>
    <w:rsid w:val="000F4A59"/>
    <w:rsid w:val="000F532D"/>
    <w:rsid w:val="00102FD4"/>
    <w:rsid w:val="00103CD5"/>
    <w:rsid w:val="001123B4"/>
    <w:rsid w:val="001224F8"/>
    <w:rsid w:val="00152D0E"/>
    <w:rsid w:val="00160DDE"/>
    <w:rsid w:val="00161832"/>
    <w:rsid w:val="00162D54"/>
    <w:rsid w:val="00171DC8"/>
    <w:rsid w:val="001801C3"/>
    <w:rsid w:val="00194A0F"/>
    <w:rsid w:val="001D3A6B"/>
    <w:rsid w:val="001D57AC"/>
    <w:rsid w:val="001F521A"/>
    <w:rsid w:val="00211A6A"/>
    <w:rsid w:val="0022094A"/>
    <w:rsid w:val="002255DE"/>
    <w:rsid w:val="00226F73"/>
    <w:rsid w:val="00231CAE"/>
    <w:rsid w:val="00236070"/>
    <w:rsid w:val="00244C05"/>
    <w:rsid w:val="00250488"/>
    <w:rsid w:val="00255FA8"/>
    <w:rsid w:val="00275194"/>
    <w:rsid w:val="00275E11"/>
    <w:rsid w:val="00280AEA"/>
    <w:rsid w:val="00282E25"/>
    <w:rsid w:val="00286480"/>
    <w:rsid w:val="002939E0"/>
    <w:rsid w:val="00296609"/>
    <w:rsid w:val="002B2F98"/>
    <w:rsid w:val="002B5FAB"/>
    <w:rsid w:val="002D0142"/>
    <w:rsid w:val="002E314A"/>
    <w:rsid w:val="002F03DA"/>
    <w:rsid w:val="002F698D"/>
    <w:rsid w:val="002F76CF"/>
    <w:rsid w:val="00307FAD"/>
    <w:rsid w:val="003263BB"/>
    <w:rsid w:val="003301BA"/>
    <w:rsid w:val="003301F0"/>
    <w:rsid w:val="003604EC"/>
    <w:rsid w:val="00360ADF"/>
    <w:rsid w:val="00374A98"/>
    <w:rsid w:val="00380070"/>
    <w:rsid w:val="00392D38"/>
    <w:rsid w:val="00394076"/>
    <w:rsid w:val="003942EB"/>
    <w:rsid w:val="003A1BE5"/>
    <w:rsid w:val="003A1EB5"/>
    <w:rsid w:val="003A3995"/>
    <w:rsid w:val="003A49BB"/>
    <w:rsid w:val="003A5429"/>
    <w:rsid w:val="003A6AAA"/>
    <w:rsid w:val="003B3D61"/>
    <w:rsid w:val="003B43D1"/>
    <w:rsid w:val="003D5B90"/>
    <w:rsid w:val="003E01DC"/>
    <w:rsid w:val="003E6561"/>
    <w:rsid w:val="003E6F14"/>
    <w:rsid w:val="003F1F65"/>
    <w:rsid w:val="004005C0"/>
    <w:rsid w:val="00401D90"/>
    <w:rsid w:val="00406E65"/>
    <w:rsid w:val="00412CCE"/>
    <w:rsid w:val="0041487B"/>
    <w:rsid w:val="0043342B"/>
    <w:rsid w:val="0044540C"/>
    <w:rsid w:val="00451D46"/>
    <w:rsid w:val="00454046"/>
    <w:rsid w:val="00454836"/>
    <w:rsid w:val="004632F9"/>
    <w:rsid w:val="0046372A"/>
    <w:rsid w:val="004735BB"/>
    <w:rsid w:val="00475B4E"/>
    <w:rsid w:val="00482A0B"/>
    <w:rsid w:val="00482EFC"/>
    <w:rsid w:val="00490080"/>
    <w:rsid w:val="00494389"/>
    <w:rsid w:val="004C05F7"/>
    <w:rsid w:val="004C38C4"/>
    <w:rsid w:val="004C42DD"/>
    <w:rsid w:val="004C5F52"/>
    <w:rsid w:val="004C7574"/>
    <w:rsid w:val="004D058F"/>
    <w:rsid w:val="004D11DE"/>
    <w:rsid w:val="004D6D3D"/>
    <w:rsid w:val="004E0C0F"/>
    <w:rsid w:val="004F2944"/>
    <w:rsid w:val="00511F3C"/>
    <w:rsid w:val="005143C3"/>
    <w:rsid w:val="00515E91"/>
    <w:rsid w:val="00516E7B"/>
    <w:rsid w:val="005375A8"/>
    <w:rsid w:val="00540F09"/>
    <w:rsid w:val="005452BF"/>
    <w:rsid w:val="00567C49"/>
    <w:rsid w:val="00584D8A"/>
    <w:rsid w:val="005A23FB"/>
    <w:rsid w:val="005B55F2"/>
    <w:rsid w:val="005C311F"/>
    <w:rsid w:val="005E70A3"/>
    <w:rsid w:val="00603D92"/>
    <w:rsid w:val="00603E13"/>
    <w:rsid w:val="0061653F"/>
    <w:rsid w:val="006249DE"/>
    <w:rsid w:val="00626185"/>
    <w:rsid w:val="00645013"/>
    <w:rsid w:val="006464C9"/>
    <w:rsid w:val="006670A1"/>
    <w:rsid w:val="00691D63"/>
    <w:rsid w:val="00695569"/>
    <w:rsid w:val="00695BDE"/>
    <w:rsid w:val="006A5998"/>
    <w:rsid w:val="006B0025"/>
    <w:rsid w:val="006C6605"/>
    <w:rsid w:val="006E3916"/>
    <w:rsid w:val="006E3D2C"/>
    <w:rsid w:val="006E7163"/>
    <w:rsid w:val="00725547"/>
    <w:rsid w:val="00725956"/>
    <w:rsid w:val="007335EC"/>
    <w:rsid w:val="00740C8D"/>
    <w:rsid w:val="00746854"/>
    <w:rsid w:val="0075194F"/>
    <w:rsid w:val="00751CF7"/>
    <w:rsid w:val="007609EE"/>
    <w:rsid w:val="00760BE3"/>
    <w:rsid w:val="00766BB1"/>
    <w:rsid w:val="00774BD1"/>
    <w:rsid w:val="00793CA3"/>
    <w:rsid w:val="00796EC8"/>
    <w:rsid w:val="007A0CB8"/>
    <w:rsid w:val="007B3BA9"/>
    <w:rsid w:val="007C5E49"/>
    <w:rsid w:val="007D5720"/>
    <w:rsid w:val="007D6CD0"/>
    <w:rsid w:val="007D77B1"/>
    <w:rsid w:val="00820C37"/>
    <w:rsid w:val="00826CD7"/>
    <w:rsid w:val="00830064"/>
    <w:rsid w:val="008319BA"/>
    <w:rsid w:val="0084220E"/>
    <w:rsid w:val="00843BDE"/>
    <w:rsid w:val="00846A40"/>
    <w:rsid w:val="00853AE6"/>
    <w:rsid w:val="00853D69"/>
    <w:rsid w:val="008706E8"/>
    <w:rsid w:val="008828D5"/>
    <w:rsid w:val="00897DD2"/>
    <w:rsid w:val="008A5B19"/>
    <w:rsid w:val="008B4AB8"/>
    <w:rsid w:val="008C1E9B"/>
    <w:rsid w:val="008C6378"/>
    <w:rsid w:val="008D7901"/>
    <w:rsid w:val="00927C6F"/>
    <w:rsid w:val="009306A9"/>
    <w:rsid w:val="009317E1"/>
    <w:rsid w:val="00940104"/>
    <w:rsid w:val="00941FD3"/>
    <w:rsid w:val="00951575"/>
    <w:rsid w:val="00954388"/>
    <w:rsid w:val="00963C08"/>
    <w:rsid w:val="00976AAC"/>
    <w:rsid w:val="009902A8"/>
    <w:rsid w:val="0099470B"/>
    <w:rsid w:val="009B69E6"/>
    <w:rsid w:val="009C0D0D"/>
    <w:rsid w:val="009C5292"/>
    <w:rsid w:val="009C687E"/>
    <w:rsid w:val="009D0540"/>
    <w:rsid w:val="009E76FF"/>
    <w:rsid w:val="00A157DC"/>
    <w:rsid w:val="00A214BD"/>
    <w:rsid w:val="00A21BD7"/>
    <w:rsid w:val="00A30BC5"/>
    <w:rsid w:val="00A3171C"/>
    <w:rsid w:val="00A40D4C"/>
    <w:rsid w:val="00A4765D"/>
    <w:rsid w:val="00A50FDC"/>
    <w:rsid w:val="00A54324"/>
    <w:rsid w:val="00A547EF"/>
    <w:rsid w:val="00A57611"/>
    <w:rsid w:val="00A57EB3"/>
    <w:rsid w:val="00A57F90"/>
    <w:rsid w:val="00A61E29"/>
    <w:rsid w:val="00A62617"/>
    <w:rsid w:val="00A823DD"/>
    <w:rsid w:val="00A82F24"/>
    <w:rsid w:val="00A85F2A"/>
    <w:rsid w:val="00A91C9B"/>
    <w:rsid w:val="00A93789"/>
    <w:rsid w:val="00A95B9D"/>
    <w:rsid w:val="00AA0669"/>
    <w:rsid w:val="00AC435B"/>
    <w:rsid w:val="00AD7C23"/>
    <w:rsid w:val="00AF464E"/>
    <w:rsid w:val="00AF4C34"/>
    <w:rsid w:val="00AF6CC0"/>
    <w:rsid w:val="00B00A14"/>
    <w:rsid w:val="00B01B83"/>
    <w:rsid w:val="00B01FC8"/>
    <w:rsid w:val="00B10F93"/>
    <w:rsid w:val="00B20777"/>
    <w:rsid w:val="00B265E5"/>
    <w:rsid w:val="00B27F29"/>
    <w:rsid w:val="00B37423"/>
    <w:rsid w:val="00B42542"/>
    <w:rsid w:val="00B45503"/>
    <w:rsid w:val="00B606BD"/>
    <w:rsid w:val="00B643E1"/>
    <w:rsid w:val="00B67C16"/>
    <w:rsid w:val="00B824EB"/>
    <w:rsid w:val="00B83CF4"/>
    <w:rsid w:val="00B95804"/>
    <w:rsid w:val="00BA5437"/>
    <w:rsid w:val="00BA5D1F"/>
    <w:rsid w:val="00BA6829"/>
    <w:rsid w:val="00BB735B"/>
    <w:rsid w:val="00BE5DC3"/>
    <w:rsid w:val="00BE64C0"/>
    <w:rsid w:val="00BF376E"/>
    <w:rsid w:val="00C3384E"/>
    <w:rsid w:val="00C37D3C"/>
    <w:rsid w:val="00C4587E"/>
    <w:rsid w:val="00C46EEB"/>
    <w:rsid w:val="00C54197"/>
    <w:rsid w:val="00C618CD"/>
    <w:rsid w:val="00C96754"/>
    <w:rsid w:val="00CA1828"/>
    <w:rsid w:val="00CB23F9"/>
    <w:rsid w:val="00CD455C"/>
    <w:rsid w:val="00CE0A59"/>
    <w:rsid w:val="00CF333F"/>
    <w:rsid w:val="00D107E2"/>
    <w:rsid w:val="00D13A3B"/>
    <w:rsid w:val="00D1703A"/>
    <w:rsid w:val="00D25BDF"/>
    <w:rsid w:val="00D44A17"/>
    <w:rsid w:val="00D46BB6"/>
    <w:rsid w:val="00D51D0B"/>
    <w:rsid w:val="00D56228"/>
    <w:rsid w:val="00D60203"/>
    <w:rsid w:val="00D6222E"/>
    <w:rsid w:val="00D63C70"/>
    <w:rsid w:val="00D66DA5"/>
    <w:rsid w:val="00D748C1"/>
    <w:rsid w:val="00D80537"/>
    <w:rsid w:val="00D82289"/>
    <w:rsid w:val="00D86D78"/>
    <w:rsid w:val="00D875B5"/>
    <w:rsid w:val="00DA1B82"/>
    <w:rsid w:val="00DA7B85"/>
    <w:rsid w:val="00DA7E79"/>
    <w:rsid w:val="00DB173E"/>
    <w:rsid w:val="00DB3924"/>
    <w:rsid w:val="00DC4E88"/>
    <w:rsid w:val="00DC58BB"/>
    <w:rsid w:val="00DC599B"/>
    <w:rsid w:val="00DD1BF4"/>
    <w:rsid w:val="00DD22E9"/>
    <w:rsid w:val="00DD5E1F"/>
    <w:rsid w:val="00E0514C"/>
    <w:rsid w:val="00E10539"/>
    <w:rsid w:val="00E17242"/>
    <w:rsid w:val="00E22C0D"/>
    <w:rsid w:val="00E22C56"/>
    <w:rsid w:val="00E252CC"/>
    <w:rsid w:val="00E258B1"/>
    <w:rsid w:val="00E45458"/>
    <w:rsid w:val="00E47926"/>
    <w:rsid w:val="00E55364"/>
    <w:rsid w:val="00E66B05"/>
    <w:rsid w:val="00E66F88"/>
    <w:rsid w:val="00E70BD8"/>
    <w:rsid w:val="00E915F3"/>
    <w:rsid w:val="00E93739"/>
    <w:rsid w:val="00E93E89"/>
    <w:rsid w:val="00E968F2"/>
    <w:rsid w:val="00EA1D0B"/>
    <w:rsid w:val="00EA2E57"/>
    <w:rsid w:val="00EA32EB"/>
    <w:rsid w:val="00EB24F9"/>
    <w:rsid w:val="00EE0497"/>
    <w:rsid w:val="00EE26FF"/>
    <w:rsid w:val="00EF3AD4"/>
    <w:rsid w:val="00EF7F9B"/>
    <w:rsid w:val="00F01FB0"/>
    <w:rsid w:val="00F0499D"/>
    <w:rsid w:val="00F2364E"/>
    <w:rsid w:val="00F24FD5"/>
    <w:rsid w:val="00F3343E"/>
    <w:rsid w:val="00F3796C"/>
    <w:rsid w:val="00F53FCA"/>
    <w:rsid w:val="00F60E49"/>
    <w:rsid w:val="00F71F74"/>
    <w:rsid w:val="00F9029A"/>
    <w:rsid w:val="00F91EBF"/>
    <w:rsid w:val="00F9670A"/>
    <w:rsid w:val="00FA3734"/>
    <w:rsid w:val="00FA4425"/>
    <w:rsid w:val="00FB7601"/>
    <w:rsid w:val="00FC602B"/>
    <w:rsid w:val="00FD2C5E"/>
    <w:rsid w:val="00FD2C74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5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A8"/>
  </w:style>
  <w:style w:type="paragraph" w:styleId="Footer">
    <w:name w:val="footer"/>
    <w:basedOn w:val="Normal"/>
    <w:link w:val="FooterChar"/>
    <w:uiPriority w:val="99"/>
    <w:unhideWhenUsed/>
    <w:rsid w:val="005375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5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A8"/>
  </w:style>
  <w:style w:type="paragraph" w:styleId="Footer">
    <w:name w:val="footer"/>
    <w:basedOn w:val="Normal"/>
    <w:link w:val="FooterChar"/>
    <w:uiPriority w:val="99"/>
    <w:unhideWhenUsed/>
    <w:rsid w:val="005375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Knigi\nova\&#1055;&#1098;&#1083;&#1085;&#1072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G:\Knigi\nova\&#1055;&#1098;&#1083;&#1085;&#107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G:\Knigi\nova\&#1055;&#1098;&#1083;&#1085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0916911966112"/>
          <c:y val="5.1434925141194451E-2"/>
          <c:w val="0.81199581801417398"/>
          <c:h val="0.50759911091452503"/>
        </c:manualLayout>
      </c:layout>
      <c:scatterChart>
        <c:scatterStyle val="lineMarker"/>
        <c:varyColors val="0"/>
        <c:ser>
          <c:idx val="0"/>
          <c:order val="0"/>
          <c:tx>
            <c:strRef>
              <c:f>'tehnvzr (2)'!$A$3:$A$4</c:f>
              <c:strCache>
                <c:ptCount val="1"/>
                <c:pt idx="0">
                  <c:v>Ниво І : 120 dB = 20 Pa</c:v>
                </c:pt>
              </c:strCache>
            </c:strRef>
          </c:tx>
          <c:spPr>
            <a:ln w="9525">
              <a:solidFill>
                <a:srgbClr val="92D050"/>
              </a:solidFill>
              <a:prstDash val="solid"/>
            </a:ln>
          </c:spPr>
          <c:marker>
            <c:symbol val="none"/>
          </c:marker>
          <c:xVal>
            <c:numRef>
              <c:f>'tehnvzr (2)'!$B$3:$B$4</c:f>
              <c:numCache>
                <c:formatCode>General</c:formatCode>
                <c:ptCount val="2"/>
                <c:pt idx="0">
                  <c:v>2</c:v>
                </c:pt>
                <c:pt idx="1">
                  <c:v>750</c:v>
                </c:pt>
              </c:numCache>
            </c:numRef>
          </c:xVal>
          <c:yVal>
            <c:numRef>
              <c:f>'tehnvzr (2)'!$C$3:$C$4</c:f>
              <c:numCache>
                <c:formatCode>General</c:formatCode>
                <c:ptCount val="2"/>
                <c:pt idx="0">
                  <c:v>120</c:v>
                </c:pt>
                <c:pt idx="1">
                  <c:v>120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'tehnvzr (2)'!$A$5:$A$6</c:f>
              <c:strCache>
                <c:ptCount val="1"/>
                <c:pt idx="0">
                  <c:v>Ниво ІІ : 128 dB = 50 Pa</c:v>
                </c:pt>
              </c:strCache>
            </c:strRef>
          </c:tx>
          <c:spPr>
            <a:ln w="9525">
              <a:solidFill>
                <a:srgbClr val="00B050"/>
              </a:solidFill>
              <a:prstDash val="solid"/>
            </a:ln>
          </c:spPr>
          <c:marker>
            <c:symbol val="none"/>
          </c:marker>
          <c:xVal>
            <c:numRef>
              <c:f>'tehnvzr (2)'!$B$5:$B$6</c:f>
              <c:numCache>
                <c:formatCode>General</c:formatCode>
                <c:ptCount val="2"/>
                <c:pt idx="0">
                  <c:v>2</c:v>
                </c:pt>
                <c:pt idx="1">
                  <c:v>750</c:v>
                </c:pt>
              </c:numCache>
            </c:numRef>
          </c:xVal>
          <c:yVal>
            <c:numRef>
              <c:f>'tehnvzr (2)'!$C$5:$C$6</c:f>
              <c:numCache>
                <c:formatCode>General</c:formatCode>
                <c:ptCount val="2"/>
                <c:pt idx="0">
                  <c:v>128</c:v>
                </c:pt>
                <c:pt idx="1">
                  <c:v>128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'tehnvzr (2)'!$A$7:$A$8</c:f>
              <c:strCache>
                <c:ptCount val="1"/>
                <c:pt idx="0">
                  <c:v>Ниво ІІІ : 134 dB = 100 Pa</c:v>
                </c:pt>
              </c:strCache>
            </c:strRef>
          </c:tx>
          <c:spPr>
            <a:ln w="9525">
              <a:solidFill>
                <a:srgbClr val="0070C0"/>
              </a:solidFill>
              <a:prstDash val="solid"/>
            </a:ln>
          </c:spPr>
          <c:marker>
            <c:symbol val="none"/>
          </c:marker>
          <c:xVal>
            <c:numRef>
              <c:f>'tehnvzr (2)'!$B$7:$B$8</c:f>
              <c:numCache>
                <c:formatCode>General</c:formatCode>
                <c:ptCount val="2"/>
                <c:pt idx="0">
                  <c:v>2</c:v>
                </c:pt>
                <c:pt idx="1">
                  <c:v>750</c:v>
                </c:pt>
              </c:numCache>
            </c:numRef>
          </c:xVal>
          <c:yVal>
            <c:numRef>
              <c:f>'tehnvzr (2)'!$C$7:$C$8</c:f>
              <c:numCache>
                <c:formatCode>General</c:formatCode>
                <c:ptCount val="2"/>
                <c:pt idx="0">
                  <c:v>134</c:v>
                </c:pt>
                <c:pt idx="1">
                  <c:v>134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'tehnvzr (2)'!$A$9:$A$10</c:f>
              <c:strCache>
                <c:ptCount val="1"/>
                <c:pt idx="0">
                  <c:v>Ниво ІV : 140 dB = 200 Pa</c:v>
                </c:pt>
              </c:strCache>
            </c:strRef>
          </c:tx>
          <c:spPr>
            <a:ln w="9525">
              <a:solidFill>
                <a:srgbClr val="002060"/>
              </a:solidFill>
              <a:prstDash val="solid"/>
            </a:ln>
          </c:spPr>
          <c:marker>
            <c:symbol val="none"/>
          </c:marker>
          <c:dPt>
            <c:idx val="1"/>
            <c:bubble3D val="0"/>
            <c:spPr>
              <a:ln w="9525">
                <a:solidFill>
                  <a:srgbClr val="002060"/>
                </a:solidFill>
              </a:ln>
            </c:spPr>
          </c:dPt>
          <c:xVal>
            <c:numRef>
              <c:f>'tehnvzr (2)'!$B$9:$B$10</c:f>
              <c:numCache>
                <c:formatCode>0</c:formatCode>
                <c:ptCount val="2"/>
                <c:pt idx="0" formatCode="General">
                  <c:v>2</c:v>
                </c:pt>
                <c:pt idx="1">
                  <c:v>750</c:v>
                </c:pt>
              </c:numCache>
            </c:numRef>
          </c:xVal>
          <c:yVal>
            <c:numRef>
              <c:f>'tehnvzr (2)'!$C$9:$C$10</c:f>
              <c:numCache>
                <c:formatCode>0</c:formatCode>
                <c:ptCount val="2"/>
                <c:pt idx="0">
                  <c:v>140</c:v>
                </c:pt>
                <c:pt idx="1">
                  <c:v>140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'tehnvzr (2)'!$A$11:$A$12</c:f>
              <c:strCache>
                <c:ptCount val="1"/>
                <c:pt idx="0">
                  <c:v>NitroConsult : 142 dB = 250 Pa</c:v>
                </c:pt>
              </c:strCache>
            </c:strRef>
          </c:tx>
          <c:spPr>
            <a:ln w="15875">
              <a:solidFill>
                <a:srgbClr val="FF0000"/>
              </a:solidFill>
              <a:prstDash val="solid"/>
            </a:ln>
          </c:spPr>
          <c:marker>
            <c:symbol val="none"/>
          </c:marker>
          <c:xVal>
            <c:numRef>
              <c:f>'tehnvzr (2)'!$B$11:$B$12</c:f>
              <c:numCache>
                <c:formatCode>0</c:formatCode>
                <c:ptCount val="2"/>
                <c:pt idx="0">
                  <c:v>2</c:v>
                </c:pt>
                <c:pt idx="1">
                  <c:v>750</c:v>
                </c:pt>
              </c:numCache>
            </c:numRef>
          </c:xVal>
          <c:yVal>
            <c:numRef>
              <c:f>'tehnvzr (2)'!$C$11:$C$12</c:f>
              <c:numCache>
                <c:formatCode>0</c:formatCode>
                <c:ptCount val="2"/>
                <c:pt idx="0">
                  <c:v>142</c:v>
                </c:pt>
                <c:pt idx="1">
                  <c:v>142</c:v>
                </c:pt>
              </c:numCache>
            </c:numRef>
          </c:yVal>
          <c:smooth val="0"/>
        </c:ser>
        <c:ser>
          <c:idx val="10"/>
          <c:order val="5"/>
          <c:tx>
            <c:strRef>
              <c:f>'tehnvzr (2)'!$A$13:$A$14</c:f>
              <c:strCache>
                <c:ptCount val="1"/>
                <c:pt idx="0">
                  <c:v>1% счупени стъкла: 146 dB = 400 Pa</c:v>
                </c:pt>
              </c:strCache>
            </c:strRef>
          </c:tx>
          <c:spPr>
            <a:ln w="9525">
              <a:solidFill>
                <a:schemeClr val="bg2">
                  <a:lumMod val="25000"/>
                </a:schemeClr>
              </a:solidFill>
            </a:ln>
          </c:spPr>
          <c:dPt>
            <c:idx val="0"/>
            <c:marker>
              <c:symbol val="none"/>
            </c:marker>
            <c:bubble3D val="0"/>
          </c:dPt>
          <c:dPt>
            <c:idx val="1"/>
            <c:marker>
              <c:symbol val="none"/>
            </c:marker>
            <c:bubble3D val="0"/>
          </c:dPt>
          <c:xVal>
            <c:numRef>
              <c:f>'tehnvzr (2)'!$B$13:$B$14</c:f>
              <c:numCache>
                <c:formatCode>0</c:formatCode>
                <c:ptCount val="2"/>
                <c:pt idx="0">
                  <c:v>2</c:v>
                </c:pt>
                <c:pt idx="1">
                  <c:v>750</c:v>
                </c:pt>
              </c:numCache>
            </c:numRef>
          </c:xVal>
          <c:yVal>
            <c:numRef>
              <c:f>'tehnvzr (2)'!$C$13:$C$14</c:f>
              <c:numCache>
                <c:formatCode>0</c:formatCode>
                <c:ptCount val="2"/>
                <c:pt idx="0">
                  <c:v>146</c:v>
                </c:pt>
                <c:pt idx="1">
                  <c:v>146</c:v>
                </c:pt>
              </c:numCache>
            </c:numRef>
          </c:yVal>
          <c:smooth val="0"/>
        </c:ser>
        <c:ser>
          <c:idx val="5"/>
          <c:order val="6"/>
          <c:tx>
            <c:strRef>
              <c:f>'tehnvzr (2)'!$A$15:$A$16</c:f>
              <c:strCache>
                <c:ptCount val="1"/>
                <c:pt idx="0">
                  <c:v>Ниво V : 148 dB = 500 Pa</c:v>
                </c:pt>
              </c:strCache>
            </c:strRef>
          </c:tx>
          <c:spPr>
            <a:ln w="9525">
              <a:solidFill>
                <a:srgbClr val="FF6600"/>
              </a:solidFill>
              <a:prstDash val="solid"/>
            </a:ln>
          </c:spPr>
          <c:marker>
            <c:symbol val="none"/>
          </c:marker>
          <c:dPt>
            <c:idx val="0"/>
            <c:bubble3D val="0"/>
          </c:dPt>
          <c:dPt>
            <c:idx val="1"/>
            <c:bubble3D val="0"/>
          </c:dPt>
          <c:xVal>
            <c:numRef>
              <c:f>'tehnvzr (2)'!$B$15:$B$16</c:f>
              <c:numCache>
                <c:formatCode>0</c:formatCode>
                <c:ptCount val="2"/>
                <c:pt idx="0">
                  <c:v>2</c:v>
                </c:pt>
                <c:pt idx="1">
                  <c:v>750</c:v>
                </c:pt>
              </c:numCache>
            </c:numRef>
          </c:xVal>
          <c:yVal>
            <c:numRef>
              <c:f>'tehnvzr (2)'!$C$15:$C$16</c:f>
              <c:numCache>
                <c:formatCode>0</c:formatCode>
                <c:ptCount val="2"/>
                <c:pt idx="0">
                  <c:v>148</c:v>
                </c:pt>
                <c:pt idx="1">
                  <c:v>148</c:v>
                </c:pt>
              </c:numCache>
            </c:numRef>
          </c:yVal>
          <c:smooth val="0"/>
        </c:ser>
        <c:ser>
          <c:idx val="6"/>
          <c:order val="7"/>
          <c:tx>
            <c:strRef>
              <c:f>'tehnvzr (2)'!$A$18</c:f>
              <c:strCache>
                <c:ptCount val="1"/>
                <c:pt idx="0">
                  <c:v>Технологични взривявания</c:v>
                </c:pt>
              </c:strCache>
            </c:strRef>
          </c:tx>
          <c:spPr>
            <a:ln w="9525">
              <a:noFill/>
            </a:ln>
          </c:spPr>
          <c:marker>
            <c:symbol val="none"/>
          </c:marker>
          <c:trendline>
            <c:name>Blastware</c:name>
            <c:trendlineType val="power"/>
            <c:dispRSqr val="0"/>
            <c:dispEq val="1"/>
            <c:trendlineLbl>
              <c:layout>
                <c:manualLayout>
                  <c:x val="0.38880109176493782"/>
                  <c:y val="0.34375402623252171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Arial Narrow" panose="020B0606020202030204" pitchFamily="34" charset="0"/>
                      </a:defRPr>
                    </a:pPr>
                    <a:r>
                      <a:rPr lang="bg-BG">
                        <a:latin typeface="Arial Narrow" panose="020B0606020202030204" pitchFamily="34" charset="0"/>
                      </a:rPr>
                      <a:t>Зависимост </a:t>
                    </a:r>
                    <a:endParaRPr lang="en-US">
                      <a:latin typeface="Arial Narrow" panose="020B0606020202030204" pitchFamily="34" charset="0"/>
                    </a:endParaRPr>
                  </a:p>
                  <a:p>
                    <a:pPr>
                      <a:defRPr>
                        <a:latin typeface="Arial Narrow" panose="020B0606020202030204" pitchFamily="34" charset="0"/>
                      </a:defRPr>
                    </a:pPr>
                    <a:r>
                      <a:rPr lang="en-US">
                        <a:latin typeface="Arial Narrow" panose="020B0606020202030204" pitchFamily="34" charset="0"/>
                      </a:rPr>
                      <a:t>Blastware</a:t>
                    </a:r>
                  </a:p>
                  <a:p>
                    <a:pPr>
                      <a:defRPr>
                        <a:latin typeface="Arial Narrow" panose="020B0606020202030204" pitchFamily="34" charset="0"/>
                      </a:defRPr>
                    </a:pPr>
                    <a:r>
                      <a:rPr lang="en-US">
                        <a:latin typeface="Arial Narrow" panose="020B0606020202030204" pitchFamily="34" charset="0"/>
                      </a:rPr>
                      <a:t>y = 195,61x</a:t>
                    </a:r>
                    <a:r>
                      <a:rPr lang="en-US" baseline="30000">
                        <a:latin typeface="Arial Narrow" panose="020B0606020202030204" pitchFamily="34" charset="0"/>
                      </a:rPr>
                      <a:t>-0,082</a:t>
                    </a:r>
                  </a:p>
                </c:rich>
              </c:tx>
              <c:numFmt formatCode="General" sourceLinked="0"/>
              <c:spPr>
                <a:ln>
                  <a:solidFill>
                    <a:schemeClr val="tx1"/>
                  </a:solidFill>
                </a:ln>
              </c:spPr>
            </c:trendlineLbl>
          </c:trendline>
          <c:xVal>
            <c:numRef>
              <c:f>'tehnvzr (2)'!$B$18:$B$24</c:f>
              <c:numCache>
                <c:formatCode>General</c:formatCode>
                <c:ptCount val="7"/>
                <c:pt idx="0">
                  <c:v>89.055999999999997</c:v>
                </c:pt>
                <c:pt idx="1">
                  <c:v>54.62</c:v>
                </c:pt>
                <c:pt idx="2">
                  <c:v>105.27</c:v>
                </c:pt>
                <c:pt idx="3">
                  <c:v>45.83</c:v>
                </c:pt>
                <c:pt idx="4">
                  <c:v>55.61</c:v>
                </c:pt>
                <c:pt idx="5">
                  <c:v>65.900000000000006</c:v>
                </c:pt>
                <c:pt idx="6">
                  <c:v>50.32</c:v>
                </c:pt>
              </c:numCache>
            </c:numRef>
          </c:xVal>
          <c:yVal>
            <c:numRef>
              <c:f>'tehnvzr (2)'!$D$18:$D$24</c:f>
              <c:numCache>
                <c:formatCode>General</c:formatCode>
                <c:ptCount val="7"/>
                <c:pt idx="0">
                  <c:v>135.36882895201001</c:v>
                </c:pt>
                <c:pt idx="1">
                  <c:v>140.90558716463391</c:v>
                </c:pt>
                <c:pt idx="2">
                  <c:v>133.52484238649524</c:v>
                </c:pt>
                <c:pt idx="3">
                  <c:v>142.94756595263809</c:v>
                </c:pt>
                <c:pt idx="4">
                  <c:v>140.69819167043798</c:v>
                </c:pt>
                <c:pt idx="5">
                  <c:v>138.75302148176229</c:v>
                </c:pt>
                <c:pt idx="6">
                  <c:v>141.85619977019547</c:v>
                </c:pt>
              </c:numCache>
            </c:numRef>
          </c:yVal>
          <c:smooth val="0"/>
        </c:ser>
        <c:ser>
          <c:idx val="7"/>
          <c:order val="8"/>
          <c:tx>
            <c:strRef>
              <c:f>'tehnvzr (2)'!$A$18</c:f>
              <c:strCache>
                <c:ptCount val="1"/>
                <c:pt idx="0">
                  <c:v>Технологични взривявания</c:v>
                </c:pt>
              </c:strCache>
            </c:strRef>
          </c:tx>
          <c:spPr>
            <a:ln>
              <a:noFill/>
            </a:ln>
          </c:spPr>
          <c:marker>
            <c:symbol val="star"/>
            <c:size val="5"/>
          </c:marker>
          <c:xVal>
            <c:numRef>
              <c:f>'tehnvzr (2)'!$B$18:$B$24</c:f>
              <c:numCache>
                <c:formatCode>General</c:formatCode>
                <c:ptCount val="7"/>
                <c:pt idx="0">
                  <c:v>89.055999999999997</c:v>
                </c:pt>
                <c:pt idx="1">
                  <c:v>54.62</c:v>
                </c:pt>
                <c:pt idx="2">
                  <c:v>105.27</c:v>
                </c:pt>
                <c:pt idx="3">
                  <c:v>45.83</c:v>
                </c:pt>
                <c:pt idx="4">
                  <c:v>55.61</c:v>
                </c:pt>
                <c:pt idx="5">
                  <c:v>65.900000000000006</c:v>
                </c:pt>
                <c:pt idx="6">
                  <c:v>50.32</c:v>
                </c:pt>
              </c:numCache>
            </c:numRef>
          </c:xVal>
          <c:yVal>
            <c:numRef>
              <c:f>'tehnvzr (2)'!$C$18:$C$24</c:f>
              <c:numCache>
                <c:formatCode>0.0</c:formatCode>
                <c:ptCount val="7"/>
                <c:pt idx="0">
                  <c:v>138.19999999999999</c:v>
                </c:pt>
                <c:pt idx="1">
                  <c:v>141</c:v>
                </c:pt>
                <c:pt idx="2">
                  <c:v>132.30000000000001</c:v>
                </c:pt>
                <c:pt idx="3">
                  <c:v>147.6</c:v>
                </c:pt>
                <c:pt idx="4">
                  <c:v>141</c:v>
                </c:pt>
                <c:pt idx="5">
                  <c:v>133.30000000000001</c:v>
                </c:pt>
                <c:pt idx="6">
                  <c:v>133.6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7092480"/>
        <c:axId val="177094016"/>
      </c:scatterChart>
      <c:valAx>
        <c:axId val="177092480"/>
        <c:scaling>
          <c:logBase val="10"/>
          <c:orientation val="minMax"/>
          <c:max val="2000"/>
          <c:min val="1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chemeClr val="tx1">
                  <a:lumMod val="50000"/>
                  <a:lumOff val="50000"/>
                </a:schemeClr>
              </a:solidFill>
              <a:prstDash val="solid"/>
            </a:ln>
          </c:spPr>
        </c:minorGridlines>
        <c:numFmt formatCode="0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77094016"/>
        <c:crossesAt val="1"/>
        <c:crossBetween val="midCat"/>
      </c:valAx>
      <c:valAx>
        <c:axId val="177094016"/>
        <c:scaling>
          <c:logBase val="10"/>
          <c:orientation val="minMax"/>
          <c:max val="1000"/>
          <c:min val="100"/>
        </c:scaling>
        <c:delete val="0"/>
        <c:axPos val="l"/>
        <c:minorGridlines>
          <c:spPr>
            <a:ln w="3175">
              <a:solidFill>
                <a:schemeClr val="tx1">
                  <a:lumMod val="75000"/>
                  <a:lumOff val="25000"/>
                </a:schemeClr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en-US"/>
                  <a:t>dB(L)</a:t>
                </a:r>
              </a:p>
            </c:rich>
          </c:tx>
          <c:layout>
            <c:manualLayout>
              <c:xMode val="edge"/>
              <c:yMode val="edge"/>
              <c:x val="8.7885299660310195E-2"/>
              <c:y val="5.471247912192794E-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77092480"/>
        <c:crosses val="autoZero"/>
        <c:crossBetween val="midCat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egendEntry>
        <c:idx val="5"/>
        <c:delete val="1"/>
      </c:legendEntry>
      <c:legendEntry>
        <c:idx val="7"/>
        <c:delete val="1"/>
      </c:legendEntry>
      <c:layout>
        <c:manualLayout>
          <c:xMode val="edge"/>
          <c:yMode val="edge"/>
          <c:x val="3.2277303967810866E-2"/>
          <c:y val="0.66031960210159735"/>
          <c:w val="0.58525268082321003"/>
          <c:h val="0.3147028689953331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>
              <a:latin typeface="Arial Narrow" panose="020B0606020202030204" pitchFamily="34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bg-BG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45583342575136"/>
          <c:y val="5.8417619345698946E-2"/>
          <c:w val="0.8003986297487462"/>
          <c:h val="0.51763032758980443"/>
        </c:manualLayout>
      </c:layout>
      <c:scatterChart>
        <c:scatterStyle val="lineMarker"/>
        <c:varyColors val="0"/>
        <c:ser>
          <c:idx val="0"/>
          <c:order val="0"/>
          <c:tx>
            <c:strRef>
              <c:f>'tehnvzr (4)'!$A$3:$A$4</c:f>
              <c:strCache>
                <c:ptCount val="1"/>
                <c:pt idx="0">
                  <c:v>Ниво І : 120 dB = 20 Pa</c:v>
                </c:pt>
              </c:strCache>
            </c:strRef>
          </c:tx>
          <c:spPr>
            <a:ln w="9525">
              <a:solidFill>
                <a:srgbClr val="92D050"/>
              </a:solidFill>
              <a:prstDash val="solid"/>
            </a:ln>
          </c:spPr>
          <c:marker>
            <c:symbol val="none"/>
          </c:marker>
          <c:xVal>
            <c:numRef>
              <c:f>'tehnvzr (4)'!$B$3:$B$4</c:f>
              <c:numCache>
                <c:formatCode>General</c:formatCode>
                <c:ptCount val="2"/>
                <c:pt idx="0">
                  <c:v>2</c:v>
                </c:pt>
                <c:pt idx="1">
                  <c:v>750</c:v>
                </c:pt>
              </c:numCache>
            </c:numRef>
          </c:xVal>
          <c:yVal>
            <c:numRef>
              <c:f>'tehnvzr (4)'!$C$3:$C$4</c:f>
              <c:numCache>
                <c:formatCode>General</c:formatCode>
                <c:ptCount val="2"/>
                <c:pt idx="0">
                  <c:v>120</c:v>
                </c:pt>
                <c:pt idx="1">
                  <c:v>120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'tehnvzr (4)'!$A$5:$A$6</c:f>
              <c:strCache>
                <c:ptCount val="1"/>
                <c:pt idx="0">
                  <c:v>Ниво ІІ : 128 dB = 50 Pa</c:v>
                </c:pt>
              </c:strCache>
            </c:strRef>
          </c:tx>
          <c:spPr>
            <a:ln w="9525">
              <a:solidFill>
                <a:srgbClr val="00B050"/>
              </a:solidFill>
              <a:prstDash val="solid"/>
            </a:ln>
          </c:spPr>
          <c:marker>
            <c:symbol val="none"/>
          </c:marker>
          <c:xVal>
            <c:numRef>
              <c:f>'tehnvzr (4)'!$B$5:$B$6</c:f>
              <c:numCache>
                <c:formatCode>General</c:formatCode>
                <c:ptCount val="2"/>
                <c:pt idx="0">
                  <c:v>2</c:v>
                </c:pt>
                <c:pt idx="1">
                  <c:v>750</c:v>
                </c:pt>
              </c:numCache>
            </c:numRef>
          </c:xVal>
          <c:yVal>
            <c:numRef>
              <c:f>'tehnvzr (4)'!$C$5:$C$6</c:f>
              <c:numCache>
                <c:formatCode>General</c:formatCode>
                <c:ptCount val="2"/>
                <c:pt idx="0">
                  <c:v>128</c:v>
                </c:pt>
                <c:pt idx="1">
                  <c:v>128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'tehnvzr (4)'!$A$7:$A$8</c:f>
              <c:strCache>
                <c:ptCount val="1"/>
                <c:pt idx="0">
                  <c:v>Ниво ІІІ : 134 dB = 100 Pa</c:v>
                </c:pt>
              </c:strCache>
            </c:strRef>
          </c:tx>
          <c:spPr>
            <a:ln w="9525">
              <a:solidFill>
                <a:srgbClr val="0070C0"/>
              </a:solidFill>
              <a:prstDash val="solid"/>
            </a:ln>
          </c:spPr>
          <c:marker>
            <c:symbol val="none"/>
          </c:marker>
          <c:xVal>
            <c:numRef>
              <c:f>'tehnvzr (4)'!$B$7:$B$8</c:f>
              <c:numCache>
                <c:formatCode>General</c:formatCode>
                <c:ptCount val="2"/>
                <c:pt idx="0">
                  <c:v>2</c:v>
                </c:pt>
                <c:pt idx="1">
                  <c:v>750</c:v>
                </c:pt>
              </c:numCache>
            </c:numRef>
          </c:xVal>
          <c:yVal>
            <c:numRef>
              <c:f>'tehnvzr (4)'!$C$7:$C$8</c:f>
              <c:numCache>
                <c:formatCode>General</c:formatCode>
                <c:ptCount val="2"/>
                <c:pt idx="0">
                  <c:v>134</c:v>
                </c:pt>
                <c:pt idx="1">
                  <c:v>134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'tehnvzr (4)'!$A$9:$A$10</c:f>
              <c:strCache>
                <c:ptCount val="1"/>
                <c:pt idx="0">
                  <c:v>Ниво ІV : 140 dB = 200 Pa</c:v>
                </c:pt>
              </c:strCache>
            </c:strRef>
          </c:tx>
          <c:spPr>
            <a:ln w="9525">
              <a:solidFill>
                <a:srgbClr val="002060"/>
              </a:solidFill>
              <a:prstDash val="solid"/>
            </a:ln>
          </c:spPr>
          <c:marker>
            <c:symbol val="none"/>
          </c:marker>
          <c:dPt>
            <c:idx val="1"/>
            <c:bubble3D val="0"/>
            <c:spPr>
              <a:ln w="9525">
                <a:solidFill>
                  <a:srgbClr val="002060"/>
                </a:solidFill>
              </a:ln>
            </c:spPr>
          </c:dPt>
          <c:xVal>
            <c:numRef>
              <c:f>'tehnvzr (4)'!$B$9:$B$10</c:f>
              <c:numCache>
                <c:formatCode>0</c:formatCode>
                <c:ptCount val="2"/>
                <c:pt idx="0" formatCode="General">
                  <c:v>2</c:v>
                </c:pt>
                <c:pt idx="1">
                  <c:v>750</c:v>
                </c:pt>
              </c:numCache>
            </c:numRef>
          </c:xVal>
          <c:yVal>
            <c:numRef>
              <c:f>'tehnvzr (4)'!$C$9:$C$10</c:f>
              <c:numCache>
                <c:formatCode>0</c:formatCode>
                <c:ptCount val="2"/>
                <c:pt idx="0">
                  <c:v>140</c:v>
                </c:pt>
                <c:pt idx="1">
                  <c:v>140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'tehnvzr (4)'!$A$11:$A$12</c:f>
              <c:strCache>
                <c:ptCount val="1"/>
                <c:pt idx="0">
                  <c:v>NitroConsult : 142 dB = 250 Pa</c:v>
                </c:pt>
              </c:strCache>
            </c:strRef>
          </c:tx>
          <c:spPr>
            <a:ln w="15875">
              <a:solidFill>
                <a:srgbClr val="FF0000"/>
              </a:solidFill>
              <a:prstDash val="solid"/>
            </a:ln>
          </c:spPr>
          <c:marker>
            <c:symbol val="none"/>
          </c:marker>
          <c:xVal>
            <c:numRef>
              <c:f>'tehnvzr (4)'!$B$11:$B$12</c:f>
              <c:numCache>
                <c:formatCode>0</c:formatCode>
                <c:ptCount val="2"/>
                <c:pt idx="0">
                  <c:v>2</c:v>
                </c:pt>
                <c:pt idx="1">
                  <c:v>750</c:v>
                </c:pt>
              </c:numCache>
            </c:numRef>
          </c:xVal>
          <c:yVal>
            <c:numRef>
              <c:f>'tehnvzr (4)'!$C$11:$C$12</c:f>
              <c:numCache>
                <c:formatCode>0</c:formatCode>
                <c:ptCount val="2"/>
                <c:pt idx="0">
                  <c:v>142</c:v>
                </c:pt>
                <c:pt idx="1">
                  <c:v>142</c:v>
                </c:pt>
              </c:numCache>
            </c:numRef>
          </c:yVal>
          <c:smooth val="0"/>
        </c:ser>
        <c:ser>
          <c:idx val="10"/>
          <c:order val="5"/>
          <c:tx>
            <c:strRef>
              <c:f>'tehnvzr (4)'!$A$13:$A$14</c:f>
              <c:strCache>
                <c:ptCount val="1"/>
                <c:pt idx="0">
                  <c:v>1% счупени стъкла: 146 dB = 400 Pa</c:v>
                </c:pt>
              </c:strCache>
            </c:strRef>
          </c:tx>
          <c:spPr>
            <a:ln w="9525">
              <a:solidFill>
                <a:schemeClr val="bg2">
                  <a:lumMod val="25000"/>
                </a:schemeClr>
              </a:solidFill>
            </a:ln>
          </c:spPr>
          <c:dPt>
            <c:idx val="0"/>
            <c:marker>
              <c:symbol val="none"/>
            </c:marker>
            <c:bubble3D val="0"/>
          </c:dPt>
          <c:dPt>
            <c:idx val="1"/>
            <c:marker>
              <c:symbol val="none"/>
            </c:marker>
            <c:bubble3D val="0"/>
          </c:dPt>
          <c:xVal>
            <c:numRef>
              <c:f>'tehnvzr (4)'!$B$13:$B$14</c:f>
              <c:numCache>
                <c:formatCode>0</c:formatCode>
                <c:ptCount val="2"/>
                <c:pt idx="0">
                  <c:v>2</c:v>
                </c:pt>
                <c:pt idx="1">
                  <c:v>750</c:v>
                </c:pt>
              </c:numCache>
            </c:numRef>
          </c:xVal>
          <c:yVal>
            <c:numRef>
              <c:f>'tehnvzr (4)'!$C$13:$C$14</c:f>
              <c:numCache>
                <c:formatCode>0</c:formatCode>
                <c:ptCount val="2"/>
                <c:pt idx="0">
                  <c:v>146</c:v>
                </c:pt>
                <c:pt idx="1">
                  <c:v>146</c:v>
                </c:pt>
              </c:numCache>
            </c:numRef>
          </c:yVal>
          <c:smooth val="0"/>
        </c:ser>
        <c:ser>
          <c:idx val="5"/>
          <c:order val="6"/>
          <c:tx>
            <c:strRef>
              <c:f>'tehnvzr (4)'!$A$15:$A$16</c:f>
              <c:strCache>
                <c:ptCount val="1"/>
                <c:pt idx="0">
                  <c:v>Ниво V : 148 dB = 500 Pa</c:v>
                </c:pt>
              </c:strCache>
            </c:strRef>
          </c:tx>
          <c:spPr>
            <a:ln w="9525">
              <a:solidFill>
                <a:srgbClr val="FF6600"/>
              </a:solidFill>
              <a:prstDash val="solid"/>
            </a:ln>
          </c:spPr>
          <c:marker>
            <c:symbol val="none"/>
          </c:marker>
          <c:dPt>
            <c:idx val="0"/>
            <c:bubble3D val="0"/>
          </c:dPt>
          <c:dPt>
            <c:idx val="1"/>
            <c:bubble3D val="0"/>
          </c:dPt>
          <c:xVal>
            <c:numRef>
              <c:f>'tehnvzr (4)'!$B$15:$B$16</c:f>
              <c:numCache>
                <c:formatCode>0</c:formatCode>
                <c:ptCount val="2"/>
                <c:pt idx="0">
                  <c:v>2</c:v>
                </c:pt>
                <c:pt idx="1">
                  <c:v>750</c:v>
                </c:pt>
              </c:numCache>
            </c:numRef>
          </c:xVal>
          <c:yVal>
            <c:numRef>
              <c:f>'tehnvzr (4)'!$C$15:$C$16</c:f>
              <c:numCache>
                <c:formatCode>0</c:formatCode>
                <c:ptCount val="2"/>
                <c:pt idx="0">
                  <c:v>148</c:v>
                </c:pt>
                <c:pt idx="1">
                  <c:v>148</c:v>
                </c:pt>
              </c:numCache>
            </c:numRef>
          </c:yVal>
          <c:smooth val="0"/>
        </c:ser>
        <c:ser>
          <c:idx val="6"/>
          <c:order val="7"/>
          <c:tx>
            <c:strRef>
              <c:f>'tehnvzr (4)'!$A$18</c:f>
              <c:strCache>
                <c:ptCount val="1"/>
                <c:pt idx="0">
                  <c:v>Технологични взривявания</c:v>
                </c:pt>
              </c:strCache>
            </c:strRef>
          </c:tx>
          <c:spPr>
            <a:ln w="9525">
              <a:noFill/>
            </a:ln>
          </c:spPr>
          <c:marker>
            <c:symbol val="none"/>
          </c:marker>
          <c:trendline>
            <c:name>Blastware</c:name>
            <c:trendlineType val="power"/>
            <c:dispRSqr val="0"/>
            <c:dispEq val="1"/>
            <c:trendlineLbl>
              <c:layout>
                <c:manualLayout>
                  <c:x val="0.36553408376769803"/>
                  <c:y val="0.39280542875879537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Зависимост </a:t>
                    </a:r>
                    <a:endParaRPr lang="en-US"/>
                  </a:p>
                  <a:p>
                    <a:pPr>
                      <a:defRPr/>
                    </a:pPr>
                    <a:r>
                      <a:rPr lang="en-US"/>
                      <a:t>Blastware</a:t>
                    </a:r>
                  </a:p>
                  <a:p>
                    <a:pPr>
                      <a:defRPr/>
                    </a:pPr>
                    <a:r>
                      <a:rPr lang="en-US"/>
                      <a:t>y = 195,61x</a:t>
                    </a:r>
                    <a:r>
                      <a:rPr lang="en-US" baseline="30000"/>
                      <a:t>-0,082</a:t>
                    </a:r>
                  </a:p>
                </c:rich>
              </c:tx>
              <c:numFmt formatCode="General" sourceLinked="0"/>
              <c:spPr>
                <a:ln>
                  <a:solidFill>
                    <a:schemeClr val="tx1"/>
                  </a:solidFill>
                </a:ln>
              </c:spPr>
            </c:trendlineLbl>
          </c:trendline>
          <c:xVal>
            <c:numRef>
              <c:f>'tehnvzr (4)'!$B$18:$B$24</c:f>
              <c:numCache>
                <c:formatCode>General</c:formatCode>
                <c:ptCount val="7"/>
                <c:pt idx="0">
                  <c:v>89.055999999999997</c:v>
                </c:pt>
                <c:pt idx="1">
                  <c:v>54.62</c:v>
                </c:pt>
                <c:pt idx="2">
                  <c:v>105.27</c:v>
                </c:pt>
                <c:pt idx="3">
                  <c:v>45.83</c:v>
                </c:pt>
                <c:pt idx="4">
                  <c:v>55.61</c:v>
                </c:pt>
                <c:pt idx="5">
                  <c:v>65.900000000000006</c:v>
                </c:pt>
                <c:pt idx="6">
                  <c:v>50.32</c:v>
                </c:pt>
              </c:numCache>
            </c:numRef>
          </c:xVal>
          <c:yVal>
            <c:numRef>
              <c:f>'tehnvzr (4)'!$D$18:$D$24</c:f>
              <c:numCache>
                <c:formatCode>General</c:formatCode>
                <c:ptCount val="7"/>
                <c:pt idx="0">
                  <c:v>135.36882895201001</c:v>
                </c:pt>
                <c:pt idx="1">
                  <c:v>140.90558716463391</c:v>
                </c:pt>
                <c:pt idx="2">
                  <c:v>133.52484238649524</c:v>
                </c:pt>
                <c:pt idx="3">
                  <c:v>142.94756595263809</c:v>
                </c:pt>
                <c:pt idx="4">
                  <c:v>140.69819167043798</c:v>
                </c:pt>
                <c:pt idx="5">
                  <c:v>138.75302148176229</c:v>
                </c:pt>
                <c:pt idx="6">
                  <c:v>141.85619977019547</c:v>
                </c:pt>
              </c:numCache>
            </c:numRef>
          </c:yVal>
          <c:smooth val="0"/>
        </c:ser>
        <c:ser>
          <c:idx val="7"/>
          <c:order val="8"/>
          <c:tx>
            <c:strRef>
              <c:f>'tehnvzr (4)'!$A$18</c:f>
              <c:strCache>
                <c:ptCount val="1"/>
                <c:pt idx="0">
                  <c:v>Технологични взривявания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trendline>
            <c:name>Технологични взривявания</c:name>
            <c:spPr>
              <a:ln>
                <a:solidFill>
                  <a:schemeClr val="accent1"/>
                </a:solidFill>
              </a:ln>
            </c:spPr>
            <c:trendlineType val="power"/>
            <c:dispRSqr val="0"/>
            <c:dispEq val="1"/>
            <c:trendlineLbl>
              <c:layout>
                <c:manualLayout>
                  <c:x val="0.36079745350980064"/>
                  <c:y val="0.2560875366520607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Технологични</a:t>
                    </a:r>
                  </a:p>
                  <a:p>
                    <a:pPr>
                      <a:defRPr/>
                    </a:pPr>
                    <a:r>
                      <a:rPr lang="bg-BG"/>
                      <a:t>взривявания</a:t>
                    </a:r>
                  </a:p>
                  <a:p>
                    <a:pPr>
                      <a:defRPr/>
                    </a:pPr>
                    <a:r>
                      <a:rPr lang="en-US"/>
                      <a:t>y = 188,18x</a:t>
                    </a:r>
                    <a:r>
                      <a:rPr lang="en-US" baseline="30000"/>
                      <a:t>-0,075</a:t>
                    </a:r>
                  </a:p>
                </c:rich>
              </c:tx>
              <c:numFmt formatCode="General" sourceLinked="0"/>
              <c:spPr>
                <a:ln>
                  <a:solidFill>
                    <a:schemeClr val="tx1"/>
                  </a:solidFill>
                </a:ln>
              </c:spPr>
            </c:trendlineLbl>
          </c:trendline>
          <c:xVal>
            <c:numRef>
              <c:f>'tehnvzr (4)'!$B$18:$B$24</c:f>
              <c:numCache>
                <c:formatCode>General</c:formatCode>
                <c:ptCount val="7"/>
                <c:pt idx="0">
                  <c:v>89.055999999999997</c:v>
                </c:pt>
                <c:pt idx="1">
                  <c:v>54.62</c:v>
                </c:pt>
                <c:pt idx="2">
                  <c:v>105.27</c:v>
                </c:pt>
                <c:pt idx="3">
                  <c:v>45.83</c:v>
                </c:pt>
                <c:pt idx="4">
                  <c:v>55.61</c:v>
                </c:pt>
                <c:pt idx="5">
                  <c:v>65.900000000000006</c:v>
                </c:pt>
                <c:pt idx="6">
                  <c:v>50.32</c:v>
                </c:pt>
              </c:numCache>
            </c:numRef>
          </c:xVal>
          <c:yVal>
            <c:numRef>
              <c:f>'tehnvzr (4)'!$C$18:$C$24</c:f>
              <c:numCache>
                <c:formatCode>0.0</c:formatCode>
                <c:ptCount val="7"/>
                <c:pt idx="0">
                  <c:v>138.19999999999999</c:v>
                </c:pt>
                <c:pt idx="1">
                  <c:v>141</c:v>
                </c:pt>
                <c:pt idx="2">
                  <c:v>132.30000000000001</c:v>
                </c:pt>
                <c:pt idx="3">
                  <c:v>147.6</c:v>
                </c:pt>
                <c:pt idx="4">
                  <c:v>141</c:v>
                </c:pt>
                <c:pt idx="5">
                  <c:v>133.30000000000001</c:v>
                </c:pt>
                <c:pt idx="6">
                  <c:v>133.6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2022912"/>
        <c:axId val="182024448"/>
      </c:scatterChart>
      <c:valAx>
        <c:axId val="182022912"/>
        <c:scaling>
          <c:logBase val="10"/>
          <c:orientation val="minMax"/>
          <c:max val="2000"/>
          <c:min val="1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chemeClr val="tx1">
                  <a:lumMod val="50000"/>
                  <a:lumOff val="50000"/>
                </a:schemeClr>
              </a:solidFill>
              <a:prstDash val="solid"/>
            </a:ln>
          </c:spPr>
        </c:minorGridlines>
        <c:numFmt formatCode="0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82024448"/>
        <c:crossesAt val="1"/>
        <c:crossBetween val="midCat"/>
      </c:valAx>
      <c:valAx>
        <c:axId val="182024448"/>
        <c:scaling>
          <c:logBase val="10"/>
          <c:orientation val="minMax"/>
          <c:max val="1000"/>
          <c:min val="100"/>
        </c:scaling>
        <c:delete val="0"/>
        <c:axPos val="l"/>
        <c:minorGridlines>
          <c:spPr>
            <a:ln w="3175">
              <a:solidFill>
                <a:schemeClr val="tx1">
                  <a:lumMod val="75000"/>
                  <a:lumOff val="25000"/>
                </a:schemeClr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en-US"/>
                  <a:t>dB(L)</a:t>
                </a:r>
              </a:p>
            </c:rich>
          </c:tx>
          <c:layout>
            <c:manualLayout>
              <c:xMode val="edge"/>
              <c:yMode val="edge"/>
              <c:x val="9.0375833904420916E-2"/>
              <c:y val="1.9741099012134545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82022912"/>
        <c:crosses val="autoZero"/>
        <c:crossBetween val="midCat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egendEntry>
        <c:idx val="5"/>
        <c:delete val="1"/>
      </c:legendEntry>
      <c:legendEntry>
        <c:idx val="7"/>
        <c:delete val="1"/>
      </c:legendEntry>
      <c:legendEntry>
        <c:idx val="8"/>
        <c:delete val="1"/>
      </c:legendEntry>
      <c:layout>
        <c:manualLayout>
          <c:xMode val="edge"/>
          <c:yMode val="edge"/>
          <c:x val="2.9934198366049315E-2"/>
          <c:y val="0.6714056271208777"/>
          <c:w val="0.59530146759824032"/>
          <c:h val="0.3139099375130409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Times New Roman Cyr"/>
          <a:cs typeface="Times New Roman Cyr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55643830364716"/>
          <c:y val="4.7907083333333336E-2"/>
          <c:w val="0.803548271306048"/>
          <c:h val="0.48703560647700084"/>
        </c:manualLayout>
      </c:layout>
      <c:scatterChart>
        <c:scatterStyle val="lineMarker"/>
        <c:varyColors val="0"/>
        <c:ser>
          <c:idx val="8"/>
          <c:order val="0"/>
          <c:tx>
            <c:strRef>
              <c:f>приложимост!$A$18</c:f>
              <c:strCache>
                <c:ptCount val="1"/>
                <c:pt idx="0">
                  <c:v>Технологични взривявания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trendline>
            <c:name>Технологични взривявания - тенденция</c:name>
            <c:trendlineType val="power"/>
            <c:dispRSqr val="0"/>
            <c:dispEq val="0"/>
          </c:trendline>
          <c:xVal>
            <c:numRef>
              <c:f>приложимост!$B$18:$B$24</c:f>
              <c:numCache>
                <c:formatCode>General</c:formatCode>
                <c:ptCount val="7"/>
                <c:pt idx="0">
                  <c:v>89.055999999999997</c:v>
                </c:pt>
                <c:pt idx="1">
                  <c:v>54.62</c:v>
                </c:pt>
                <c:pt idx="2">
                  <c:v>105.27</c:v>
                </c:pt>
                <c:pt idx="3">
                  <c:v>45.83</c:v>
                </c:pt>
                <c:pt idx="4">
                  <c:v>55.61</c:v>
                </c:pt>
                <c:pt idx="5">
                  <c:v>65.900000000000006</c:v>
                </c:pt>
                <c:pt idx="6">
                  <c:v>50.32</c:v>
                </c:pt>
              </c:numCache>
            </c:numRef>
          </c:xVal>
          <c:yVal>
            <c:numRef>
              <c:f>приложимост!$C$18:$C$24</c:f>
              <c:numCache>
                <c:formatCode>0.0</c:formatCode>
                <c:ptCount val="7"/>
                <c:pt idx="0">
                  <c:v>138.19999999999999</c:v>
                </c:pt>
                <c:pt idx="1">
                  <c:v>141</c:v>
                </c:pt>
                <c:pt idx="2">
                  <c:v>132.30000000000001</c:v>
                </c:pt>
                <c:pt idx="3">
                  <c:v>147.6</c:v>
                </c:pt>
                <c:pt idx="4">
                  <c:v>141</c:v>
                </c:pt>
                <c:pt idx="5">
                  <c:v>133.30000000000001</c:v>
                </c:pt>
                <c:pt idx="6">
                  <c:v>133.6</c:v>
                </c:pt>
              </c:numCache>
            </c:numRef>
          </c:yVal>
          <c:smooth val="0"/>
        </c:ser>
        <c:ser>
          <c:idx val="9"/>
          <c:order val="1"/>
          <c:tx>
            <c:strRef>
              <c:f>приложимост!$A$39</c:f>
              <c:strCache>
                <c:ptCount val="1"/>
                <c:pt idx="0">
                  <c:v>R = 700 m; Q = 95 kg</c:v>
                </c:pt>
              </c:strCache>
            </c:strRef>
          </c:tx>
          <c:spPr>
            <a:ln w="12700">
              <a:noFill/>
              <a:prstDash val="dashDot"/>
            </a:ln>
          </c:spPr>
          <c:marker>
            <c:symbol val="triangle"/>
            <c:size val="7"/>
          </c:marker>
          <c:xVal>
            <c:numRef>
              <c:f>приложимост!$B$39</c:f>
              <c:numCache>
                <c:formatCode>General</c:formatCode>
                <c:ptCount val="1"/>
                <c:pt idx="0">
                  <c:v>153.41</c:v>
                </c:pt>
              </c:numCache>
            </c:numRef>
          </c:xVal>
          <c:yVal>
            <c:numRef>
              <c:f>приложимост!$C$39</c:f>
              <c:numCache>
                <c:formatCode>0.0</c:formatCode>
                <c:ptCount val="1"/>
                <c:pt idx="0">
                  <c:v>129.01</c:v>
                </c:pt>
              </c:numCache>
            </c:numRef>
          </c:yVal>
          <c:smooth val="0"/>
        </c:ser>
        <c:ser>
          <c:idx val="7"/>
          <c:order val="2"/>
          <c:tx>
            <c:strRef>
              <c:f>приложимост!$A$41</c:f>
              <c:strCache>
                <c:ptCount val="1"/>
                <c:pt idx="0">
                  <c:v>R = 1350 m; Q = 95 kg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7"/>
          </c:marker>
          <c:xVal>
            <c:numRef>
              <c:f>приложимост!$B$41</c:f>
              <c:numCache>
                <c:formatCode>General</c:formatCode>
                <c:ptCount val="1"/>
                <c:pt idx="0">
                  <c:v>295.86</c:v>
                </c:pt>
              </c:numCache>
            </c:numRef>
          </c:xVal>
          <c:yVal>
            <c:numRef>
              <c:f>приложимост!$C$41</c:f>
              <c:numCache>
                <c:formatCode>0.0</c:formatCode>
                <c:ptCount val="1"/>
                <c:pt idx="0">
                  <c:v>122.81</c:v>
                </c:pt>
              </c:numCache>
            </c:numRef>
          </c:yVal>
          <c:smooth val="0"/>
        </c:ser>
        <c:ser>
          <c:idx val="6"/>
          <c:order val="3"/>
          <c:tx>
            <c:strRef>
              <c:f>приложимост!$A$40</c:f>
              <c:strCache>
                <c:ptCount val="1"/>
                <c:pt idx="0">
                  <c:v>R = 700 m; Q = 190 kg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7"/>
          </c:marker>
          <c:xVal>
            <c:numRef>
              <c:f>приложимост!$B$40</c:f>
              <c:numCache>
                <c:formatCode>General</c:formatCode>
                <c:ptCount val="1"/>
                <c:pt idx="0">
                  <c:v>121.76</c:v>
                </c:pt>
              </c:numCache>
            </c:numRef>
          </c:xVal>
          <c:yVal>
            <c:numRef>
              <c:f>приложимост!$C$40</c:f>
              <c:numCache>
                <c:formatCode>0.0</c:formatCode>
                <c:ptCount val="1"/>
                <c:pt idx="0">
                  <c:v>131.26900000000001</c:v>
                </c:pt>
              </c:numCache>
            </c:numRef>
          </c:yVal>
          <c:smooth val="0"/>
        </c:ser>
        <c:ser>
          <c:idx val="11"/>
          <c:order val="4"/>
          <c:tx>
            <c:strRef>
              <c:f>приложимост!$A$42</c:f>
              <c:strCache>
                <c:ptCount val="1"/>
                <c:pt idx="0">
                  <c:v>R = 1350 m; Q = 190 kg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7"/>
          </c:marker>
          <c:xVal>
            <c:numRef>
              <c:f>приложимост!$B$42</c:f>
              <c:numCache>
                <c:formatCode>General</c:formatCode>
                <c:ptCount val="1"/>
                <c:pt idx="0">
                  <c:v>234.828</c:v>
                </c:pt>
              </c:numCache>
            </c:numRef>
          </c:xVal>
          <c:yVal>
            <c:numRef>
              <c:f>приложимост!$C$42</c:f>
              <c:numCache>
                <c:formatCode>0.0</c:formatCode>
                <c:ptCount val="1"/>
                <c:pt idx="0">
                  <c:v>124.97</c:v>
                </c:pt>
              </c:numCache>
            </c:numRef>
          </c:yVal>
          <c:smooth val="0"/>
        </c:ser>
        <c:ser>
          <c:idx val="0"/>
          <c:order val="5"/>
          <c:tx>
            <c:strRef>
              <c:f>приложимост!$A$3:$A$4</c:f>
              <c:strCache>
                <c:ptCount val="1"/>
                <c:pt idx="0">
                  <c:v>Ниво І : 120 dB = 20 Pa</c:v>
                </c:pt>
              </c:strCache>
            </c:strRef>
          </c:tx>
          <c:spPr>
            <a:ln w="9525">
              <a:solidFill>
                <a:srgbClr val="92D050"/>
              </a:solidFill>
              <a:prstDash val="solid"/>
            </a:ln>
          </c:spPr>
          <c:marker>
            <c:symbol val="none"/>
          </c:marker>
          <c:xVal>
            <c:numRef>
              <c:f>приложимост!$B$3:$B$4</c:f>
              <c:numCache>
                <c:formatCode>General</c:formatCode>
                <c:ptCount val="2"/>
                <c:pt idx="0">
                  <c:v>2</c:v>
                </c:pt>
                <c:pt idx="1">
                  <c:v>750</c:v>
                </c:pt>
              </c:numCache>
            </c:numRef>
          </c:xVal>
          <c:yVal>
            <c:numRef>
              <c:f>приложимост!$C$3:$C$4</c:f>
              <c:numCache>
                <c:formatCode>General</c:formatCode>
                <c:ptCount val="2"/>
                <c:pt idx="0">
                  <c:v>120</c:v>
                </c:pt>
                <c:pt idx="1">
                  <c:v>120</c:v>
                </c:pt>
              </c:numCache>
            </c:numRef>
          </c:yVal>
          <c:smooth val="0"/>
        </c:ser>
        <c:ser>
          <c:idx val="1"/>
          <c:order val="6"/>
          <c:tx>
            <c:strRef>
              <c:f>приложимост!$A$5:$A$6</c:f>
              <c:strCache>
                <c:ptCount val="1"/>
                <c:pt idx="0">
                  <c:v>Ниво ІІ : 128 dB = 50 Pa</c:v>
                </c:pt>
              </c:strCache>
            </c:strRef>
          </c:tx>
          <c:spPr>
            <a:ln w="9525">
              <a:solidFill>
                <a:srgbClr val="00B050"/>
              </a:solidFill>
              <a:prstDash val="solid"/>
            </a:ln>
          </c:spPr>
          <c:marker>
            <c:symbol val="none"/>
          </c:marker>
          <c:xVal>
            <c:numRef>
              <c:f>приложимост!$B$5:$B$6</c:f>
              <c:numCache>
                <c:formatCode>General</c:formatCode>
                <c:ptCount val="2"/>
                <c:pt idx="0">
                  <c:v>2</c:v>
                </c:pt>
                <c:pt idx="1">
                  <c:v>750</c:v>
                </c:pt>
              </c:numCache>
            </c:numRef>
          </c:xVal>
          <c:yVal>
            <c:numRef>
              <c:f>приложимост!$C$5:$C$6</c:f>
              <c:numCache>
                <c:formatCode>General</c:formatCode>
                <c:ptCount val="2"/>
                <c:pt idx="0">
                  <c:v>128</c:v>
                </c:pt>
                <c:pt idx="1">
                  <c:v>128</c:v>
                </c:pt>
              </c:numCache>
            </c:numRef>
          </c:yVal>
          <c:smooth val="0"/>
        </c:ser>
        <c:ser>
          <c:idx val="2"/>
          <c:order val="7"/>
          <c:tx>
            <c:strRef>
              <c:f>приложимост!$A$7:$A$8</c:f>
              <c:strCache>
                <c:ptCount val="1"/>
                <c:pt idx="0">
                  <c:v>Ниво ІІІ : 134 dB = 100 Pa</c:v>
                </c:pt>
              </c:strCache>
            </c:strRef>
          </c:tx>
          <c:spPr>
            <a:ln w="9525">
              <a:solidFill>
                <a:srgbClr val="0070C0"/>
              </a:solidFill>
              <a:prstDash val="solid"/>
            </a:ln>
          </c:spPr>
          <c:marker>
            <c:symbol val="none"/>
          </c:marker>
          <c:xVal>
            <c:numRef>
              <c:f>приложимост!$B$7:$B$8</c:f>
              <c:numCache>
                <c:formatCode>General</c:formatCode>
                <c:ptCount val="2"/>
                <c:pt idx="0">
                  <c:v>2</c:v>
                </c:pt>
                <c:pt idx="1">
                  <c:v>750</c:v>
                </c:pt>
              </c:numCache>
            </c:numRef>
          </c:xVal>
          <c:yVal>
            <c:numRef>
              <c:f>приложимост!$C$7:$C$8</c:f>
              <c:numCache>
                <c:formatCode>General</c:formatCode>
                <c:ptCount val="2"/>
                <c:pt idx="0">
                  <c:v>134</c:v>
                </c:pt>
                <c:pt idx="1">
                  <c:v>134</c:v>
                </c:pt>
              </c:numCache>
            </c:numRef>
          </c:yVal>
          <c:smooth val="0"/>
        </c:ser>
        <c:ser>
          <c:idx val="3"/>
          <c:order val="8"/>
          <c:tx>
            <c:strRef>
              <c:f>приложимост!$A$9:$A$10</c:f>
              <c:strCache>
                <c:ptCount val="1"/>
                <c:pt idx="0">
                  <c:v>Ниво ІV : 140 dB = 200 Pa</c:v>
                </c:pt>
              </c:strCache>
            </c:strRef>
          </c:tx>
          <c:spPr>
            <a:ln w="9525">
              <a:solidFill>
                <a:srgbClr val="002060"/>
              </a:solidFill>
              <a:prstDash val="solid"/>
            </a:ln>
          </c:spPr>
          <c:marker>
            <c:symbol val="none"/>
          </c:marker>
          <c:dPt>
            <c:idx val="1"/>
            <c:bubble3D val="0"/>
            <c:spPr>
              <a:ln w="9525">
                <a:solidFill>
                  <a:srgbClr val="002060"/>
                </a:solidFill>
              </a:ln>
            </c:spPr>
          </c:dPt>
          <c:xVal>
            <c:numRef>
              <c:f>приложимост!$B$9:$B$10</c:f>
              <c:numCache>
                <c:formatCode>0</c:formatCode>
                <c:ptCount val="2"/>
                <c:pt idx="0" formatCode="General">
                  <c:v>2</c:v>
                </c:pt>
                <c:pt idx="1">
                  <c:v>750</c:v>
                </c:pt>
              </c:numCache>
            </c:numRef>
          </c:xVal>
          <c:yVal>
            <c:numRef>
              <c:f>приложимост!$C$9:$C$10</c:f>
              <c:numCache>
                <c:formatCode>0</c:formatCode>
                <c:ptCount val="2"/>
                <c:pt idx="0">
                  <c:v>140</c:v>
                </c:pt>
                <c:pt idx="1">
                  <c:v>140</c:v>
                </c:pt>
              </c:numCache>
            </c:numRef>
          </c:yVal>
          <c:smooth val="0"/>
        </c:ser>
        <c:ser>
          <c:idx val="4"/>
          <c:order val="9"/>
          <c:tx>
            <c:strRef>
              <c:f>приложимост!$A$11:$A$12</c:f>
              <c:strCache>
                <c:ptCount val="1"/>
                <c:pt idx="0">
                  <c:v>NitroConsult : 142 dB = 250 Pa</c:v>
                </c:pt>
              </c:strCache>
            </c:strRef>
          </c:tx>
          <c:spPr>
            <a:ln w="15875">
              <a:solidFill>
                <a:srgbClr val="FF0000"/>
              </a:solidFill>
              <a:prstDash val="solid"/>
            </a:ln>
          </c:spPr>
          <c:marker>
            <c:symbol val="none"/>
          </c:marker>
          <c:xVal>
            <c:numRef>
              <c:f>приложимост!$B$11:$B$12</c:f>
              <c:numCache>
                <c:formatCode>0</c:formatCode>
                <c:ptCount val="2"/>
                <c:pt idx="0">
                  <c:v>2</c:v>
                </c:pt>
                <c:pt idx="1">
                  <c:v>750</c:v>
                </c:pt>
              </c:numCache>
            </c:numRef>
          </c:xVal>
          <c:yVal>
            <c:numRef>
              <c:f>приложимост!$C$11:$C$12</c:f>
              <c:numCache>
                <c:formatCode>0</c:formatCode>
                <c:ptCount val="2"/>
                <c:pt idx="0">
                  <c:v>142</c:v>
                </c:pt>
                <c:pt idx="1">
                  <c:v>142</c:v>
                </c:pt>
              </c:numCache>
            </c:numRef>
          </c:yVal>
          <c:smooth val="0"/>
        </c:ser>
        <c:ser>
          <c:idx val="10"/>
          <c:order val="10"/>
          <c:tx>
            <c:strRef>
              <c:f>приложимост!$A$13:$A$14</c:f>
              <c:strCache>
                <c:ptCount val="1"/>
                <c:pt idx="0">
                  <c:v>1% счупени стъкла: 146 dB = 400 Pa</c:v>
                </c:pt>
              </c:strCache>
            </c:strRef>
          </c:tx>
          <c:spPr>
            <a:ln w="9525">
              <a:solidFill>
                <a:schemeClr val="bg2">
                  <a:lumMod val="25000"/>
                </a:schemeClr>
              </a:solidFill>
            </a:ln>
          </c:spPr>
          <c:marker>
            <c:symbol val="none"/>
          </c:marker>
          <c:dPt>
            <c:idx val="0"/>
            <c:bubble3D val="0"/>
          </c:dPt>
          <c:dPt>
            <c:idx val="1"/>
            <c:bubble3D val="0"/>
          </c:dPt>
          <c:xVal>
            <c:numRef>
              <c:f>приложимост!$B$13:$B$14</c:f>
              <c:numCache>
                <c:formatCode>0</c:formatCode>
                <c:ptCount val="2"/>
                <c:pt idx="0">
                  <c:v>2</c:v>
                </c:pt>
                <c:pt idx="1">
                  <c:v>750</c:v>
                </c:pt>
              </c:numCache>
            </c:numRef>
          </c:xVal>
          <c:yVal>
            <c:numRef>
              <c:f>приложимост!$C$13:$C$14</c:f>
              <c:numCache>
                <c:formatCode>0</c:formatCode>
                <c:ptCount val="2"/>
                <c:pt idx="0">
                  <c:v>146</c:v>
                </c:pt>
                <c:pt idx="1">
                  <c:v>146</c:v>
                </c:pt>
              </c:numCache>
            </c:numRef>
          </c:yVal>
          <c:smooth val="0"/>
        </c:ser>
        <c:ser>
          <c:idx val="5"/>
          <c:order val="11"/>
          <c:tx>
            <c:strRef>
              <c:f>приложимост!$A$15:$A$16</c:f>
              <c:strCache>
                <c:ptCount val="1"/>
                <c:pt idx="0">
                  <c:v>Ниво V : 148 dB = 500 Pa</c:v>
                </c:pt>
              </c:strCache>
            </c:strRef>
          </c:tx>
          <c:spPr>
            <a:ln w="9525">
              <a:solidFill>
                <a:srgbClr val="FF6600"/>
              </a:solidFill>
              <a:prstDash val="solid"/>
            </a:ln>
          </c:spPr>
          <c:marker>
            <c:symbol val="none"/>
          </c:marker>
          <c:dPt>
            <c:idx val="0"/>
            <c:bubble3D val="0"/>
          </c:dPt>
          <c:dPt>
            <c:idx val="1"/>
            <c:bubble3D val="0"/>
          </c:dPt>
          <c:xVal>
            <c:numRef>
              <c:f>приложимост!$B$15:$B$16</c:f>
              <c:numCache>
                <c:formatCode>0</c:formatCode>
                <c:ptCount val="2"/>
                <c:pt idx="0">
                  <c:v>2</c:v>
                </c:pt>
                <c:pt idx="1">
                  <c:v>750</c:v>
                </c:pt>
              </c:numCache>
            </c:numRef>
          </c:xVal>
          <c:yVal>
            <c:numRef>
              <c:f>приложимост!$C$15:$C$16</c:f>
              <c:numCache>
                <c:formatCode>0</c:formatCode>
                <c:ptCount val="2"/>
                <c:pt idx="0">
                  <c:v>148</c:v>
                </c:pt>
                <c:pt idx="1">
                  <c:v>148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2380416"/>
        <c:axId val="182381952"/>
      </c:scatterChart>
      <c:valAx>
        <c:axId val="182380416"/>
        <c:scaling>
          <c:logBase val="10"/>
          <c:orientation val="minMax"/>
          <c:max val="2000"/>
          <c:min val="1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chemeClr val="tx1">
                  <a:lumMod val="50000"/>
                  <a:lumOff val="50000"/>
                </a:schemeClr>
              </a:solidFill>
              <a:prstDash val="solid"/>
            </a:ln>
          </c:spPr>
        </c:minorGridlines>
        <c:numFmt formatCode="0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82381952"/>
        <c:crossesAt val="1"/>
        <c:crossBetween val="midCat"/>
      </c:valAx>
      <c:valAx>
        <c:axId val="182381952"/>
        <c:scaling>
          <c:logBase val="10"/>
          <c:orientation val="minMax"/>
          <c:max val="1000"/>
          <c:min val="100"/>
        </c:scaling>
        <c:delete val="0"/>
        <c:axPos val="l"/>
        <c:minorGridlines>
          <c:spPr>
            <a:ln w="3175">
              <a:solidFill>
                <a:schemeClr val="tx1">
                  <a:lumMod val="75000"/>
                  <a:lumOff val="25000"/>
                </a:schemeClr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en-US"/>
                  <a:t>dB(L)</a:t>
                </a:r>
              </a:p>
            </c:rich>
          </c:tx>
          <c:layout>
            <c:manualLayout>
              <c:xMode val="edge"/>
              <c:yMode val="edge"/>
              <c:x val="8.972323329866784E-2"/>
              <c:y val="7.5763725410612332E-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82380416"/>
        <c:crosses val="autoZero"/>
        <c:crossBetween val="midCat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egendEntry>
        <c:idx val="0"/>
        <c:delete val="1"/>
      </c:legendEntry>
      <c:legendEntry>
        <c:idx val="10"/>
        <c:delete val="1"/>
      </c:legendEntry>
      <c:legendEntry>
        <c:idx val="12"/>
        <c:delete val="1"/>
      </c:legendEntry>
      <c:layout>
        <c:manualLayout>
          <c:xMode val="edge"/>
          <c:yMode val="edge"/>
          <c:x val="0.13011123002828531"/>
          <c:y val="0.62593504719526527"/>
          <c:w val="0.7952366027062151"/>
          <c:h val="0.3618773929061619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>
              <a:latin typeface="Arial Narrow" panose="020B0606020202030204" pitchFamily="34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bg-BG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0.3578</cdr:x>
      <cdr:y>0.60123</cdr:y>
    </cdr:from>
    <cdr:to>
      <cdr:x>0.6855</cdr:x>
      <cdr:y>0.65762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27443" y="2433100"/>
          <a:ext cx="849430" cy="228194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0.40006</cdr:x>
      <cdr:y>0.61237</cdr:y>
    </cdr:from>
    <cdr:to>
      <cdr:x>0.60572</cdr:x>
      <cdr:y>0.66879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38758" y="2230457"/>
          <a:ext cx="534009" cy="205504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0.39563</cdr:x>
      <cdr:y>0.57175</cdr:y>
    </cdr:from>
    <cdr:to>
      <cdr:x>0.65645</cdr:x>
      <cdr:y>0.63301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BEBA8EAE-BF5A-486C-A8C5-ECC9F3942E4B}">
              <a14:imgProps xmlns:a14="http://schemas.microsoft.com/office/drawing/2010/main">
                <a14:imgLayer r:embed="rId2">
                  <a14:imgEffect>
                    <a14:sharpenSoften amount="50000"/>
                  </a14:imgEffect>
                </a14:imgLayer>
              </a14:imgProps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35050" y="2254604"/>
          <a:ext cx="682355" cy="24157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3048</TotalTime>
  <Pages>3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Sibila</dc:creator>
  <cp:lastModifiedBy>Rumi-Izdatelstvo</cp:lastModifiedBy>
  <cp:revision>47</cp:revision>
  <cp:lastPrinted>2014-06-23T12:19:00Z</cp:lastPrinted>
  <dcterms:created xsi:type="dcterms:W3CDTF">2014-05-30T11:31:00Z</dcterms:created>
  <dcterms:modified xsi:type="dcterms:W3CDTF">2014-09-30T13:02:00Z</dcterms:modified>
</cp:coreProperties>
</file>