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83" w:rsidRPr="00B100ED" w:rsidRDefault="003B1283" w:rsidP="003B1283">
      <w:pPr>
        <w:rPr>
          <w:rFonts w:ascii="Arial Narrow" w:hAnsi="Arial Narrow" w:cs="Arial"/>
          <w:sz w:val="17"/>
          <w:szCs w:val="17"/>
        </w:rPr>
      </w:pPr>
      <w:proofErr w:type="gramStart"/>
      <w:r w:rsidRPr="00B100ED">
        <w:rPr>
          <w:rFonts w:ascii="Arial Narrow" w:hAnsi="Arial Narrow" w:cs="Arial"/>
          <w:sz w:val="17"/>
          <w:szCs w:val="17"/>
        </w:rPr>
        <w:t>ГОДИШНИК НА МИННО-ГЕОЛОЖКИЯ УНИВЕРСИТЕТ “СВ.</w:t>
      </w:r>
      <w:proofErr w:type="gramEnd"/>
      <w:r w:rsidRPr="00B100ED">
        <w:rPr>
          <w:rFonts w:ascii="Arial Narrow" w:hAnsi="Arial Narrow" w:cs="Arial"/>
          <w:sz w:val="17"/>
          <w:szCs w:val="17"/>
        </w:rPr>
        <w:t xml:space="preserve"> ИВАН РИЛСКИ”, </w:t>
      </w:r>
      <w:proofErr w:type="spellStart"/>
      <w:r w:rsidRPr="00B100ED">
        <w:rPr>
          <w:rFonts w:ascii="Arial Narrow" w:hAnsi="Arial Narrow" w:cs="Arial"/>
          <w:sz w:val="17"/>
          <w:szCs w:val="17"/>
        </w:rPr>
        <w:t>Том</w:t>
      </w:r>
      <w:proofErr w:type="spellEnd"/>
      <w:r w:rsidRPr="00B100ED">
        <w:rPr>
          <w:rFonts w:ascii="Arial Narrow" w:hAnsi="Arial Narrow" w:cs="Arial"/>
          <w:sz w:val="17"/>
          <w:szCs w:val="17"/>
        </w:rPr>
        <w:t xml:space="preserve"> 58, </w:t>
      </w:r>
      <w:proofErr w:type="spellStart"/>
      <w:r w:rsidRPr="00B100ED">
        <w:rPr>
          <w:rFonts w:ascii="Arial Narrow" w:hAnsi="Arial Narrow" w:cs="Arial"/>
          <w:sz w:val="17"/>
          <w:szCs w:val="17"/>
        </w:rPr>
        <w:t>Св</w:t>
      </w:r>
      <w:proofErr w:type="spellEnd"/>
      <w:r w:rsidRPr="00B100ED">
        <w:rPr>
          <w:rFonts w:ascii="Arial Narrow" w:hAnsi="Arial Narrow" w:cs="Arial"/>
          <w:sz w:val="17"/>
          <w:szCs w:val="17"/>
        </w:rPr>
        <w:t xml:space="preserve">. II, </w:t>
      </w:r>
      <w:proofErr w:type="spellStart"/>
      <w:r w:rsidRPr="00B100ED">
        <w:rPr>
          <w:rFonts w:ascii="Arial Narrow" w:hAnsi="Arial Narrow" w:cs="Arial"/>
          <w:sz w:val="17"/>
          <w:szCs w:val="17"/>
        </w:rPr>
        <w:t>Добив</w:t>
      </w:r>
      <w:proofErr w:type="spellEnd"/>
      <w:r w:rsidRPr="00B100ED">
        <w:rPr>
          <w:rFonts w:ascii="Arial Narrow" w:hAnsi="Arial Narrow" w:cs="Arial"/>
          <w:sz w:val="17"/>
          <w:szCs w:val="17"/>
        </w:rPr>
        <w:t xml:space="preserve"> и </w:t>
      </w:r>
      <w:proofErr w:type="spellStart"/>
      <w:r w:rsidRPr="00B100ED">
        <w:rPr>
          <w:rFonts w:ascii="Arial Narrow" w:hAnsi="Arial Narrow" w:cs="Arial"/>
          <w:sz w:val="17"/>
          <w:szCs w:val="17"/>
        </w:rPr>
        <w:t>преработка</w:t>
      </w:r>
      <w:proofErr w:type="spellEnd"/>
      <w:r w:rsidRPr="00B100ED">
        <w:rPr>
          <w:rFonts w:ascii="Arial Narrow" w:hAnsi="Arial Narrow" w:cs="Arial"/>
          <w:sz w:val="17"/>
          <w:szCs w:val="17"/>
        </w:rPr>
        <w:t xml:space="preserve"> </w:t>
      </w:r>
      <w:proofErr w:type="spellStart"/>
      <w:r w:rsidRPr="00B100ED">
        <w:rPr>
          <w:rFonts w:ascii="Arial Narrow" w:hAnsi="Arial Narrow" w:cs="Arial"/>
          <w:sz w:val="17"/>
          <w:szCs w:val="17"/>
        </w:rPr>
        <w:t>на</w:t>
      </w:r>
      <w:proofErr w:type="spellEnd"/>
      <w:r w:rsidRPr="00B100ED">
        <w:rPr>
          <w:rFonts w:ascii="Arial Narrow" w:hAnsi="Arial Narrow" w:cs="Arial"/>
          <w:sz w:val="17"/>
          <w:szCs w:val="17"/>
        </w:rPr>
        <w:t xml:space="preserve"> </w:t>
      </w:r>
      <w:proofErr w:type="spellStart"/>
      <w:r w:rsidRPr="00B100ED">
        <w:rPr>
          <w:rFonts w:ascii="Arial Narrow" w:hAnsi="Arial Narrow" w:cs="Arial"/>
          <w:sz w:val="17"/>
          <w:szCs w:val="17"/>
        </w:rPr>
        <w:t>минерални</w:t>
      </w:r>
      <w:proofErr w:type="spellEnd"/>
      <w:r w:rsidRPr="00B100ED">
        <w:rPr>
          <w:rFonts w:ascii="Arial Narrow" w:hAnsi="Arial Narrow" w:cs="Arial"/>
          <w:sz w:val="17"/>
          <w:szCs w:val="17"/>
        </w:rPr>
        <w:t xml:space="preserve"> </w:t>
      </w:r>
      <w:proofErr w:type="spellStart"/>
      <w:r w:rsidRPr="00B100ED">
        <w:rPr>
          <w:rFonts w:ascii="Arial Narrow" w:hAnsi="Arial Narrow" w:cs="Arial"/>
          <w:sz w:val="17"/>
          <w:szCs w:val="17"/>
        </w:rPr>
        <w:t>суровини</w:t>
      </w:r>
      <w:proofErr w:type="spellEnd"/>
      <w:r w:rsidRPr="00B100ED">
        <w:rPr>
          <w:rFonts w:ascii="Arial Narrow" w:hAnsi="Arial Narrow" w:cs="Arial"/>
          <w:sz w:val="17"/>
          <w:szCs w:val="17"/>
        </w:rPr>
        <w:t>, 2015</w:t>
      </w:r>
    </w:p>
    <w:p w:rsidR="003B1283" w:rsidRPr="00B100ED" w:rsidRDefault="003B1283" w:rsidP="003B1283">
      <w:pPr>
        <w:rPr>
          <w:rFonts w:ascii="Arial Narrow" w:hAnsi="Arial Narrow" w:cs="Arial"/>
          <w:sz w:val="17"/>
          <w:szCs w:val="17"/>
        </w:rPr>
      </w:pPr>
      <w:r w:rsidRPr="00B100ED">
        <w:rPr>
          <w:rFonts w:ascii="Arial Narrow" w:hAnsi="Arial Narrow" w:cs="Arial"/>
          <w:sz w:val="17"/>
          <w:szCs w:val="17"/>
        </w:rPr>
        <w:t>ANNUAL OF THE UNIVERSITY OF MINING AND GEOLOGY “ST. IVAN RILSKI”, Vol. 58, Part ІI, Mining and Mineral processing, 2015</w:t>
      </w:r>
    </w:p>
    <w:p w:rsidR="003B1283" w:rsidRPr="00B100ED" w:rsidRDefault="003B1283" w:rsidP="003B1283">
      <w:pPr>
        <w:pStyle w:val="blank"/>
        <w:spacing w:line="240" w:lineRule="auto"/>
        <w:jc w:val="left"/>
        <w:rPr>
          <w:rFonts w:ascii="Arial Narrow" w:hAnsi="Arial Narrow"/>
          <w:color w:val="000000"/>
          <w:sz w:val="28"/>
          <w:szCs w:val="28"/>
          <w:lang w:val="ru-RU"/>
        </w:rPr>
      </w:pPr>
    </w:p>
    <w:p w:rsidR="003B1283" w:rsidRPr="00B100ED" w:rsidRDefault="003B1283" w:rsidP="003B1283">
      <w:pPr>
        <w:rPr>
          <w:rFonts w:ascii="Arial Narrow" w:hAnsi="Arial Narrow"/>
          <w:color w:val="000000"/>
          <w:sz w:val="28"/>
          <w:szCs w:val="28"/>
        </w:rPr>
      </w:pPr>
    </w:p>
    <w:p w:rsidR="003B1283" w:rsidRPr="00B100ED" w:rsidRDefault="003B1283" w:rsidP="003B1283">
      <w:pPr>
        <w:rPr>
          <w:rFonts w:ascii="Arial Narrow" w:hAnsi="Arial Narrow"/>
          <w:color w:val="000000"/>
          <w:sz w:val="28"/>
          <w:szCs w:val="28"/>
        </w:rPr>
      </w:pPr>
    </w:p>
    <w:p w:rsidR="003B1283" w:rsidRPr="00B100ED" w:rsidRDefault="003B1283" w:rsidP="003B1283">
      <w:pPr>
        <w:rPr>
          <w:rFonts w:ascii="Arial Narrow" w:hAnsi="Arial Narrow"/>
          <w:color w:val="000000"/>
          <w:sz w:val="28"/>
          <w:szCs w:val="28"/>
          <w:lang w:val="ru-RU"/>
        </w:rPr>
      </w:pPr>
    </w:p>
    <w:p w:rsidR="003B1283" w:rsidRPr="00B100ED" w:rsidRDefault="003B1283" w:rsidP="003B1283">
      <w:pPr>
        <w:rPr>
          <w:rFonts w:ascii="Arial Narrow" w:hAnsi="Arial Narrow"/>
          <w:color w:val="000000"/>
          <w:sz w:val="28"/>
          <w:szCs w:val="28"/>
          <w:lang w:val="ru-RU"/>
        </w:rPr>
      </w:pPr>
    </w:p>
    <w:p w:rsidR="003B1283" w:rsidRPr="00B100ED" w:rsidRDefault="003B1283" w:rsidP="003B1283">
      <w:pPr>
        <w:rPr>
          <w:rFonts w:ascii="Arial Narrow" w:hAnsi="Arial Narrow"/>
          <w:color w:val="000000"/>
          <w:sz w:val="28"/>
          <w:szCs w:val="28"/>
          <w:lang w:val="ru-RU"/>
        </w:rPr>
      </w:pPr>
    </w:p>
    <w:p w:rsidR="003C2190" w:rsidRPr="00C04958" w:rsidRDefault="003C2190" w:rsidP="003B1283">
      <w:pPr>
        <w:rPr>
          <w:rFonts w:ascii="Arial Narrow" w:hAnsi="Arial Narrow"/>
          <w:b/>
          <w:sz w:val="28"/>
          <w:szCs w:val="28"/>
        </w:rPr>
      </w:pPr>
      <w:r w:rsidRPr="00C04958">
        <w:rPr>
          <w:rFonts w:ascii="Arial Narrow" w:hAnsi="Arial Narrow"/>
          <w:b/>
          <w:sz w:val="28"/>
          <w:szCs w:val="28"/>
        </w:rPr>
        <w:t xml:space="preserve">MODELING OF </w:t>
      </w:r>
      <w:r>
        <w:rPr>
          <w:rFonts w:ascii="Arial Narrow" w:hAnsi="Arial Narrow"/>
          <w:b/>
          <w:sz w:val="28"/>
          <w:szCs w:val="28"/>
        </w:rPr>
        <w:t xml:space="preserve">THE </w:t>
      </w:r>
      <w:r w:rsidR="00A93FD1" w:rsidRPr="00C04958">
        <w:rPr>
          <w:rFonts w:ascii="Arial Narrow" w:hAnsi="Arial Narrow"/>
          <w:b/>
          <w:sz w:val="28"/>
          <w:szCs w:val="28"/>
        </w:rPr>
        <w:t>SO</w:t>
      </w:r>
      <w:r w:rsidR="00A93FD1" w:rsidRPr="00006EB5">
        <w:rPr>
          <w:rFonts w:ascii="Arial Narrow" w:hAnsi="Arial Narrow"/>
          <w:b/>
          <w:sz w:val="28"/>
          <w:szCs w:val="28"/>
          <w:vertAlign w:val="subscript"/>
        </w:rPr>
        <w:t>2</w:t>
      </w:r>
      <w:r w:rsidR="00A93FD1">
        <w:rPr>
          <w:rFonts w:ascii="Arial Narrow" w:hAnsi="Arial Narrow"/>
          <w:b/>
          <w:sz w:val="28"/>
          <w:szCs w:val="28"/>
          <w:vertAlign w:val="subscript"/>
          <w:lang w:val="bg-BG"/>
        </w:rPr>
        <w:t xml:space="preserve"> </w:t>
      </w:r>
      <w:r w:rsidRPr="00C04958">
        <w:rPr>
          <w:rFonts w:ascii="Arial Narrow" w:hAnsi="Arial Narrow"/>
          <w:b/>
          <w:sz w:val="28"/>
          <w:szCs w:val="28"/>
        </w:rPr>
        <w:t xml:space="preserve">DISPERSION </w:t>
      </w:r>
      <w:r w:rsidR="00A93FD1">
        <w:rPr>
          <w:rFonts w:ascii="Arial Narrow" w:hAnsi="Arial Narrow"/>
          <w:b/>
          <w:sz w:val="28"/>
          <w:szCs w:val="28"/>
        </w:rPr>
        <w:t>IN</w:t>
      </w:r>
      <w:r w:rsidR="00A93FD1">
        <w:rPr>
          <w:rFonts w:ascii="Arial Narrow" w:hAnsi="Arial Narrow"/>
          <w:b/>
          <w:sz w:val="28"/>
          <w:szCs w:val="28"/>
          <w:lang w:val="bg-BG"/>
        </w:rPr>
        <w:t xml:space="preserve"> </w:t>
      </w:r>
      <w:r w:rsidR="00A93FD1" w:rsidRPr="00C04958">
        <w:rPr>
          <w:rFonts w:ascii="Arial Narrow" w:hAnsi="Arial Narrow"/>
          <w:b/>
          <w:sz w:val="28"/>
          <w:szCs w:val="28"/>
        </w:rPr>
        <w:t>ATMOSPHER</w:t>
      </w:r>
      <w:r w:rsidR="00A93FD1">
        <w:rPr>
          <w:rFonts w:ascii="Arial Narrow" w:hAnsi="Arial Narrow"/>
          <w:b/>
          <w:sz w:val="28"/>
          <w:szCs w:val="28"/>
        </w:rPr>
        <w:t xml:space="preserve">E </w:t>
      </w:r>
      <w:r w:rsidRPr="00C04958">
        <w:rPr>
          <w:rFonts w:ascii="Arial Narrow" w:hAnsi="Arial Narrow"/>
          <w:b/>
          <w:sz w:val="28"/>
          <w:szCs w:val="28"/>
        </w:rPr>
        <w:t xml:space="preserve">ACCIDENTALLY RELEASED </w:t>
      </w:r>
      <w:r>
        <w:rPr>
          <w:rFonts w:ascii="Arial Narrow" w:hAnsi="Arial Narrow"/>
          <w:b/>
          <w:sz w:val="28"/>
          <w:szCs w:val="28"/>
        </w:rPr>
        <w:t xml:space="preserve">DURING THE OPERATION OF </w:t>
      </w:r>
      <w:r w:rsidRPr="00C04958">
        <w:rPr>
          <w:rFonts w:ascii="Arial Narrow" w:hAnsi="Arial Narrow"/>
          <w:b/>
          <w:sz w:val="28"/>
          <w:szCs w:val="28"/>
        </w:rPr>
        <w:t>TPP “BOBOV DOL”, BULGARIA</w:t>
      </w:r>
    </w:p>
    <w:p w:rsidR="00E10A9A" w:rsidRPr="003C2190" w:rsidRDefault="00E10A9A" w:rsidP="003B1283">
      <w:pPr>
        <w:rPr>
          <w:rFonts w:ascii="Arial Narrow" w:hAnsi="Arial Narrow" w:cs="Arial Narrow"/>
          <w:sz w:val="28"/>
          <w:szCs w:val="28"/>
          <w:lang w:val="bg-BG" w:eastAsia="bg-BG" w:bidi="ar-SA"/>
        </w:rPr>
      </w:pPr>
    </w:p>
    <w:p w:rsidR="003C2190" w:rsidRPr="0074215B" w:rsidRDefault="003C2190" w:rsidP="003B1283">
      <w:pPr>
        <w:jc w:val="both"/>
        <w:rPr>
          <w:rFonts w:ascii="Arial Narrow" w:hAnsi="Arial Narrow"/>
          <w:b/>
          <w:i/>
        </w:rPr>
      </w:pPr>
      <w:proofErr w:type="spellStart"/>
      <w:r w:rsidRPr="00FE5A2E">
        <w:rPr>
          <w:rFonts w:ascii="Arial Narrow" w:hAnsi="Arial Narrow"/>
          <w:b/>
          <w:i/>
        </w:rPr>
        <w:t>Plamen</w:t>
      </w:r>
      <w:proofErr w:type="spellEnd"/>
      <w:r w:rsidRPr="00FE5A2E">
        <w:rPr>
          <w:rFonts w:ascii="Arial Narrow" w:hAnsi="Arial Narrow"/>
          <w:b/>
          <w:i/>
        </w:rPr>
        <w:t xml:space="preserve"> </w:t>
      </w:r>
      <w:proofErr w:type="spellStart"/>
      <w:r w:rsidRPr="00FE5A2E">
        <w:rPr>
          <w:rFonts w:ascii="Arial Narrow" w:hAnsi="Arial Narrow"/>
          <w:b/>
          <w:i/>
        </w:rPr>
        <w:t>Georgiev</w:t>
      </w:r>
      <w:proofErr w:type="spellEnd"/>
      <w:r w:rsidRPr="00FE5A2E">
        <w:rPr>
          <w:rFonts w:ascii="Arial Narrow" w:hAnsi="Arial Narrow"/>
          <w:b/>
          <w:i/>
        </w:rPr>
        <w:t xml:space="preserve">, </w:t>
      </w:r>
      <w:proofErr w:type="spellStart"/>
      <w:r>
        <w:rPr>
          <w:rFonts w:ascii="Arial Narrow" w:hAnsi="Arial Narrow"/>
          <w:b/>
          <w:i/>
        </w:rPr>
        <w:t>Cvetelina</w:t>
      </w:r>
      <w:proofErr w:type="spellEnd"/>
      <w:r>
        <w:rPr>
          <w:rFonts w:ascii="Arial Narrow" w:hAnsi="Arial Narrow"/>
          <w:b/>
          <w:i/>
        </w:rPr>
        <w:t xml:space="preserve"> </w:t>
      </w:r>
      <w:proofErr w:type="spellStart"/>
      <w:r>
        <w:rPr>
          <w:rFonts w:ascii="Arial Narrow" w:hAnsi="Arial Narrow"/>
          <w:b/>
          <w:i/>
        </w:rPr>
        <w:t>Ivanova</w:t>
      </w:r>
      <w:proofErr w:type="spellEnd"/>
      <w:r>
        <w:rPr>
          <w:rFonts w:ascii="Arial Narrow" w:hAnsi="Arial Narrow"/>
          <w:b/>
          <w:i/>
        </w:rPr>
        <w:t xml:space="preserve">, </w:t>
      </w:r>
      <w:proofErr w:type="spellStart"/>
      <w:r>
        <w:rPr>
          <w:rFonts w:ascii="Arial Narrow" w:hAnsi="Arial Narrow"/>
          <w:b/>
          <w:i/>
        </w:rPr>
        <w:t>Vasilina</w:t>
      </w:r>
      <w:proofErr w:type="spellEnd"/>
      <w:r>
        <w:rPr>
          <w:rFonts w:ascii="Arial Narrow" w:hAnsi="Arial Narrow"/>
          <w:b/>
          <w:i/>
        </w:rPr>
        <w:t xml:space="preserve"> </w:t>
      </w:r>
      <w:proofErr w:type="spellStart"/>
      <w:r>
        <w:rPr>
          <w:rFonts w:ascii="Arial Narrow" w:hAnsi="Arial Narrow"/>
          <w:b/>
          <w:i/>
        </w:rPr>
        <w:t>Yankova</w:t>
      </w:r>
      <w:proofErr w:type="spellEnd"/>
    </w:p>
    <w:p w:rsidR="00E10A9A" w:rsidRDefault="00E10A9A" w:rsidP="003B1283">
      <w:pPr>
        <w:widowControl/>
        <w:jc w:val="both"/>
        <w:rPr>
          <w:rFonts w:ascii="Arial Narrow" w:hAnsi="Arial Narrow" w:cs="Arial Narrow"/>
          <w:b/>
          <w:i/>
          <w:iCs/>
          <w:sz w:val="28"/>
          <w:szCs w:val="28"/>
          <w:lang w:eastAsia="bg-BG" w:bidi="ar-SA"/>
        </w:rPr>
      </w:pPr>
    </w:p>
    <w:p w:rsidR="00E10A9A" w:rsidRPr="003B1283" w:rsidRDefault="001F1AEF" w:rsidP="003B1283">
      <w:pPr>
        <w:widowControl/>
        <w:jc w:val="both"/>
        <w:rPr>
          <w:rFonts w:ascii="Arial Narrow" w:hAnsi="Arial Narrow" w:cs="Times New Roman"/>
          <w:i/>
          <w:sz w:val="20"/>
          <w:szCs w:val="20"/>
          <w:vertAlign w:val="superscript"/>
          <w:lang w:eastAsia="bg-BG" w:bidi="ar-SA"/>
        </w:rPr>
      </w:pPr>
      <w:r w:rsidRPr="003B1283">
        <w:rPr>
          <w:rFonts w:ascii="Arial Narrow" w:hAnsi="Arial Narrow" w:cs="Times New Roman"/>
          <w:i/>
          <w:sz w:val="20"/>
          <w:szCs w:val="20"/>
          <w:lang w:eastAsia="bg-BG" w:bidi="ar-SA"/>
        </w:rPr>
        <w:t xml:space="preserve">University of Mining and Geology “St. Ivan </w:t>
      </w:r>
      <w:proofErr w:type="spellStart"/>
      <w:r w:rsidRPr="003B1283">
        <w:rPr>
          <w:rFonts w:ascii="Arial Narrow" w:hAnsi="Arial Narrow" w:cs="Times New Roman"/>
          <w:i/>
          <w:sz w:val="20"/>
          <w:szCs w:val="20"/>
          <w:lang w:eastAsia="bg-BG" w:bidi="ar-SA"/>
        </w:rPr>
        <w:t>Rilski</w:t>
      </w:r>
      <w:proofErr w:type="spellEnd"/>
      <w:r w:rsidRPr="003B1283">
        <w:rPr>
          <w:rFonts w:ascii="Arial Narrow" w:hAnsi="Arial Narrow" w:cs="Times New Roman"/>
          <w:i/>
          <w:sz w:val="20"/>
          <w:szCs w:val="20"/>
          <w:lang w:eastAsia="bg-BG" w:bidi="ar-SA"/>
        </w:rPr>
        <w:t xml:space="preserve">”, 1700 Sofia, </w:t>
      </w:r>
      <w:hyperlink r:id="rId9" w:history="1">
        <w:r w:rsidRPr="003B1283">
          <w:rPr>
            <w:rStyle w:val="Hyperlink"/>
            <w:rFonts w:ascii="Arial Narrow" w:hAnsi="Arial Narrow"/>
            <w:i/>
            <w:color w:val="auto"/>
            <w:sz w:val="20"/>
            <w:szCs w:val="20"/>
            <w:u w:val="none"/>
          </w:rPr>
          <w:t>ps_georgiew@abv.bg</w:t>
        </w:r>
      </w:hyperlink>
    </w:p>
    <w:p w:rsidR="00E10A9A" w:rsidRPr="003B1283" w:rsidRDefault="00E10A9A" w:rsidP="003B1283">
      <w:pPr>
        <w:rPr>
          <w:rFonts w:ascii="Arial Narrow" w:hAnsi="Arial Narrow" w:cs="Arial Narrow"/>
          <w:sz w:val="20"/>
          <w:szCs w:val="20"/>
          <w:lang w:val="bg-BG" w:eastAsia="bg-BG" w:bidi="ar-SA"/>
        </w:rPr>
      </w:pPr>
    </w:p>
    <w:p w:rsidR="003C2190" w:rsidRPr="00BC1E8E" w:rsidRDefault="001F1AEF" w:rsidP="003B1283">
      <w:pPr>
        <w:jc w:val="both"/>
        <w:rPr>
          <w:rFonts w:ascii="Arial Narrow" w:hAnsi="Arial Narrow"/>
          <w:sz w:val="28"/>
          <w:szCs w:val="28"/>
        </w:rPr>
      </w:pPr>
      <w:r>
        <w:rPr>
          <w:rFonts w:ascii="Arial Narrow" w:hAnsi="Arial Narrow" w:cs="Times New Roman"/>
          <w:b/>
          <w:sz w:val="16"/>
          <w:szCs w:val="16"/>
          <w:lang w:eastAsia="bg-BG" w:bidi="ar-SA"/>
        </w:rPr>
        <w:t>ABSTRACT</w:t>
      </w:r>
      <w:r w:rsidR="003B1283">
        <w:rPr>
          <w:rFonts w:ascii="Arial Narrow" w:hAnsi="Arial Narrow" w:cs="Times New Roman"/>
          <w:b/>
          <w:sz w:val="16"/>
          <w:szCs w:val="16"/>
          <w:lang w:val="bg-BG" w:eastAsia="bg-BG" w:bidi="ar-SA"/>
        </w:rPr>
        <w:t>.</w:t>
      </w:r>
      <w:r>
        <w:rPr>
          <w:rFonts w:ascii="Arial Narrow" w:hAnsi="Arial Narrow" w:cs="Times New Roman"/>
          <w:b/>
          <w:sz w:val="16"/>
          <w:szCs w:val="16"/>
          <w:lang w:eastAsia="bg-BG" w:bidi="ar-SA"/>
        </w:rPr>
        <w:t xml:space="preserve"> </w:t>
      </w:r>
      <w:r w:rsidR="003C2190">
        <w:rPr>
          <w:rFonts w:ascii="Arial Narrow" w:hAnsi="Arial Narrow"/>
          <w:sz w:val="16"/>
          <w:szCs w:val="16"/>
        </w:rPr>
        <w:t>The aim of study was modeling of SO</w:t>
      </w:r>
      <w:r w:rsidR="003C2190" w:rsidRPr="00F94CFE">
        <w:rPr>
          <w:rFonts w:ascii="Arial Narrow" w:hAnsi="Arial Narrow"/>
          <w:sz w:val="16"/>
          <w:szCs w:val="16"/>
          <w:vertAlign w:val="subscript"/>
        </w:rPr>
        <w:t>2</w:t>
      </w:r>
      <w:r w:rsidR="003C2190">
        <w:rPr>
          <w:rFonts w:ascii="Arial Narrow" w:hAnsi="Arial Narrow"/>
          <w:sz w:val="16"/>
          <w:szCs w:val="16"/>
        </w:rPr>
        <w:t xml:space="preserve"> dispersion, released accidentally in the atmosphere </w:t>
      </w:r>
      <w:r w:rsidR="006F7B25">
        <w:rPr>
          <w:rFonts w:ascii="Arial Narrow" w:hAnsi="Arial Narrow"/>
          <w:sz w:val="16"/>
          <w:szCs w:val="16"/>
        </w:rPr>
        <w:t>during the</w:t>
      </w:r>
      <w:r w:rsidR="00020EAA">
        <w:rPr>
          <w:rFonts w:ascii="Arial Narrow" w:hAnsi="Arial Narrow"/>
          <w:sz w:val="16"/>
          <w:szCs w:val="16"/>
        </w:rPr>
        <w:t xml:space="preserve"> </w:t>
      </w:r>
      <w:r w:rsidR="003C2190">
        <w:rPr>
          <w:rFonts w:ascii="Arial Narrow" w:hAnsi="Arial Narrow"/>
          <w:sz w:val="16"/>
          <w:szCs w:val="16"/>
        </w:rPr>
        <w:t>TPP “</w:t>
      </w:r>
      <w:proofErr w:type="spellStart"/>
      <w:r w:rsidR="003C2190">
        <w:rPr>
          <w:rFonts w:ascii="Arial Narrow" w:hAnsi="Arial Narrow"/>
          <w:sz w:val="16"/>
          <w:szCs w:val="16"/>
        </w:rPr>
        <w:t>Bobov</w:t>
      </w:r>
      <w:proofErr w:type="spellEnd"/>
      <w:r w:rsidR="003C2190">
        <w:rPr>
          <w:rFonts w:ascii="Arial Narrow" w:hAnsi="Arial Narrow"/>
          <w:sz w:val="16"/>
          <w:szCs w:val="16"/>
        </w:rPr>
        <w:t xml:space="preserve"> </w:t>
      </w:r>
      <w:proofErr w:type="spellStart"/>
      <w:r w:rsidR="003C2190">
        <w:rPr>
          <w:rFonts w:ascii="Arial Narrow" w:hAnsi="Arial Narrow"/>
          <w:sz w:val="16"/>
          <w:szCs w:val="16"/>
        </w:rPr>
        <w:t>dol</w:t>
      </w:r>
      <w:proofErr w:type="spellEnd"/>
      <w:r w:rsidR="003C2190">
        <w:rPr>
          <w:rFonts w:ascii="Arial Narrow" w:hAnsi="Arial Narrow"/>
          <w:sz w:val="16"/>
          <w:szCs w:val="16"/>
        </w:rPr>
        <w:t>”</w:t>
      </w:r>
      <w:r w:rsidR="00020EAA">
        <w:rPr>
          <w:rFonts w:ascii="Arial Narrow" w:hAnsi="Arial Narrow"/>
          <w:sz w:val="16"/>
          <w:szCs w:val="16"/>
        </w:rPr>
        <w:t xml:space="preserve"> operation</w:t>
      </w:r>
      <w:r w:rsidR="003C2190">
        <w:rPr>
          <w:rFonts w:ascii="Arial Narrow" w:hAnsi="Arial Narrow"/>
          <w:sz w:val="16"/>
          <w:szCs w:val="16"/>
        </w:rPr>
        <w:t>, by means of METI-LIS Dispersion Model. The model was based on the following assumptions: the emission rate of SO</w:t>
      </w:r>
      <w:r w:rsidR="003C2190" w:rsidRPr="007E4FA5">
        <w:rPr>
          <w:rFonts w:ascii="Arial Narrow" w:hAnsi="Arial Narrow"/>
          <w:sz w:val="16"/>
          <w:szCs w:val="16"/>
          <w:vertAlign w:val="subscript"/>
        </w:rPr>
        <w:t>2</w:t>
      </w:r>
      <w:r w:rsidR="003C2190">
        <w:rPr>
          <w:rFonts w:ascii="Arial Narrow" w:hAnsi="Arial Narrow"/>
          <w:sz w:val="16"/>
          <w:szCs w:val="16"/>
        </w:rPr>
        <w:t xml:space="preserve"> in atmosphere was constant, the atmosphere conditions (temperature, wind speed, etc.,)</w:t>
      </w:r>
      <w:r w:rsidR="006F7B25" w:rsidRPr="006F7B25">
        <w:rPr>
          <w:rFonts w:ascii="Arial Narrow" w:hAnsi="Arial Narrow"/>
          <w:sz w:val="16"/>
          <w:szCs w:val="16"/>
        </w:rPr>
        <w:t xml:space="preserve"> </w:t>
      </w:r>
      <w:r w:rsidR="006F7B25">
        <w:rPr>
          <w:rFonts w:ascii="Arial Narrow" w:hAnsi="Arial Narrow"/>
          <w:sz w:val="16"/>
          <w:szCs w:val="16"/>
        </w:rPr>
        <w:t>on hourly base</w:t>
      </w:r>
      <w:r w:rsidR="003C2190">
        <w:rPr>
          <w:rFonts w:ascii="Arial Narrow" w:hAnsi="Arial Narrow"/>
          <w:sz w:val="16"/>
          <w:szCs w:val="16"/>
        </w:rPr>
        <w:t xml:space="preserve"> were constant, and the wind speed was higher than 0.9 m/s. Having in mind the above-mentioned assumptions, it was calculated that </w:t>
      </w:r>
      <w:r w:rsidR="00A674BD">
        <w:rPr>
          <w:rFonts w:ascii="Arial Narrow" w:hAnsi="Arial Narrow"/>
          <w:sz w:val="16"/>
          <w:szCs w:val="16"/>
        </w:rPr>
        <w:t>emission rate of SO</w:t>
      </w:r>
      <w:r w:rsidR="00A674BD" w:rsidRPr="00A674BD">
        <w:rPr>
          <w:rFonts w:ascii="Arial Narrow" w:hAnsi="Arial Narrow"/>
          <w:sz w:val="16"/>
          <w:szCs w:val="16"/>
          <w:vertAlign w:val="subscript"/>
        </w:rPr>
        <w:t>2</w:t>
      </w:r>
      <w:r w:rsidR="00A674BD">
        <w:rPr>
          <w:rFonts w:ascii="Arial Narrow" w:hAnsi="Arial Narrow"/>
          <w:sz w:val="16"/>
          <w:szCs w:val="16"/>
        </w:rPr>
        <w:t xml:space="preserve"> in the atmosphere could be </w:t>
      </w:r>
      <w:r w:rsidR="005D5F9B">
        <w:rPr>
          <w:rFonts w:ascii="Arial Narrow" w:hAnsi="Arial Narrow"/>
          <w:sz w:val="16"/>
          <w:szCs w:val="16"/>
          <w:lang w:val="bg-BG"/>
        </w:rPr>
        <w:t>3</w:t>
      </w:r>
      <w:r w:rsidR="003C2190">
        <w:rPr>
          <w:rFonts w:ascii="Arial Narrow" w:hAnsi="Arial Narrow"/>
          <w:sz w:val="16"/>
          <w:szCs w:val="16"/>
        </w:rPr>
        <w:t>.5</w:t>
      </w:r>
      <w:r w:rsidR="005D5F9B">
        <w:rPr>
          <w:rFonts w:ascii="Arial Narrow" w:hAnsi="Arial Narrow"/>
          <w:sz w:val="16"/>
          <w:szCs w:val="16"/>
        </w:rPr>
        <w:t>7</w:t>
      </w:r>
      <w:r w:rsidR="003C2190">
        <w:rPr>
          <w:rFonts w:ascii="Arial Narrow" w:hAnsi="Arial Narrow"/>
          <w:sz w:val="16"/>
          <w:szCs w:val="16"/>
        </w:rPr>
        <w:t xml:space="preserve"> </w:t>
      </w:r>
      <w:r w:rsidR="00A674BD" w:rsidRPr="00D91BED">
        <w:rPr>
          <w:rFonts w:ascii="Arial Narrow" w:hAnsi="Arial Narrow"/>
          <w:sz w:val="16"/>
          <w:szCs w:val="16"/>
        </w:rPr>
        <w:t>g /m</w:t>
      </w:r>
      <w:r w:rsidR="00A674BD" w:rsidRPr="00D91BED">
        <w:rPr>
          <w:rFonts w:ascii="Arial Narrow" w:hAnsi="Arial Narrow"/>
          <w:sz w:val="16"/>
          <w:szCs w:val="16"/>
          <w:vertAlign w:val="superscript"/>
        </w:rPr>
        <w:t>3</w:t>
      </w:r>
      <w:r w:rsidR="00A674BD" w:rsidRPr="00D91BED">
        <w:rPr>
          <w:rFonts w:ascii="Arial Narrow" w:hAnsi="Arial Narrow"/>
          <w:sz w:val="16"/>
          <w:szCs w:val="16"/>
          <w:vertAlign w:val="subscript"/>
        </w:rPr>
        <w:t>N</w:t>
      </w:r>
      <w:r w:rsidR="00A674BD" w:rsidRPr="00D91BED">
        <w:rPr>
          <w:rFonts w:ascii="Arial Narrow" w:hAnsi="Arial Narrow"/>
          <w:sz w:val="16"/>
          <w:szCs w:val="16"/>
        </w:rPr>
        <w:t>s</w:t>
      </w:r>
      <w:r w:rsidR="003C2190">
        <w:rPr>
          <w:rFonts w:ascii="Arial Narrow" w:hAnsi="Arial Narrow"/>
          <w:sz w:val="16"/>
          <w:szCs w:val="16"/>
        </w:rPr>
        <w:t xml:space="preserve"> if the desulfurization unit for the flue gases treatment of TPP “</w:t>
      </w:r>
      <w:proofErr w:type="spellStart"/>
      <w:r w:rsidR="003C2190">
        <w:rPr>
          <w:rFonts w:ascii="Arial Narrow" w:hAnsi="Arial Narrow"/>
          <w:sz w:val="16"/>
          <w:szCs w:val="16"/>
        </w:rPr>
        <w:t>Bobov</w:t>
      </w:r>
      <w:proofErr w:type="spellEnd"/>
      <w:r w:rsidR="003C2190">
        <w:rPr>
          <w:rFonts w:ascii="Arial Narrow" w:hAnsi="Arial Narrow"/>
          <w:sz w:val="16"/>
          <w:szCs w:val="16"/>
        </w:rPr>
        <w:t xml:space="preserve"> </w:t>
      </w:r>
      <w:proofErr w:type="spellStart"/>
      <w:r w:rsidR="003C2190">
        <w:rPr>
          <w:rFonts w:ascii="Arial Narrow" w:hAnsi="Arial Narrow"/>
          <w:sz w:val="16"/>
          <w:szCs w:val="16"/>
        </w:rPr>
        <w:t>dol</w:t>
      </w:r>
      <w:proofErr w:type="spellEnd"/>
      <w:r w:rsidR="003C2190">
        <w:rPr>
          <w:rFonts w:ascii="Arial Narrow" w:hAnsi="Arial Narrow"/>
          <w:sz w:val="16"/>
          <w:szCs w:val="16"/>
        </w:rPr>
        <w:t>” doesn’t work. SO</w:t>
      </w:r>
      <w:r w:rsidR="003C2190" w:rsidRPr="00A76D4F">
        <w:rPr>
          <w:rFonts w:ascii="Arial Narrow" w:hAnsi="Arial Narrow"/>
          <w:sz w:val="16"/>
          <w:szCs w:val="16"/>
          <w:vertAlign w:val="subscript"/>
        </w:rPr>
        <w:t>2</w:t>
      </w:r>
      <w:r w:rsidR="003C2190">
        <w:rPr>
          <w:rFonts w:ascii="Arial Narrow" w:hAnsi="Arial Narrow"/>
          <w:sz w:val="16"/>
          <w:szCs w:val="16"/>
        </w:rPr>
        <w:t xml:space="preserve"> dispersion was modeled in dependence on the atmospheric stability categories which determine</w:t>
      </w:r>
      <w:r w:rsidR="003D1C69">
        <w:rPr>
          <w:rFonts w:ascii="Arial Narrow" w:hAnsi="Arial Narrow"/>
          <w:sz w:val="16"/>
          <w:szCs w:val="16"/>
        </w:rPr>
        <w:t>d</w:t>
      </w:r>
      <w:r w:rsidR="003C2190">
        <w:rPr>
          <w:rFonts w:ascii="Arial Narrow" w:hAnsi="Arial Narrow"/>
          <w:sz w:val="16"/>
          <w:szCs w:val="16"/>
        </w:rPr>
        <w:t xml:space="preserve"> </w:t>
      </w:r>
      <w:r w:rsidR="003D1C69">
        <w:rPr>
          <w:rFonts w:ascii="Arial Narrow" w:hAnsi="Arial Narrow"/>
          <w:sz w:val="16"/>
          <w:szCs w:val="16"/>
        </w:rPr>
        <w:t>the respective values of gas dispersion coefficients (</w:t>
      </w:r>
      <w:proofErr w:type="spellStart"/>
      <w:r w:rsidR="003D1C69">
        <w:rPr>
          <w:rFonts w:ascii="Arial Narrow" w:hAnsi="Arial Narrow"/>
          <w:sz w:val="16"/>
          <w:szCs w:val="16"/>
        </w:rPr>
        <w:t>σ</w:t>
      </w:r>
      <w:r w:rsidR="003D1C69" w:rsidRPr="00A76D4F">
        <w:rPr>
          <w:rFonts w:ascii="Arial Narrow" w:hAnsi="Arial Narrow"/>
          <w:sz w:val="16"/>
          <w:szCs w:val="16"/>
          <w:vertAlign w:val="subscript"/>
        </w:rPr>
        <w:t>y</w:t>
      </w:r>
      <w:proofErr w:type="spellEnd"/>
      <w:r w:rsidR="003D1C69">
        <w:rPr>
          <w:rFonts w:ascii="Arial Narrow" w:hAnsi="Arial Narrow"/>
          <w:sz w:val="16"/>
          <w:szCs w:val="16"/>
        </w:rPr>
        <w:t xml:space="preserve">, </w:t>
      </w:r>
      <w:proofErr w:type="spellStart"/>
      <w:r w:rsidR="003D1C69">
        <w:rPr>
          <w:rFonts w:ascii="Arial Narrow" w:hAnsi="Arial Narrow"/>
          <w:sz w:val="16"/>
          <w:szCs w:val="16"/>
        </w:rPr>
        <w:t>σ</w:t>
      </w:r>
      <w:r w:rsidR="003D1C69" w:rsidRPr="00A76D4F">
        <w:rPr>
          <w:rFonts w:ascii="Arial Narrow" w:hAnsi="Arial Narrow"/>
          <w:sz w:val="16"/>
          <w:szCs w:val="16"/>
          <w:vertAlign w:val="subscript"/>
        </w:rPr>
        <w:t>z</w:t>
      </w:r>
      <w:proofErr w:type="spellEnd"/>
      <w:r w:rsidR="003D1C69">
        <w:rPr>
          <w:rFonts w:ascii="Arial Narrow" w:hAnsi="Arial Narrow"/>
          <w:sz w:val="16"/>
          <w:szCs w:val="16"/>
        </w:rPr>
        <w:t xml:space="preserve">) and </w:t>
      </w:r>
      <w:r w:rsidR="003C2190">
        <w:rPr>
          <w:rFonts w:ascii="Arial Narrow" w:hAnsi="Arial Narrow"/>
          <w:sz w:val="16"/>
          <w:szCs w:val="16"/>
        </w:rPr>
        <w:t>the effective plume-rise height (h</w:t>
      </w:r>
      <w:r w:rsidR="003C2190" w:rsidRPr="00A76D4F">
        <w:rPr>
          <w:rFonts w:ascii="Arial Narrow" w:hAnsi="Arial Narrow"/>
          <w:sz w:val="16"/>
          <w:szCs w:val="16"/>
          <w:vertAlign w:val="subscript"/>
        </w:rPr>
        <w:t>e</w:t>
      </w:r>
      <w:r w:rsidR="003C2190">
        <w:rPr>
          <w:rFonts w:ascii="Arial Narrow" w:hAnsi="Arial Narrow"/>
          <w:sz w:val="16"/>
          <w:szCs w:val="16"/>
        </w:rPr>
        <w:t>) in the atmosphere T</w:t>
      </w:r>
      <w:bookmarkStart w:id="0" w:name="_GoBack"/>
      <w:bookmarkEnd w:id="0"/>
      <w:r w:rsidR="003C2190">
        <w:rPr>
          <w:rFonts w:ascii="Arial Narrow" w:hAnsi="Arial Narrow"/>
          <w:sz w:val="16"/>
          <w:szCs w:val="16"/>
        </w:rPr>
        <w:t xml:space="preserve">he wind rose determined that in the period </w:t>
      </w:r>
      <w:r w:rsidR="00020EAA">
        <w:rPr>
          <w:rFonts w:ascii="Arial Narrow" w:hAnsi="Arial Narrow"/>
          <w:sz w:val="16"/>
          <w:szCs w:val="16"/>
        </w:rPr>
        <w:t>November</w:t>
      </w:r>
      <w:r w:rsidR="003C2190">
        <w:rPr>
          <w:rFonts w:ascii="Arial Narrow" w:hAnsi="Arial Narrow"/>
          <w:sz w:val="16"/>
          <w:szCs w:val="16"/>
        </w:rPr>
        <w:t xml:space="preserve"> 2014-February 2015 in the most cases the plume released in the atmosphere </w:t>
      </w:r>
      <w:r w:rsidR="008C6EB9">
        <w:rPr>
          <w:rFonts w:ascii="Arial Narrow" w:hAnsi="Arial Narrow"/>
          <w:sz w:val="16"/>
          <w:szCs w:val="16"/>
        </w:rPr>
        <w:t>w</w:t>
      </w:r>
      <w:r w:rsidR="003C2190">
        <w:rPr>
          <w:rFonts w:ascii="Arial Narrow" w:hAnsi="Arial Narrow"/>
          <w:sz w:val="16"/>
          <w:szCs w:val="16"/>
        </w:rPr>
        <w:t xml:space="preserve">ould be transported in north direction to </w:t>
      </w:r>
      <w:proofErr w:type="spellStart"/>
      <w:r w:rsidR="003C2190">
        <w:rPr>
          <w:rFonts w:ascii="Arial Narrow" w:hAnsi="Arial Narrow"/>
          <w:sz w:val="16"/>
          <w:szCs w:val="16"/>
        </w:rPr>
        <w:t>Radomir</w:t>
      </w:r>
      <w:proofErr w:type="spellEnd"/>
      <w:r w:rsidR="003C2190">
        <w:rPr>
          <w:rFonts w:ascii="Arial Narrow" w:hAnsi="Arial Narrow"/>
          <w:sz w:val="16"/>
          <w:szCs w:val="16"/>
        </w:rPr>
        <w:t xml:space="preserve"> town by means of the south wind </w:t>
      </w:r>
      <w:r w:rsidR="00D91BED">
        <w:rPr>
          <w:rFonts w:ascii="Arial Narrow" w:hAnsi="Arial Narrow"/>
          <w:sz w:val="16"/>
          <w:szCs w:val="16"/>
        </w:rPr>
        <w:t>as the</w:t>
      </w:r>
      <w:r w:rsidR="003C2190">
        <w:rPr>
          <w:rFonts w:ascii="Arial Narrow" w:hAnsi="Arial Narrow"/>
          <w:sz w:val="16"/>
          <w:szCs w:val="16"/>
        </w:rPr>
        <w:t xml:space="preserve"> prevail</w:t>
      </w:r>
      <w:r w:rsidR="00D91BED">
        <w:rPr>
          <w:rFonts w:ascii="Arial Narrow" w:hAnsi="Arial Narrow"/>
          <w:sz w:val="16"/>
          <w:szCs w:val="16"/>
        </w:rPr>
        <w:t xml:space="preserve">ed </w:t>
      </w:r>
      <w:r w:rsidR="003C2190">
        <w:rPr>
          <w:rFonts w:ascii="Arial Narrow" w:hAnsi="Arial Narrow"/>
          <w:sz w:val="16"/>
          <w:szCs w:val="16"/>
        </w:rPr>
        <w:t>wind speed</w:t>
      </w:r>
      <w:r w:rsidR="00D91BED">
        <w:rPr>
          <w:rFonts w:ascii="Arial Narrow" w:hAnsi="Arial Narrow"/>
          <w:sz w:val="16"/>
          <w:szCs w:val="16"/>
        </w:rPr>
        <w:t xml:space="preserve"> was</w:t>
      </w:r>
      <w:r w:rsidR="003C2190">
        <w:rPr>
          <w:rFonts w:ascii="Arial Narrow" w:hAnsi="Arial Narrow"/>
          <w:sz w:val="16"/>
          <w:szCs w:val="16"/>
        </w:rPr>
        <w:t xml:space="preserve"> up to 5 m/s. However, the model determined that the ground concentration of SO</w:t>
      </w:r>
      <w:r w:rsidR="003C2190" w:rsidRPr="00635B8A">
        <w:rPr>
          <w:rFonts w:ascii="Arial Narrow" w:hAnsi="Arial Narrow"/>
          <w:sz w:val="16"/>
          <w:szCs w:val="16"/>
          <w:vertAlign w:val="subscript"/>
        </w:rPr>
        <w:t>2</w:t>
      </w:r>
      <w:r w:rsidR="003C2190">
        <w:rPr>
          <w:rFonts w:ascii="Arial Narrow" w:hAnsi="Arial Narrow"/>
          <w:sz w:val="16"/>
          <w:szCs w:val="16"/>
        </w:rPr>
        <w:t xml:space="preserve"> would be higher than the Maximum Admissible Concentration (MAC) at a distance of 1-5 km from TPP “</w:t>
      </w:r>
      <w:proofErr w:type="spellStart"/>
      <w:r w:rsidR="003C2190">
        <w:rPr>
          <w:rFonts w:ascii="Arial Narrow" w:hAnsi="Arial Narrow"/>
          <w:sz w:val="16"/>
          <w:szCs w:val="16"/>
        </w:rPr>
        <w:t>Bobov</w:t>
      </w:r>
      <w:proofErr w:type="spellEnd"/>
      <w:r w:rsidR="003C2190">
        <w:rPr>
          <w:rFonts w:ascii="Arial Narrow" w:hAnsi="Arial Narrow"/>
          <w:sz w:val="16"/>
          <w:szCs w:val="16"/>
        </w:rPr>
        <w:t xml:space="preserve"> </w:t>
      </w:r>
      <w:proofErr w:type="spellStart"/>
      <w:r w:rsidR="003C2190">
        <w:rPr>
          <w:rFonts w:ascii="Arial Narrow" w:hAnsi="Arial Narrow"/>
          <w:sz w:val="16"/>
          <w:szCs w:val="16"/>
        </w:rPr>
        <w:t>dol</w:t>
      </w:r>
      <w:proofErr w:type="spellEnd"/>
      <w:r w:rsidR="003C2190">
        <w:rPr>
          <w:rFonts w:ascii="Arial Narrow" w:hAnsi="Arial Narrow"/>
          <w:sz w:val="16"/>
          <w:szCs w:val="16"/>
        </w:rPr>
        <w:t>” only in the cases when the wind speed and solar radiation are in the range of 1</w:t>
      </w:r>
      <w:r w:rsidR="0084778E">
        <w:rPr>
          <w:rFonts w:ascii="Arial Narrow" w:hAnsi="Arial Narrow"/>
          <w:sz w:val="16"/>
          <w:szCs w:val="16"/>
        </w:rPr>
        <w:t>.0</w:t>
      </w:r>
      <w:r w:rsidR="003C2190">
        <w:rPr>
          <w:rFonts w:ascii="Arial Narrow" w:hAnsi="Arial Narrow"/>
          <w:sz w:val="16"/>
          <w:szCs w:val="16"/>
        </w:rPr>
        <w:t>-</w:t>
      </w:r>
      <w:r w:rsidR="0084778E">
        <w:rPr>
          <w:rFonts w:ascii="Arial Narrow" w:hAnsi="Arial Narrow"/>
          <w:sz w:val="16"/>
          <w:szCs w:val="16"/>
        </w:rPr>
        <w:t>1.</w:t>
      </w:r>
      <w:r w:rsidR="003C2190">
        <w:rPr>
          <w:rFonts w:ascii="Arial Narrow" w:hAnsi="Arial Narrow"/>
          <w:sz w:val="16"/>
          <w:szCs w:val="16"/>
        </w:rPr>
        <w:t>2 m/s and 0.015-0.029 kW/ m</w:t>
      </w:r>
      <w:r w:rsidR="003C2190" w:rsidRPr="00635B8A">
        <w:rPr>
          <w:rFonts w:ascii="Arial Narrow" w:hAnsi="Arial Narrow"/>
          <w:sz w:val="16"/>
          <w:szCs w:val="16"/>
          <w:vertAlign w:val="superscript"/>
        </w:rPr>
        <w:t>2</w:t>
      </w:r>
      <w:r w:rsidR="003C2190">
        <w:rPr>
          <w:rFonts w:ascii="Arial Narrow" w:hAnsi="Arial Narrow"/>
          <w:sz w:val="16"/>
          <w:szCs w:val="16"/>
        </w:rPr>
        <w:t>, respectively.</w:t>
      </w:r>
    </w:p>
    <w:p w:rsidR="00E10A9A" w:rsidRPr="003B1283" w:rsidRDefault="00E10A9A" w:rsidP="003B1283">
      <w:pPr>
        <w:widowControl/>
        <w:jc w:val="both"/>
        <w:rPr>
          <w:rFonts w:ascii="Arial Narrow" w:hAnsi="Arial Narrow" w:cs="Arial Narrow"/>
          <w:sz w:val="20"/>
          <w:szCs w:val="20"/>
          <w:lang w:eastAsia="bg-BG" w:bidi="ar-SA"/>
        </w:rPr>
      </w:pPr>
    </w:p>
    <w:p w:rsidR="00E10A9A" w:rsidRPr="003B1283" w:rsidRDefault="001F1AEF" w:rsidP="003B1283">
      <w:pPr>
        <w:widowControl/>
        <w:jc w:val="both"/>
        <w:rPr>
          <w:rFonts w:ascii="Arial Narrow" w:hAnsi="Arial Narrow" w:cs="Arial Narrow"/>
          <w:sz w:val="16"/>
          <w:szCs w:val="16"/>
          <w:lang w:eastAsia="bg-BG" w:bidi="ar-SA"/>
        </w:rPr>
      </w:pPr>
      <w:r w:rsidRPr="003B1283">
        <w:rPr>
          <w:rFonts w:ascii="Arial Narrow" w:hAnsi="Arial Narrow" w:cs="Arial Narrow"/>
          <w:b/>
          <w:sz w:val="16"/>
          <w:szCs w:val="16"/>
          <w:lang w:eastAsia="bg-BG" w:bidi="ar-SA"/>
        </w:rPr>
        <w:t>Keywords:</w:t>
      </w:r>
      <w:r w:rsidRPr="003B1283">
        <w:rPr>
          <w:rFonts w:ascii="Arial Narrow" w:hAnsi="Arial Narrow" w:cs="Arial Narrow"/>
          <w:sz w:val="16"/>
          <w:szCs w:val="16"/>
          <w:lang w:eastAsia="bg-BG" w:bidi="ar-SA"/>
        </w:rPr>
        <w:t xml:space="preserve"> </w:t>
      </w:r>
      <w:r w:rsidR="00020EAA" w:rsidRPr="003B1283">
        <w:rPr>
          <w:rFonts w:ascii="Arial Narrow" w:hAnsi="Arial Narrow"/>
          <w:sz w:val="16"/>
          <w:szCs w:val="16"/>
        </w:rPr>
        <w:t>sulfur dioxide, modeling, TPP, atmosphere stability categories</w:t>
      </w:r>
    </w:p>
    <w:p w:rsidR="00E10A9A" w:rsidRDefault="00E10A9A" w:rsidP="003B1283">
      <w:pPr>
        <w:widowControl/>
        <w:jc w:val="both"/>
        <w:rPr>
          <w:rFonts w:ascii="Arial Narrow" w:hAnsi="Arial Narrow" w:cs="Arial Narrow"/>
          <w:sz w:val="28"/>
          <w:szCs w:val="28"/>
          <w:lang w:eastAsia="bg-BG" w:bidi="ar-SA"/>
        </w:rPr>
      </w:pPr>
    </w:p>
    <w:p w:rsidR="00020EAA" w:rsidRPr="003B1283" w:rsidRDefault="00020EAA" w:rsidP="003B1283">
      <w:pPr>
        <w:rPr>
          <w:rFonts w:ascii="Arial Narrow" w:hAnsi="Arial Narrow"/>
          <w:b/>
          <w:sz w:val="20"/>
          <w:szCs w:val="20"/>
        </w:rPr>
      </w:pPr>
      <w:r w:rsidRPr="003B1283">
        <w:rPr>
          <w:rFonts w:ascii="Arial Narrow" w:hAnsi="Arial Narrow"/>
          <w:b/>
          <w:sz w:val="20"/>
          <w:szCs w:val="20"/>
        </w:rPr>
        <w:t>МОДЕЛИРАНЕ ДИСПЕРСИЯТА НА SO</w:t>
      </w:r>
      <w:r w:rsidRPr="003B1283">
        <w:rPr>
          <w:rFonts w:ascii="Arial Narrow" w:hAnsi="Arial Narrow"/>
          <w:b/>
          <w:sz w:val="20"/>
          <w:szCs w:val="20"/>
          <w:vertAlign w:val="subscript"/>
        </w:rPr>
        <w:t>2</w:t>
      </w:r>
      <w:r w:rsidRPr="003B1283">
        <w:rPr>
          <w:rFonts w:ascii="Arial Narrow" w:hAnsi="Arial Narrow"/>
          <w:b/>
          <w:sz w:val="20"/>
          <w:szCs w:val="20"/>
        </w:rPr>
        <w:t xml:space="preserve">, ОТДЕЛЕН ИНЦИДЕНТНО В АТМОСФЕРАТА ПРИ РАБОТАТА НА </w:t>
      </w:r>
    </w:p>
    <w:p w:rsidR="00020EAA" w:rsidRPr="003B1283" w:rsidRDefault="00020EAA" w:rsidP="003B1283">
      <w:pPr>
        <w:rPr>
          <w:rFonts w:ascii="Arial Narrow" w:hAnsi="Arial Narrow"/>
          <w:b/>
          <w:sz w:val="20"/>
          <w:szCs w:val="20"/>
        </w:rPr>
      </w:pPr>
      <w:r w:rsidRPr="003B1283">
        <w:rPr>
          <w:rFonts w:ascii="Arial Narrow" w:hAnsi="Arial Narrow"/>
          <w:b/>
          <w:sz w:val="20"/>
          <w:szCs w:val="20"/>
        </w:rPr>
        <w:t xml:space="preserve">ТЕЦ „БОБОВ ДОЛ” </w:t>
      </w:r>
    </w:p>
    <w:p w:rsidR="00020EAA" w:rsidRPr="003B1283" w:rsidRDefault="00020EAA" w:rsidP="003B1283">
      <w:pPr>
        <w:rPr>
          <w:rFonts w:ascii="Arial Narrow" w:hAnsi="Arial Narrow"/>
          <w:b/>
          <w:sz w:val="20"/>
          <w:szCs w:val="20"/>
        </w:rPr>
      </w:pPr>
      <w:proofErr w:type="spellStart"/>
      <w:r w:rsidRPr="003B1283">
        <w:rPr>
          <w:rFonts w:ascii="Arial Narrow" w:hAnsi="Arial Narrow"/>
          <w:b/>
          <w:i/>
          <w:sz w:val="20"/>
          <w:szCs w:val="20"/>
        </w:rPr>
        <w:t>Пламен</w:t>
      </w:r>
      <w:proofErr w:type="spellEnd"/>
      <w:r w:rsidRPr="003B1283">
        <w:rPr>
          <w:rFonts w:ascii="Arial Narrow" w:hAnsi="Arial Narrow"/>
          <w:b/>
          <w:i/>
          <w:sz w:val="20"/>
          <w:szCs w:val="20"/>
        </w:rPr>
        <w:t xml:space="preserve"> </w:t>
      </w:r>
      <w:proofErr w:type="spellStart"/>
      <w:r w:rsidRPr="003B1283">
        <w:rPr>
          <w:rFonts w:ascii="Arial Narrow" w:hAnsi="Arial Narrow"/>
          <w:b/>
          <w:i/>
          <w:sz w:val="20"/>
          <w:szCs w:val="20"/>
        </w:rPr>
        <w:t>Георгиев</w:t>
      </w:r>
      <w:proofErr w:type="spellEnd"/>
      <w:r w:rsidRPr="003B1283">
        <w:rPr>
          <w:rFonts w:ascii="Arial Narrow" w:hAnsi="Arial Narrow"/>
          <w:b/>
          <w:i/>
          <w:sz w:val="20"/>
          <w:szCs w:val="20"/>
          <w:vertAlign w:val="superscript"/>
          <w:lang w:val="ru-RU"/>
        </w:rPr>
        <w:t>1</w:t>
      </w:r>
      <w:r w:rsidRPr="003B1283">
        <w:rPr>
          <w:rFonts w:ascii="Arial Narrow" w:hAnsi="Arial Narrow"/>
          <w:b/>
          <w:i/>
          <w:sz w:val="20"/>
          <w:szCs w:val="20"/>
        </w:rPr>
        <w:t xml:space="preserve">, </w:t>
      </w:r>
      <w:proofErr w:type="spellStart"/>
      <w:r w:rsidRPr="003B1283">
        <w:rPr>
          <w:rFonts w:ascii="Arial Narrow" w:hAnsi="Arial Narrow"/>
          <w:b/>
          <w:i/>
          <w:sz w:val="20"/>
          <w:szCs w:val="20"/>
        </w:rPr>
        <w:t>Цветелина</w:t>
      </w:r>
      <w:proofErr w:type="spellEnd"/>
      <w:r w:rsidRPr="003B1283">
        <w:rPr>
          <w:rFonts w:ascii="Arial Narrow" w:hAnsi="Arial Narrow"/>
          <w:b/>
          <w:i/>
          <w:sz w:val="20"/>
          <w:szCs w:val="20"/>
        </w:rPr>
        <w:t xml:space="preserve"> </w:t>
      </w:r>
      <w:proofErr w:type="spellStart"/>
      <w:r w:rsidRPr="003B1283">
        <w:rPr>
          <w:rFonts w:ascii="Arial Narrow" w:hAnsi="Arial Narrow"/>
          <w:b/>
          <w:i/>
          <w:sz w:val="20"/>
          <w:szCs w:val="20"/>
        </w:rPr>
        <w:t>Иванова</w:t>
      </w:r>
      <w:proofErr w:type="spellEnd"/>
      <w:r w:rsidRPr="003B1283">
        <w:rPr>
          <w:rFonts w:ascii="Arial Narrow" w:hAnsi="Arial Narrow"/>
          <w:b/>
          <w:i/>
          <w:sz w:val="20"/>
          <w:szCs w:val="20"/>
        </w:rPr>
        <w:t xml:space="preserve">, </w:t>
      </w:r>
      <w:proofErr w:type="spellStart"/>
      <w:r w:rsidRPr="003B1283">
        <w:rPr>
          <w:rFonts w:ascii="Arial Narrow" w:hAnsi="Arial Narrow"/>
          <w:b/>
          <w:i/>
          <w:sz w:val="20"/>
          <w:szCs w:val="20"/>
        </w:rPr>
        <w:t>Василина</w:t>
      </w:r>
      <w:proofErr w:type="spellEnd"/>
      <w:r w:rsidRPr="003B1283">
        <w:rPr>
          <w:rFonts w:ascii="Arial Narrow" w:hAnsi="Arial Narrow"/>
          <w:b/>
          <w:i/>
          <w:sz w:val="20"/>
          <w:szCs w:val="20"/>
        </w:rPr>
        <w:t xml:space="preserve"> </w:t>
      </w:r>
      <w:proofErr w:type="spellStart"/>
      <w:r w:rsidRPr="003B1283">
        <w:rPr>
          <w:rFonts w:ascii="Arial Narrow" w:hAnsi="Arial Narrow"/>
          <w:b/>
          <w:i/>
          <w:sz w:val="20"/>
          <w:szCs w:val="20"/>
        </w:rPr>
        <w:t>Янкова</w:t>
      </w:r>
      <w:proofErr w:type="spellEnd"/>
    </w:p>
    <w:p w:rsidR="00E10A9A" w:rsidRPr="003B1283" w:rsidRDefault="001F1AEF" w:rsidP="003B1283">
      <w:pPr>
        <w:widowControl/>
        <w:jc w:val="both"/>
        <w:rPr>
          <w:rFonts w:ascii="Arial Narrow" w:hAnsi="Arial Narrow" w:cs="Times New Roman"/>
          <w:i/>
          <w:sz w:val="20"/>
          <w:szCs w:val="20"/>
          <w:vertAlign w:val="superscript"/>
          <w:lang w:val="bg-BG" w:eastAsia="bg-BG" w:bidi="ar-SA"/>
        </w:rPr>
      </w:pPr>
      <w:r w:rsidRPr="003B1283">
        <w:rPr>
          <w:rFonts w:ascii="Arial Narrow" w:hAnsi="Arial Narrow" w:cs="Times New Roman"/>
          <w:i/>
          <w:sz w:val="20"/>
          <w:szCs w:val="20"/>
          <w:lang w:val="bg-BG" w:eastAsia="bg-BG" w:bidi="ar-SA"/>
        </w:rPr>
        <w:t xml:space="preserve">Минно-геоложки университет „Св.Иван Рилски”, София 1700, </w:t>
      </w:r>
      <w:hyperlink r:id="rId10" w:history="1">
        <w:r w:rsidRPr="003B1283">
          <w:rPr>
            <w:rStyle w:val="Hyperlink"/>
            <w:rFonts w:ascii="Arial Narrow" w:hAnsi="Arial Narrow"/>
            <w:i/>
            <w:color w:val="auto"/>
            <w:sz w:val="20"/>
            <w:szCs w:val="20"/>
            <w:u w:val="none"/>
          </w:rPr>
          <w:t>ps_georgiew@abv.bg</w:t>
        </w:r>
      </w:hyperlink>
    </w:p>
    <w:p w:rsidR="00E10A9A" w:rsidRDefault="00E10A9A" w:rsidP="003B1283">
      <w:pPr>
        <w:jc w:val="both"/>
        <w:rPr>
          <w:rFonts w:ascii="Arial Narrow" w:hAnsi="Arial Narrow" w:cs="Times New Roman"/>
          <w:i/>
          <w:sz w:val="20"/>
          <w:szCs w:val="20"/>
          <w:lang w:eastAsia="bg-BG" w:bidi="ar-SA"/>
        </w:rPr>
      </w:pPr>
    </w:p>
    <w:p w:rsidR="00E10A9A" w:rsidRDefault="001F1AEF" w:rsidP="003B1283">
      <w:pPr>
        <w:widowControl/>
        <w:jc w:val="both"/>
        <w:rPr>
          <w:rFonts w:ascii="Arial Narrow" w:hAnsi="Arial Narrow"/>
          <w:sz w:val="16"/>
          <w:szCs w:val="16"/>
          <w:lang w:val="bg-BG"/>
        </w:rPr>
      </w:pPr>
      <w:r>
        <w:rPr>
          <w:rFonts w:ascii="Arial Narrow" w:hAnsi="Arial Narrow" w:cs="Times New Roman"/>
          <w:b/>
          <w:sz w:val="16"/>
          <w:szCs w:val="16"/>
          <w:lang w:val="bg-BG" w:eastAsia="bg-BG" w:bidi="ar-SA"/>
        </w:rPr>
        <w:t>РЕЗЮМЕ</w:t>
      </w:r>
      <w:r w:rsidR="003B1283">
        <w:rPr>
          <w:rFonts w:ascii="Arial Narrow" w:hAnsi="Arial Narrow" w:cs="Times New Roman"/>
          <w:b/>
          <w:sz w:val="16"/>
          <w:szCs w:val="16"/>
          <w:lang w:val="ru-RU" w:eastAsia="bg-BG" w:bidi="ar-SA"/>
        </w:rPr>
        <w:t>.</w:t>
      </w:r>
      <w:r>
        <w:rPr>
          <w:rFonts w:ascii="Arial Narrow" w:hAnsi="Arial Narrow" w:cs="Times New Roman"/>
          <w:b/>
          <w:sz w:val="16"/>
          <w:szCs w:val="16"/>
          <w:lang w:val="ru-RU" w:eastAsia="bg-BG" w:bidi="ar-SA"/>
        </w:rPr>
        <w:t xml:space="preserve"> </w:t>
      </w:r>
      <w:r w:rsidR="00663335">
        <w:rPr>
          <w:rFonts w:ascii="Arial Narrow" w:hAnsi="Arial Narrow"/>
          <w:sz w:val="16"/>
          <w:szCs w:val="16"/>
          <w:lang w:val="ru-RU"/>
        </w:rPr>
        <w:t>Ц</w:t>
      </w:r>
      <w:r w:rsidR="00663335" w:rsidRPr="005C5214">
        <w:rPr>
          <w:rFonts w:ascii="Arial Narrow" w:hAnsi="Arial Narrow"/>
          <w:sz w:val="16"/>
          <w:szCs w:val="16"/>
          <w:lang w:val="ru-RU"/>
        </w:rPr>
        <w:t>елта на</w:t>
      </w:r>
      <w:r w:rsidR="00663335">
        <w:rPr>
          <w:rFonts w:ascii="Arial Narrow" w:hAnsi="Arial Narrow"/>
          <w:b/>
          <w:sz w:val="16"/>
          <w:szCs w:val="16"/>
          <w:lang w:val="ru-RU"/>
        </w:rPr>
        <w:t xml:space="preserve"> </w:t>
      </w:r>
      <w:proofErr w:type="spellStart"/>
      <w:r w:rsidR="00663335">
        <w:rPr>
          <w:rFonts w:ascii="Arial Narrow" w:hAnsi="Arial Narrow"/>
          <w:sz w:val="16"/>
          <w:szCs w:val="16"/>
        </w:rPr>
        <w:t>статията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моделира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дисперсията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r w:rsidR="00663335" w:rsidRPr="002E2EDF">
        <w:rPr>
          <w:rFonts w:ascii="Arial Narrow" w:hAnsi="Arial Narrow"/>
          <w:sz w:val="16"/>
          <w:szCs w:val="16"/>
        </w:rPr>
        <w:t>SO</w:t>
      </w:r>
      <w:r w:rsidR="00663335" w:rsidRPr="002E2EDF">
        <w:rPr>
          <w:rFonts w:ascii="Arial Narrow" w:hAnsi="Arial Narrow"/>
          <w:sz w:val="16"/>
          <w:szCs w:val="16"/>
          <w:vertAlign w:val="subscript"/>
        </w:rPr>
        <w:t>2</w:t>
      </w:r>
      <w:r w:rsidR="00663335">
        <w:rPr>
          <w:rFonts w:ascii="Arial Narrow" w:hAnsi="Arial Narrow"/>
          <w:sz w:val="16"/>
          <w:szCs w:val="16"/>
        </w:rPr>
        <w:t>,</w:t>
      </w:r>
      <w:r w:rsidR="00663335">
        <w:rPr>
          <w:rFonts w:ascii="Arial Narrow" w:hAnsi="Arial Narrow"/>
          <w:sz w:val="16"/>
          <w:szCs w:val="16"/>
          <w:vertAlign w:val="subscript"/>
        </w:rPr>
        <w:t xml:space="preserve"> </w:t>
      </w:r>
      <w:proofErr w:type="spellStart"/>
      <w:r w:rsidR="00663335">
        <w:rPr>
          <w:rFonts w:ascii="Arial Narrow" w:hAnsi="Arial Narrow"/>
          <w:sz w:val="16"/>
          <w:szCs w:val="16"/>
        </w:rPr>
        <w:t>отделен</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инцидентно</w:t>
      </w:r>
      <w:proofErr w:type="spellEnd"/>
      <w:r w:rsidR="00663335">
        <w:rPr>
          <w:rFonts w:ascii="Arial Narrow" w:hAnsi="Arial Narrow"/>
          <w:sz w:val="16"/>
          <w:szCs w:val="16"/>
        </w:rPr>
        <w:t xml:space="preserve"> в </w:t>
      </w:r>
      <w:proofErr w:type="spellStart"/>
      <w:r w:rsidR="00663335">
        <w:rPr>
          <w:rFonts w:ascii="Arial Narrow" w:hAnsi="Arial Narrow"/>
          <w:sz w:val="16"/>
          <w:szCs w:val="16"/>
        </w:rPr>
        <w:t>атмосферата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работата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ТЕЦ „</w:t>
      </w:r>
      <w:proofErr w:type="spellStart"/>
      <w:r w:rsidR="00663335">
        <w:rPr>
          <w:rFonts w:ascii="Arial Narrow" w:hAnsi="Arial Narrow"/>
          <w:sz w:val="16"/>
          <w:szCs w:val="16"/>
        </w:rPr>
        <w:t>Бобов</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дол</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посредством</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дисперсионният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модел</w:t>
      </w:r>
      <w:proofErr w:type="spellEnd"/>
      <w:r w:rsidR="00663335">
        <w:rPr>
          <w:rFonts w:ascii="Arial Narrow" w:hAnsi="Arial Narrow"/>
          <w:sz w:val="16"/>
          <w:szCs w:val="16"/>
        </w:rPr>
        <w:t xml:space="preserve"> METI-LIS. </w:t>
      </w:r>
      <w:proofErr w:type="spellStart"/>
      <w:r w:rsidR="00663335">
        <w:rPr>
          <w:rFonts w:ascii="Arial Narrow" w:hAnsi="Arial Narrow"/>
          <w:sz w:val="16"/>
          <w:szCs w:val="16"/>
        </w:rPr>
        <w:t>Използваният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модел</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беше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базиран</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следните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предположения</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скоростта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отделяне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SO</w:t>
      </w:r>
      <w:r w:rsidR="00663335" w:rsidRPr="007E4FA5">
        <w:rPr>
          <w:rFonts w:ascii="Arial Narrow" w:hAnsi="Arial Narrow"/>
          <w:sz w:val="16"/>
          <w:szCs w:val="16"/>
          <w:vertAlign w:val="subscript"/>
        </w:rPr>
        <w:t>2</w:t>
      </w:r>
      <w:r w:rsidR="00663335">
        <w:rPr>
          <w:rFonts w:ascii="Arial Narrow" w:hAnsi="Arial Narrow"/>
          <w:sz w:val="16"/>
          <w:szCs w:val="16"/>
          <w:vertAlign w:val="subscript"/>
        </w:rPr>
        <w:t xml:space="preserve"> </w:t>
      </w:r>
      <w:r w:rsidR="00663335">
        <w:rPr>
          <w:rFonts w:ascii="Arial Narrow" w:hAnsi="Arial Narrow"/>
          <w:sz w:val="16"/>
          <w:szCs w:val="16"/>
        </w:rPr>
        <w:t xml:space="preserve">в </w:t>
      </w:r>
      <w:proofErr w:type="spellStart"/>
      <w:r w:rsidR="00663335">
        <w:rPr>
          <w:rFonts w:ascii="Arial Narrow" w:hAnsi="Arial Narrow"/>
          <w:sz w:val="16"/>
          <w:szCs w:val="16"/>
        </w:rPr>
        <w:t>атмосферата</w:t>
      </w:r>
      <w:proofErr w:type="spellEnd"/>
      <w:r w:rsidR="00663335">
        <w:rPr>
          <w:rFonts w:ascii="Arial Narrow" w:hAnsi="Arial Narrow"/>
          <w:sz w:val="16"/>
          <w:szCs w:val="16"/>
        </w:rPr>
        <w:t xml:space="preserve"> е </w:t>
      </w:r>
      <w:proofErr w:type="spellStart"/>
      <w:r w:rsidR="00663335">
        <w:rPr>
          <w:rFonts w:ascii="Arial Narrow" w:hAnsi="Arial Narrow"/>
          <w:sz w:val="16"/>
          <w:szCs w:val="16"/>
        </w:rPr>
        <w:t>постоянна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условията</w:t>
      </w:r>
      <w:proofErr w:type="spellEnd"/>
      <w:r w:rsidR="00663335">
        <w:rPr>
          <w:rFonts w:ascii="Arial Narrow" w:hAnsi="Arial Narrow"/>
          <w:sz w:val="16"/>
          <w:szCs w:val="16"/>
        </w:rPr>
        <w:t xml:space="preserve"> в </w:t>
      </w:r>
      <w:proofErr w:type="spellStart"/>
      <w:r w:rsidR="00663335">
        <w:rPr>
          <w:rFonts w:ascii="Arial Narrow" w:hAnsi="Arial Narrow"/>
          <w:sz w:val="16"/>
          <w:szCs w:val="16"/>
        </w:rPr>
        <w:t>атмосферата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температура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скорост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вятъра</w:t>
      </w:r>
      <w:proofErr w:type="spellEnd"/>
      <w:r w:rsidR="00663335">
        <w:rPr>
          <w:rFonts w:ascii="Arial Narrow" w:hAnsi="Arial Narrow"/>
          <w:sz w:val="16"/>
          <w:szCs w:val="16"/>
        </w:rPr>
        <w:t xml:space="preserve"> и </w:t>
      </w:r>
      <w:proofErr w:type="spellStart"/>
      <w:r w:rsidR="00663335">
        <w:rPr>
          <w:rFonts w:ascii="Arial Narrow" w:hAnsi="Arial Narrow"/>
          <w:sz w:val="16"/>
          <w:szCs w:val="16"/>
        </w:rPr>
        <w:t>други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постоянни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часова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основа</w:t>
      </w:r>
      <w:proofErr w:type="spellEnd"/>
      <w:r w:rsidR="00663335">
        <w:rPr>
          <w:rFonts w:ascii="Arial Narrow" w:hAnsi="Arial Narrow"/>
          <w:sz w:val="16"/>
          <w:szCs w:val="16"/>
        </w:rPr>
        <w:t xml:space="preserve"> и </w:t>
      </w:r>
      <w:proofErr w:type="spellStart"/>
      <w:r w:rsidR="00663335">
        <w:rPr>
          <w:rFonts w:ascii="Arial Narrow" w:hAnsi="Arial Narrow"/>
          <w:sz w:val="16"/>
          <w:szCs w:val="16"/>
        </w:rPr>
        <w:t>скоростта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вятъра</w:t>
      </w:r>
      <w:proofErr w:type="spellEnd"/>
      <w:r w:rsidR="00663335">
        <w:rPr>
          <w:rFonts w:ascii="Arial Narrow" w:hAnsi="Arial Narrow"/>
          <w:sz w:val="16"/>
          <w:szCs w:val="16"/>
        </w:rPr>
        <w:t xml:space="preserve"> е </w:t>
      </w:r>
      <w:proofErr w:type="spellStart"/>
      <w:r w:rsidR="00663335">
        <w:rPr>
          <w:rFonts w:ascii="Arial Narrow" w:hAnsi="Arial Narrow"/>
          <w:sz w:val="16"/>
          <w:szCs w:val="16"/>
        </w:rPr>
        <w:t>по-голяма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w:t>
      </w:r>
      <w:proofErr w:type="spellEnd"/>
      <w:r w:rsidR="00663335">
        <w:rPr>
          <w:rFonts w:ascii="Arial Narrow" w:hAnsi="Arial Narrow"/>
          <w:sz w:val="16"/>
          <w:szCs w:val="16"/>
        </w:rPr>
        <w:t xml:space="preserve"> 0.9 m/s. </w:t>
      </w:r>
      <w:proofErr w:type="spellStart"/>
      <w:r w:rsidR="00663335">
        <w:rPr>
          <w:rFonts w:ascii="Arial Narrow" w:hAnsi="Arial Narrow"/>
          <w:sz w:val="16"/>
          <w:szCs w:val="16"/>
        </w:rPr>
        <w:t>Имайки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предвид</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горе-споменатите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предположения</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беше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изчислено</w:t>
      </w:r>
      <w:proofErr w:type="spellEnd"/>
      <w:r w:rsidR="00663335">
        <w:rPr>
          <w:rFonts w:ascii="Arial Narrow" w:hAnsi="Arial Narrow"/>
          <w:sz w:val="16"/>
          <w:szCs w:val="16"/>
        </w:rPr>
        <w:t xml:space="preserve"> </w:t>
      </w:r>
      <w:proofErr w:type="spellStart"/>
      <w:r w:rsidR="00663335" w:rsidRPr="00E03CFC">
        <w:rPr>
          <w:rFonts w:ascii="Arial Narrow" w:hAnsi="Arial Narrow"/>
          <w:sz w:val="16"/>
          <w:szCs w:val="16"/>
        </w:rPr>
        <w:t>че</w:t>
      </w:r>
      <w:proofErr w:type="spellEnd"/>
      <w:r w:rsidR="00663335" w:rsidRPr="00E03CFC">
        <w:rPr>
          <w:rFonts w:ascii="Arial Narrow" w:hAnsi="Arial Narrow"/>
          <w:sz w:val="16"/>
          <w:szCs w:val="16"/>
        </w:rPr>
        <w:t xml:space="preserve"> </w:t>
      </w:r>
      <w:r w:rsidR="00C33C96" w:rsidRPr="00E03CFC">
        <w:rPr>
          <w:rFonts w:ascii="Arial Narrow" w:hAnsi="Arial Narrow"/>
          <w:sz w:val="16"/>
          <w:szCs w:val="16"/>
          <w:lang w:val="bg-BG"/>
        </w:rPr>
        <w:t>3</w:t>
      </w:r>
      <w:r w:rsidR="00C33C96" w:rsidRPr="00E03CFC">
        <w:rPr>
          <w:rFonts w:ascii="Arial Narrow" w:hAnsi="Arial Narrow"/>
          <w:sz w:val="16"/>
          <w:szCs w:val="16"/>
        </w:rPr>
        <w:t>.57 g /m</w:t>
      </w:r>
      <w:r w:rsidR="00C33C96" w:rsidRPr="00E03CFC">
        <w:rPr>
          <w:rFonts w:ascii="Arial Narrow" w:hAnsi="Arial Narrow"/>
          <w:sz w:val="16"/>
          <w:szCs w:val="16"/>
          <w:vertAlign w:val="superscript"/>
        </w:rPr>
        <w:t>3</w:t>
      </w:r>
      <w:r w:rsidR="00C33C96" w:rsidRPr="00E03CFC">
        <w:rPr>
          <w:rFonts w:ascii="Arial Narrow" w:hAnsi="Arial Narrow"/>
          <w:sz w:val="16"/>
          <w:szCs w:val="16"/>
          <w:vertAlign w:val="subscript"/>
        </w:rPr>
        <w:t>N</w:t>
      </w:r>
      <w:r w:rsidR="00C33C96" w:rsidRPr="00E03CFC">
        <w:rPr>
          <w:rFonts w:ascii="Arial Narrow" w:hAnsi="Arial Narrow"/>
          <w:sz w:val="16"/>
          <w:szCs w:val="16"/>
        </w:rPr>
        <w:t>s</w:t>
      </w:r>
      <w:r w:rsidR="00C33C96">
        <w:rPr>
          <w:rFonts w:ascii="Arial Narrow" w:hAnsi="Arial Narrow"/>
          <w:sz w:val="16"/>
          <w:szCs w:val="16"/>
        </w:rPr>
        <w:t xml:space="preserve"> </w:t>
      </w:r>
      <w:proofErr w:type="spellStart"/>
      <w:r w:rsidR="00663335">
        <w:rPr>
          <w:rFonts w:ascii="Arial Narrow" w:hAnsi="Arial Narrow"/>
          <w:sz w:val="16"/>
          <w:szCs w:val="16"/>
        </w:rPr>
        <w:t>биха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отделили</w:t>
      </w:r>
      <w:proofErr w:type="spellEnd"/>
      <w:r w:rsidR="00663335">
        <w:rPr>
          <w:rFonts w:ascii="Arial Narrow" w:hAnsi="Arial Narrow"/>
          <w:sz w:val="16"/>
          <w:szCs w:val="16"/>
        </w:rPr>
        <w:t xml:space="preserve"> в </w:t>
      </w:r>
      <w:proofErr w:type="spellStart"/>
      <w:r w:rsidR="00663335">
        <w:rPr>
          <w:rFonts w:ascii="Arial Narrow" w:hAnsi="Arial Narrow"/>
          <w:sz w:val="16"/>
          <w:szCs w:val="16"/>
        </w:rPr>
        <w:t>атмосферата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ако</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инсталацията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за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пречистване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димните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газове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ТЕЦ „</w:t>
      </w:r>
      <w:proofErr w:type="spellStart"/>
      <w:r w:rsidR="00663335">
        <w:rPr>
          <w:rFonts w:ascii="Arial Narrow" w:hAnsi="Arial Narrow"/>
          <w:sz w:val="16"/>
          <w:szCs w:val="16"/>
        </w:rPr>
        <w:t>Бобов</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дол</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функционира</w:t>
      </w:r>
      <w:proofErr w:type="spellEnd"/>
      <w:r w:rsidR="00663335">
        <w:rPr>
          <w:rFonts w:ascii="Arial Narrow" w:hAnsi="Arial Narrow"/>
          <w:sz w:val="16"/>
          <w:szCs w:val="16"/>
        </w:rPr>
        <w:t xml:space="preserve">. </w:t>
      </w:r>
      <w:proofErr w:type="spellStart"/>
      <w:proofErr w:type="gramStart"/>
      <w:r w:rsidR="00663335">
        <w:rPr>
          <w:rFonts w:ascii="Arial Narrow" w:hAnsi="Arial Narrow"/>
          <w:sz w:val="16"/>
          <w:szCs w:val="16"/>
        </w:rPr>
        <w:t>Моделиране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дисперсията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SO</w:t>
      </w:r>
      <w:r w:rsidR="00663335" w:rsidRPr="00A76D4F">
        <w:rPr>
          <w:rFonts w:ascii="Arial Narrow" w:hAnsi="Arial Narrow"/>
          <w:sz w:val="16"/>
          <w:szCs w:val="16"/>
          <w:vertAlign w:val="subscript"/>
        </w:rPr>
        <w:t>2</w:t>
      </w:r>
      <w:r w:rsidR="00663335">
        <w:rPr>
          <w:rFonts w:ascii="Arial Narrow" w:hAnsi="Arial Narrow"/>
          <w:sz w:val="16"/>
          <w:szCs w:val="16"/>
          <w:vertAlign w:val="subscript"/>
        </w:rPr>
        <w:t xml:space="preserve"> </w:t>
      </w:r>
      <w:proofErr w:type="spellStart"/>
      <w:r w:rsidR="00663335" w:rsidRPr="00A718D0">
        <w:rPr>
          <w:rFonts w:ascii="Arial Narrow" w:hAnsi="Arial Narrow"/>
          <w:sz w:val="16"/>
          <w:szCs w:val="16"/>
        </w:rPr>
        <w:t>беше</w:t>
      </w:r>
      <w:proofErr w:type="spellEnd"/>
      <w:r w:rsidR="00663335" w:rsidRPr="00A718D0">
        <w:rPr>
          <w:rFonts w:ascii="Arial Narrow" w:hAnsi="Arial Narrow"/>
          <w:sz w:val="16"/>
          <w:szCs w:val="16"/>
        </w:rPr>
        <w:t xml:space="preserve"> </w:t>
      </w:r>
      <w:proofErr w:type="spellStart"/>
      <w:r w:rsidR="00663335" w:rsidRPr="00A718D0">
        <w:rPr>
          <w:rFonts w:ascii="Arial Narrow" w:hAnsi="Arial Narrow"/>
          <w:sz w:val="16"/>
          <w:szCs w:val="16"/>
        </w:rPr>
        <w:t>осъществена</w:t>
      </w:r>
      <w:proofErr w:type="spellEnd"/>
      <w:r w:rsidR="00663335" w:rsidRPr="00A718D0">
        <w:rPr>
          <w:rFonts w:ascii="Arial Narrow" w:hAnsi="Arial Narrow"/>
          <w:sz w:val="16"/>
          <w:szCs w:val="16"/>
        </w:rPr>
        <w:t xml:space="preserve"> </w:t>
      </w:r>
      <w:r w:rsidR="00663335">
        <w:rPr>
          <w:rFonts w:ascii="Arial Narrow" w:hAnsi="Arial Narrow"/>
          <w:sz w:val="16"/>
          <w:szCs w:val="16"/>
        </w:rPr>
        <w:t xml:space="preserve">в </w:t>
      </w:r>
      <w:proofErr w:type="spellStart"/>
      <w:r w:rsidR="00663335">
        <w:rPr>
          <w:rFonts w:ascii="Arial Narrow" w:hAnsi="Arial Narrow"/>
          <w:sz w:val="16"/>
          <w:szCs w:val="16"/>
        </w:rPr>
        <w:t>зависимост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категориите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стабилност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атмосферата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което</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определи</w:t>
      </w:r>
      <w:proofErr w:type="spellEnd"/>
      <w:r w:rsidR="00663335">
        <w:rPr>
          <w:rFonts w:ascii="Arial Narrow" w:hAnsi="Arial Narrow"/>
          <w:sz w:val="16"/>
          <w:szCs w:val="16"/>
        </w:rPr>
        <w:t xml:space="preserve"> </w:t>
      </w:r>
      <w:proofErr w:type="spellStart"/>
      <w:r w:rsidR="00E03CFC">
        <w:rPr>
          <w:rFonts w:ascii="Arial Narrow" w:hAnsi="Arial Narrow"/>
          <w:sz w:val="16"/>
          <w:szCs w:val="16"/>
        </w:rPr>
        <w:t>съответните</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стойности</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на</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дисперсионните</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коефициенти</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на</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газа</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σ</w:t>
      </w:r>
      <w:r w:rsidR="00E03CFC" w:rsidRPr="00A76D4F">
        <w:rPr>
          <w:rFonts w:ascii="Arial Narrow" w:hAnsi="Arial Narrow"/>
          <w:sz w:val="16"/>
          <w:szCs w:val="16"/>
          <w:vertAlign w:val="subscript"/>
        </w:rPr>
        <w:t>y</w:t>
      </w:r>
      <w:proofErr w:type="spellEnd"/>
      <w:r w:rsidR="00E03CFC">
        <w:rPr>
          <w:rFonts w:ascii="Arial Narrow" w:hAnsi="Arial Narrow"/>
          <w:sz w:val="16"/>
          <w:szCs w:val="16"/>
        </w:rPr>
        <w:t xml:space="preserve">, </w:t>
      </w:r>
      <w:proofErr w:type="spellStart"/>
      <w:r w:rsidR="00E03CFC">
        <w:rPr>
          <w:rFonts w:ascii="Arial Narrow" w:hAnsi="Arial Narrow"/>
          <w:sz w:val="16"/>
          <w:szCs w:val="16"/>
        </w:rPr>
        <w:t>σ</w:t>
      </w:r>
      <w:r w:rsidR="00E03CFC" w:rsidRPr="00A76D4F">
        <w:rPr>
          <w:rFonts w:ascii="Arial Narrow" w:hAnsi="Arial Narrow"/>
          <w:sz w:val="16"/>
          <w:szCs w:val="16"/>
          <w:vertAlign w:val="subscript"/>
        </w:rPr>
        <w:t>z</w:t>
      </w:r>
      <w:proofErr w:type="spellEnd"/>
      <w:r w:rsidR="00E03CFC">
        <w:rPr>
          <w:rFonts w:ascii="Arial Narrow" w:hAnsi="Arial Narrow"/>
          <w:sz w:val="16"/>
          <w:szCs w:val="16"/>
        </w:rPr>
        <w:t xml:space="preserve">) </w:t>
      </w:r>
      <w:r w:rsidR="00E03CFC">
        <w:rPr>
          <w:rFonts w:ascii="Arial Narrow" w:hAnsi="Arial Narrow"/>
          <w:sz w:val="16"/>
          <w:szCs w:val="16"/>
          <w:lang w:val="bg-BG"/>
        </w:rPr>
        <w:t xml:space="preserve">и </w:t>
      </w:r>
      <w:proofErr w:type="spellStart"/>
      <w:r w:rsidR="00663335">
        <w:rPr>
          <w:rFonts w:ascii="Arial Narrow" w:hAnsi="Arial Narrow"/>
          <w:sz w:val="16"/>
          <w:szCs w:val="16"/>
        </w:rPr>
        <w:t>ефективната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височина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издигане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газовия</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поток</w:t>
      </w:r>
      <w:proofErr w:type="spellEnd"/>
      <w:r w:rsidR="00663335">
        <w:rPr>
          <w:rFonts w:ascii="Arial Narrow" w:hAnsi="Arial Narrow"/>
          <w:sz w:val="16"/>
          <w:szCs w:val="16"/>
        </w:rPr>
        <w:t xml:space="preserve"> (h</w:t>
      </w:r>
      <w:r w:rsidR="00663335" w:rsidRPr="00A76D4F">
        <w:rPr>
          <w:rFonts w:ascii="Arial Narrow" w:hAnsi="Arial Narrow"/>
          <w:sz w:val="16"/>
          <w:szCs w:val="16"/>
          <w:vertAlign w:val="subscript"/>
        </w:rPr>
        <w:t>e</w:t>
      </w:r>
      <w:r w:rsidR="00663335">
        <w:rPr>
          <w:rFonts w:ascii="Arial Narrow" w:hAnsi="Arial Narrow"/>
          <w:sz w:val="16"/>
          <w:szCs w:val="16"/>
        </w:rPr>
        <w:t xml:space="preserve">) в </w:t>
      </w:r>
      <w:proofErr w:type="spellStart"/>
      <w:r w:rsidR="00663335">
        <w:rPr>
          <w:rFonts w:ascii="Arial Narrow" w:hAnsi="Arial Narrow"/>
          <w:sz w:val="16"/>
          <w:szCs w:val="16"/>
        </w:rPr>
        <w:t>атмосферата</w:t>
      </w:r>
      <w:proofErr w:type="spellEnd"/>
      <w:r w:rsidR="00663335">
        <w:rPr>
          <w:rFonts w:ascii="Arial Narrow" w:hAnsi="Arial Narrow"/>
          <w:sz w:val="16"/>
          <w:szCs w:val="16"/>
        </w:rPr>
        <w:t>.</w:t>
      </w:r>
      <w:proofErr w:type="gramEnd"/>
      <w:r w:rsidR="00663335">
        <w:rPr>
          <w:rFonts w:ascii="Arial Narrow" w:hAnsi="Arial Narrow"/>
          <w:sz w:val="16"/>
          <w:szCs w:val="16"/>
        </w:rPr>
        <w:t xml:space="preserve"> </w:t>
      </w:r>
      <w:proofErr w:type="spellStart"/>
      <w:r w:rsidR="00663335">
        <w:rPr>
          <w:rFonts w:ascii="Arial Narrow" w:hAnsi="Arial Narrow"/>
          <w:sz w:val="16"/>
          <w:szCs w:val="16"/>
        </w:rPr>
        <w:t>Розата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вятъра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определи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че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за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периода</w:t>
      </w:r>
      <w:proofErr w:type="spellEnd"/>
      <w:r w:rsidR="00663335">
        <w:rPr>
          <w:rFonts w:ascii="Arial Narrow" w:hAnsi="Arial Narrow"/>
          <w:sz w:val="16"/>
          <w:szCs w:val="16"/>
        </w:rPr>
        <w:t xml:space="preserve"> </w:t>
      </w:r>
      <w:r w:rsidR="00117987">
        <w:rPr>
          <w:rFonts w:ascii="Arial Narrow" w:hAnsi="Arial Narrow"/>
          <w:sz w:val="16"/>
          <w:szCs w:val="16"/>
          <w:lang w:val="bg-BG"/>
        </w:rPr>
        <w:t xml:space="preserve">Ноември </w:t>
      </w:r>
      <w:r w:rsidR="00663335">
        <w:rPr>
          <w:rFonts w:ascii="Arial Narrow" w:hAnsi="Arial Narrow"/>
          <w:sz w:val="16"/>
          <w:szCs w:val="16"/>
        </w:rPr>
        <w:t>2014-</w:t>
      </w:r>
      <w:r w:rsidR="00117987">
        <w:rPr>
          <w:rFonts w:ascii="Arial Narrow" w:hAnsi="Arial Narrow"/>
          <w:sz w:val="16"/>
          <w:szCs w:val="16"/>
          <w:lang w:val="bg-BG"/>
        </w:rPr>
        <w:t xml:space="preserve">Февруари </w:t>
      </w:r>
      <w:r w:rsidR="00663335">
        <w:rPr>
          <w:rFonts w:ascii="Arial Narrow" w:hAnsi="Arial Narrow"/>
          <w:sz w:val="16"/>
          <w:szCs w:val="16"/>
        </w:rPr>
        <w:t xml:space="preserve">2015 </w:t>
      </w:r>
      <w:proofErr w:type="spellStart"/>
      <w:r w:rsidR="00663335">
        <w:rPr>
          <w:rFonts w:ascii="Arial Narrow" w:hAnsi="Arial Narrow"/>
          <w:sz w:val="16"/>
          <w:szCs w:val="16"/>
        </w:rPr>
        <w:t>година</w:t>
      </w:r>
      <w:proofErr w:type="spellEnd"/>
      <w:r w:rsidR="00117987">
        <w:rPr>
          <w:rFonts w:ascii="Arial Narrow" w:hAnsi="Arial Narrow"/>
          <w:sz w:val="16"/>
          <w:szCs w:val="16"/>
          <w:lang w:val="bg-BG"/>
        </w:rPr>
        <w:t>,</w:t>
      </w:r>
      <w:r w:rsidR="00663335">
        <w:rPr>
          <w:rFonts w:ascii="Arial Narrow" w:hAnsi="Arial Narrow"/>
          <w:sz w:val="16"/>
          <w:szCs w:val="16"/>
        </w:rPr>
        <w:t xml:space="preserve"> в </w:t>
      </w:r>
      <w:proofErr w:type="spellStart"/>
      <w:r w:rsidR="00663335">
        <w:rPr>
          <w:rFonts w:ascii="Arial Narrow" w:hAnsi="Arial Narrow"/>
          <w:sz w:val="16"/>
          <w:szCs w:val="16"/>
        </w:rPr>
        <w:t>повечето</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случаи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отделеният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димен</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поток</w:t>
      </w:r>
      <w:proofErr w:type="spellEnd"/>
      <w:r w:rsidR="00663335">
        <w:rPr>
          <w:rFonts w:ascii="Arial Narrow" w:hAnsi="Arial Narrow"/>
          <w:sz w:val="16"/>
          <w:szCs w:val="16"/>
        </w:rPr>
        <w:t xml:space="preserve"> в </w:t>
      </w:r>
      <w:proofErr w:type="spellStart"/>
      <w:r w:rsidR="00663335">
        <w:rPr>
          <w:rFonts w:ascii="Arial Narrow" w:hAnsi="Arial Narrow"/>
          <w:sz w:val="16"/>
          <w:szCs w:val="16"/>
        </w:rPr>
        <w:t>атмосферата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бил</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транспортиран</w:t>
      </w:r>
      <w:proofErr w:type="spellEnd"/>
      <w:r w:rsidR="00663335">
        <w:rPr>
          <w:rFonts w:ascii="Arial Narrow" w:hAnsi="Arial Narrow"/>
          <w:sz w:val="16"/>
          <w:szCs w:val="16"/>
        </w:rPr>
        <w:t xml:space="preserve"> в </w:t>
      </w:r>
      <w:proofErr w:type="spellStart"/>
      <w:r w:rsidR="00663335">
        <w:rPr>
          <w:rFonts w:ascii="Arial Narrow" w:hAnsi="Arial Narrow"/>
          <w:sz w:val="16"/>
          <w:szCs w:val="16"/>
        </w:rPr>
        <w:t>северна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посока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към</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Радомир</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южния</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вятър</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чиято</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преобладаваща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скорост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до</w:t>
      </w:r>
      <w:proofErr w:type="spellEnd"/>
      <w:r w:rsidR="00663335">
        <w:rPr>
          <w:rFonts w:ascii="Arial Narrow" w:hAnsi="Arial Narrow"/>
          <w:sz w:val="16"/>
          <w:szCs w:val="16"/>
        </w:rPr>
        <w:t xml:space="preserve"> 5 m/s. </w:t>
      </w:r>
      <w:proofErr w:type="spellStart"/>
      <w:r w:rsidR="00663335">
        <w:rPr>
          <w:rFonts w:ascii="Arial Narrow" w:hAnsi="Arial Narrow"/>
          <w:sz w:val="16"/>
          <w:szCs w:val="16"/>
        </w:rPr>
        <w:t>Въпреки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това</w:t>
      </w:r>
      <w:proofErr w:type="spellEnd"/>
      <w:r w:rsidR="00663335">
        <w:rPr>
          <w:rFonts w:ascii="Arial Narrow" w:hAnsi="Arial Narrow"/>
          <w:sz w:val="16"/>
          <w:szCs w:val="16"/>
        </w:rPr>
        <w:t xml:space="preserve">, </w:t>
      </w:r>
      <w:r w:rsidR="00822832">
        <w:rPr>
          <w:rFonts w:ascii="Arial Narrow" w:hAnsi="Arial Narrow"/>
          <w:sz w:val="16"/>
          <w:szCs w:val="16"/>
          <w:lang w:val="bg-BG"/>
        </w:rPr>
        <w:t xml:space="preserve">беше </w:t>
      </w:r>
      <w:proofErr w:type="spellStart"/>
      <w:r w:rsidR="00663335">
        <w:rPr>
          <w:rFonts w:ascii="Arial Narrow" w:hAnsi="Arial Narrow"/>
          <w:sz w:val="16"/>
          <w:szCs w:val="16"/>
        </w:rPr>
        <w:t>определ</w:t>
      </w:r>
      <w:r w:rsidR="00822832">
        <w:rPr>
          <w:rFonts w:ascii="Arial Narrow" w:hAnsi="Arial Narrow"/>
          <w:sz w:val="16"/>
          <w:szCs w:val="16"/>
          <w:lang w:val="bg-BG"/>
        </w:rPr>
        <w:t>ено</w:t>
      </w:r>
      <w:proofErr w:type="spellEnd"/>
      <w:r w:rsidR="00822832">
        <w:rPr>
          <w:rFonts w:ascii="Arial Narrow" w:hAnsi="Arial Narrow"/>
          <w:sz w:val="16"/>
          <w:szCs w:val="16"/>
          <w:lang w:val="bg-BG"/>
        </w:rPr>
        <w:t xml:space="preserve"> </w:t>
      </w:r>
      <w:proofErr w:type="spellStart"/>
      <w:r w:rsidR="00663335">
        <w:rPr>
          <w:rFonts w:ascii="Arial Narrow" w:hAnsi="Arial Narrow"/>
          <w:sz w:val="16"/>
          <w:szCs w:val="16"/>
        </w:rPr>
        <w:t>че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приземната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концентрация</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SO</w:t>
      </w:r>
      <w:r w:rsidR="00663335" w:rsidRPr="00635B8A">
        <w:rPr>
          <w:rFonts w:ascii="Arial Narrow" w:hAnsi="Arial Narrow"/>
          <w:sz w:val="16"/>
          <w:szCs w:val="16"/>
          <w:vertAlign w:val="subscript"/>
        </w:rPr>
        <w:t>2</w:t>
      </w:r>
      <w:r w:rsidR="00663335">
        <w:rPr>
          <w:rFonts w:ascii="Arial Narrow" w:hAnsi="Arial Narrow"/>
          <w:sz w:val="16"/>
          <w:szCs w:val="16"/>
        </w:rPr>
        <w:t xml:space="preserve"> </w:t>
      </w:r>
      <w:proofErr w:type="spellStart"/>
      <w:r w:rsidR="00663335">
        <w:rPr>
          <w:rFonts w:ascii="Arial Narrow" w:hAnsi="Arial Narrow"/>
          <w:sz w:val="16"/>
          <w:szCs w:val="16"/>
        </w:rPr>
        <w:t>би</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била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по-висока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Пределно</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Допустимите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Концентрации</w:t>
      </w:r>
      <w:proofErr w:type="spellEnd"/>
      <w:r w:rsidR="00663335">
        <w:rPr>
          <w:rFonts w:ascii="Arial Narrow" w:hAnsi="Arial Narrow"/>
          <w:sz w:val="16"/>
          <w:szCs w:val="16"/>
        </w:rPr>
        <w:t xml:space="preserve"> (ПДК)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разстояние</w:t>
      </w:r>
      <w:proofErr w:type="spellEnd"/>
      <w:r w:rsidR="00663335">
        <w:rPr>
          <w:rFonts w:ascii="Arial Narrow" w:hAnsi="Arial Narrow"/>
          <w:sz w:val="16"/>
          <w:szCs w:val="16"/>
        </w:rPr>
        <w:t xml:space="preserve"> 1-5 </w:t>
      </w:r>
      <w:proofErr w:type="spellStart"/>
      <w:r w:rsidR="00663335">
        <w:rPr>
          <w:rFonts w:ascii="Arial Narrow" w:hAnsi="Arial Narrow"/>
          <w:sz w:val="16"/>
          <w:szCs w:val="16"/>
        </w:rPr>
        <w:t>км</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от</w:t>
      </w:r>
      <w:proofErr w:type="spellEnd"/>
      <w:r w:rsidR="00663335">
        <w:rPr>
          <w:rFonts w:ascii="Arial Narrow" w:hAnsi="Arial Narrow"/>
          <w:sz w:val="16"/>
          <w:szCs w:val="16"/>
        </w:rPr>
        <w:t xml:space="preserve"> ТЕЦ „</w:t>
      </w:r>
      <w:proofErr w:type="spellStart"/>
      <w:r w:rsidR="00663335">
        <w:rPr>
          <w:rFonts w:ascii="Arial Narrow" w:hAnsi="Arial Narrow"/>
          <w:sz w:val="16"/>
          <w:szCs w:val="16"/>
        </w:rPr>
        <w:t>Бобов</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дол</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само</w:t>
      </w:r>
      <w:proofErr w:type="spellEnd"/>
      <w:r w:rsidR="00663335">
        <w:rPr>
          <w:rFonts w:ascii="Arial Narrow" w:hAnsi="Arial Narrow"/>
          <w:sz w:val="16"/>
          <w:szCs w:val="16"/>
        </w:rPr>
        <w:t xml:space="preserve"> в </w:t>
      </w:r>
      <w:proofErr w:type="spellStart"/>
      <w:r w:rsidR="00663335">
        <w:rPr>
          <w:rFonts w:ascii="Arial Narrow" w:hAnsi="Arial Narrow"/>
          <w:sz w:val="16"/>
          <w:szCs w:val="16"/>
        </w:rPr>
        <w:t>случаите</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когато</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скоростта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на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вятъра</w:t>
      </w:r>
      <w:proofErr w:type="spellEnd"/>
      <w:r w:rsidR="00663335">
        <w:rPr>
          <w:rFonts w:ascii="Arial Narrow" w:hAnsi="Arial Narrow"/>
          <w:sz w:val="16"/>
          <w:szCs w:val="16"/>
        </w:rPr>
        <w:t xml:space="preserve"> и </w:t>
      </w:r>
      <w:proofErr w:type="spellStart"/>
      <w:r w:rsidR="00663335">
        <w:rPr>
          <w:rFonts w:ascii="Arial Narrow" w:hAnsi="Arial Narrow"/>
          <w:sz w:val="16"/>
          <w:szCs w:val="16"/>
        </w:rPr>
        <w:t>слънчевата</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радиация</w:t>
      </w:r>
      <w:proofErr w:type="spellEnd"/>
      <w:r w:rsidR="00663335">
        <w:rPr>
          <w:rFonts w:ascii="Arial Narrow" w:hAnsi="Arial Narrow"/>
          <w:sz w:val="16"/>
          <w:szCs w:val="16"/>
        </w:rPr>
        <w:t xml:space="preserve"> </w:t>
      </w:r>
      <w:proofErr w:type="spellStart"/>
      <w:r w:rsidR="00663335">
        <w:rPr>
          <w:rFonts w:ascii="Arial Narrow" w:hAnsi="Arial Narrow"/>
          <w:sz w:val="16"/>
          <w:szCs w:val="16"/>
        </w:rPr>
        <w:t>са</w:t>
      </w:r>
      <w:proofErr w:type="spellEnd"/>
      <w:r w:rsidR="00663335">
        <w:rPr>
          <w:rFonts w:ascii="Arial Narrow" w:hAnsi="Arial Narrow"/>
          <w:sz w:val="16"/>
          <w:szCs w:val="16"/>
        </w:rPr>
        <w:t xml:space="preserve"> в </w:t>
      </w:r>
      <w:proofErr w:type="spellStart"/>
      <w:r w:rsidR="00663335">
        <w:rPr>
          <w:rFonts w:ascii="Arial Narrow" w:hAnsi="Arial Narrow"/>
          <w:sz w:val="16"/>
          <w:szCs w:val="16"/>
        </w:rPr>
        <w:t>границите</w:t>
      </w:r>
      <w:proofErr w:type="spellEnd"/>
      <w:r w:rsidR="00663335">
        <w:rPr>
          <w:rFonts w:ascii="Arial Narrow" w:hAnsi="Arial Narrow"/>
          <w:sz w:val="16"/>
          <w:szCs w:val="16"/>
        </w:rPr>
        <w:t xml:space="preserve"> 1</w:t>
      </w:r>
      <w:r w:rsidR="00822832">
        <w:rPr>
          <w:rFonts w:ascii="Arial Narrow" w:hAnsi="Arial Narrow"/>
          <w:sz w:val="16"/>
          <w:szCs w:val="16"/>
          <w:lang w:val="bg-BG"/>
        </w:rPr>
        <w:t>.0</w:t>
      </w:r>
      <w:r w:rsidR="00663335">
        <w:rPr>
          <w:rFonts w:ascii="Arial Narrow" w:hAnsi="Arial Narrow"/>
          <w:sz w:val="16"/>
          <w:szCs w:val="16"/>
        </w:rPr>
        <w:t>-</w:t>
      </w:r>
      <w:r w:rsidR="00822832">
        <w:rPr>
          <w:rFonts w:ascii="Arial Narrow" w:hAnsi="Arial Narrow"/>
          <w:sz w:val="16"/>
          <w:szCs w:val="16"/>
          <w:lang w:val="bg-BG"/>
        </w:rPr>
        <w:t>1.</w:t>
      </w:r>
      <w:r w:rsidR="00663335">
        <w:rPr>
          <w:rFonts w:ascii="Arial Narrow" w:hAnsi="Arial Narrow"/>
          <w:sz w:val="16"/>
          <w:szCs w:val="16"/>
        </w:rPr>
        <w:t>2 m/s и 0.015-0.029 kW/ m</w:t>
      </w:r>
      <w:r w:rsidR="00663335" w:rsidRPr="00635B8A">
        <w:rPr>
          <w:rFonts w:ascii="Arial Narrow" w:hAnsi="Arial Narrow"/>
          <w:sz w:val="16"/>
          <w:szCs w:val="16"/>
          <w:vertAlign w:val="superscript"/>
        </w:rPr>
        <w:t>2</w:t>
      </w:r>
      <w:r w:rsidR="00663335">
        <w:rPr>
          <w:rFonts w:ascii="Arial Narrow" w:hAnsi="Arial Narrow"/>
          <w:sz w:val="16"/>
          <w:szCs w:val="16"/>
        </w:rPr>
        <w:t xml:space="preserve">, </w:t>
      </w:r>
      <w:proofErr w:type="spellStart"/>
      <w:r w:rsidR="00663335">
        <w:rPr>
          <w:rFonts w:ascii="Arial Narrow" w:hAnsi="Arial Narrow"/>
          <w:sz w:val="16"/>
          <w:szCs w:val="16"/>
        </w:rPr>
        <w:t>съответно</w:t>
      </w:r>
      <w:proofErr w:type="spellEnd"/>
      <w:r w:rsidR="00663335">
        <w:rPr>
          <w:rFonts w:ascii="Arial Narrow" w:hAnsi="Arial Narrow"/>
          <w:sz w:val="16"/>
          <w:szCs w:val="16"/>
        </w:rPr>
        <w:t>.</w:t>
      </w:r>
    </w:p>
    <w:p w:rsidR="003B1283" w:rsidRPr="003B1283" w:rsidRDefault="003B1283" w:rsidP="003B1283">
      <w:pPr>
        <w:widowControl/>
        <w:jc w:val="both"/>
        <w:rPr>
          <w:rFonts w:ascii="Arial Narrow" w:hAnsi="Arial Narrow" w:cs="Arial Narrow"/>
          <w:sz w:val="28"/>
          <w:szCs w:val="28"/>
          <w:lang w:val="bg-BG" w:eastAsia="bg-BG" w:bidi="ar-SA"/>
        </w:rPr>
      </w:pPr>
    </w:p>
    <w:p w:rsidR="00E10A9A" w:rsidRDefault="00E10A9A" w:rsidP="003B1283">
      <w:pPr>
        <w:sectPr w:rsidR="00E10A9A" w:rsidSect="00937121">
          <w:footerReference w:type="default" r:id="rId11"/>
          <w:type w:val="continuous"/>
          <w:pgSz w:w="11906" w:h="16838" w:code="9"/>
          <w:pgMar w:top="1021" w:right="1134" w:bottom="1247" w:left="1134" w:header="720" w:footer="794" w:gutter="0"/>
          <w:pgNumType w:start="90"/>
          <w:cols w:space="720"/>
          <w:docGrid w:linePitch="240"/>
        </w:sectPr>
      </w:pPr>
    </w:p>
    <w:p w:rsidR="00E10A9A" w:rsidRDefault="001F1AEF" w:rsidP="003B1283">
      <w:pPr>
        <w:rPr>
          <w:rFonts w:cs="Times New Roman"/>
          <w:sz w:val="20"/>
          <w:szCs w:val="20"/>
          <w:lang w:eastAsia="bg-BG" w:bidi="ar-SA"/>
        </w:rPr>
      </w:pPr>
      <w:proofErr w:type="spellStart"/>
      <w:r>
        <w:rPr>
          <w:rFonts w:ascii="Arial Narrow" w:hAnsi="Arial Narrow" w:cs="Arial Narrow"/>
          <w:b/>
          <w:bCs/>
          <w:lang w:val="bg-BG" w:eastAsia="bg-BG" w:bidi="ar-SA"/>
        </w:rPr>
        <w:lastRenderedPageBreak/>
        <w:t>Introduction</w:t>
      </w:r>
      <w:proofErr w:type="spellEnd"/>
    </w:p>
    <w:p w:rsidR="00E10A9A" w:rsidRDefault="00E10A9A" w:rsidP="003B1283">
      <w:pPr>
        <w:rPr>
          <w:rFonts w:cs="Times New Roman"/>
          <w:lang w:val="bg-BG" w:eastAsia="bg-BG" w:bidi="ar-SA"/>
        </w:rPr>
      </w:pPr>
    </w:p>
    <w:p w:rsidR="000A755E" w:rsidRDefault="00945D51" w:rsidP="003B1283">
      <w:pPr>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Coals are widely distributed </w:t>
      </w:r>
      <w:r w:rsidR="00C40093">
        <w:rPr>
          <w:rFonts w:ascii="Arial Narrow" w:hAnsi="Arial Narrow" w:cs="Arial Narrow"/>
          <w:sz w:val="20"/>
          <w:szCs w:val="20"/>
          <w:lang w:eastAsia="bg-BG" w:bidi="ar-SA"/>
        </w:rPr>
        <w:t xml:space="preserve">on the Earth </w:t>
      </w:r>
      <w:r>
        <w:rPr>
          <w:rFonts w:ascii="Arial Narrow" w:hAnsi="Arial Narrow" w:cs="Arial Narrow"/>
          <w:sz w:val="20"/>
          <w:szCs w:val="20"/>
          <w:lang w:eastAsia="bg-BG" w:bidi="ar-SA"/>
        </w:rPr>
        <w:t xml:space="preserve">and for long period of time they have been </w:t>
      </w:r>
      <w:r w:rsidR="00976E6E">
        <w:rPr>
          <w:rFonts w:ascii="Arial Narrow" w:hAnsi="Arial Narrow" w:cs="Arial Narrow"/>
          <w:sz w:val="20"/>
          <w:szCs w:val="20"/>
          <w:lang w:eastAsia="bg-BG" w:bidi="ar-SA"/>
        </w:rPr>
        <w:t xml:space="preserve">a </w:t>
      </w:r>
      <w:r>
        <w:rPr>
          <w:rFonts w:ascii="Arial Narrow" w:hAnsi="Arial Narrow" w:cs="Arial Narrow"/>
          <w:sz w:val="20"/>
          <w:szCs w:val="20"/>
          <w:lang w:eastAsia="bg-BG" w:bidi="ar-SA"/>
        </w:rPr>
        <w:t xml:space="preserve">cheap source of energy which allowed the Industrial society to emerge and develop rapidly for a relatively short period of time. The coal burning is connected with </w:t>
      </w:r>
      <w:r w:rsidR="00C40093">
        <w:rPr>
          <w:rFonts w:ascii="Arial Narrow" w:hAnsi="Arial Narrow" w:cs="Arial Narrow"/>
          <w:sz w:val="20"/>
          <w:szCs w:val="20"/>
          <w:lang w:eastAsia="bg-BG" w:bidi="ar-SA"/>
        </w:rPr>
        <w:t xml:space="preserve">taking of significant amount of carbon, nitrogen, sulfur, and heavy </w:t>
      </w:r>
      <w:r w:rsidR="00C17E3E">
        <w:rPr>
          <w:rFonts w:ascii="Arial Narrow" w:hAnsi="Arial Narrow" w:cs="Arial Narrow"/>
          <w:sz w:val="20"/>
          <w:szCs w:val="20"/>
          <w:lang w:eastAsia="bg-BG" w:bidi="ar-SA"/>
        </w:rPr>
        <w:t xml:space="preserve">metals </w:t>
      </w:r>
      <w:r w:rsidR="00C40093">
        <w:rPr>
          <w:rFonts w:ascii="Arial Narrow" w:hAnsi="Arial Narrow" w:cs="Arial Narrow"/>
          <w:sz w:val="20"/>
          <w:szCs w:val="20"/>
          <w:lang w:eastAsia="bg-BG" w:bidi="ar-SA"/>
        </w:rPr>
        <w:t xml:space="preserve">and toxic </w:t>
      </w:r>
      <w:r w:rsidR="00C17E3E">
        <w:rPr>
          <w:rFonts w:ascii="Arial Narrow" w:hAnsi="Arial Narrow" w:cs="Arial Narrow"/>
          <w:sz w:val="20"/>
          <w:szCs w:val="20"/>
          <w:lang w:eastAsia="bg-BG" w:bidi="ar-SA"/>
        </w:rPr>
        <w:t xml:space="preserve">elements </w:t>
      </w:r>
      <w:r w:rsidR="00C40093">
        <w:rPr>
          <w:rFonts w:ascii="Arial Narrow" w:hAnsi="Arial Narrow" w:cs="Arial Narrow"/>
          <w:sz w:val="20"/>
          <w:szCs w:val="20"/>
          <w:lang w:eastAsia="bg-BG" w:bidi="ar-SA"/>
        </w:rPr>
        <w:t>from the</w:t>
      </w:r>
      <w:r w:rsidR="007208F9">
        <w:rPr>
          <w:rFonts w:ascii="Arial Narrow" w:hAnsi="Arial Narrow" w:cs="Arial Narrow"/>
          <w:sz w:val="20"/>
          <w:szCs w:val="20"/>
          <w:lang w:eastAsia="bg-BG" w:bidi="ar-SA"/>
        </w:rPr>
        <w:t>ir</w:t>
      </w:r>
      <w:r w:rsidR="00C40093">
        <w:rPr>
          <w:rFonts w:ascii="Arial Narrow" w:hAnsi="Arial Narrow" w:cs="Arial Narrow"/>
          <w:sz w:val="20"/>
          <w:szCs w:val="20"/>
          <w:lang w:eastAsia="bg-BG" w:bidi="ar-SA"/>
        </w:rPr>
        <w:t xml:space="preserve"> respective depository </w:t>
      </w:r>
      <w:r w:rsidR="007208F9">
        <w:rPr>
          <w:rFonts w:ascii="Arial Narrow" w:hAnsi="Arial Narrow" w:cs="Arial Narrow"/>
          <w:sz w:val="20"/>
          <w:szCs w:val="20"/>
          <w:lang w:eastAsia="bg-BG" w:bidi="ar-SA"/>
        </w:rPr>
        <w:t>reservoirs</w:t>
      </w:r>
      <w:r w:rsidR="00C40093">
        <w:rPr>
          <w:rFonts w:ascii="Arial Narrow" w:hAnsi="Arial Narrow" w:cs="Arial Narrow"/>
          <w:sz w:val="20"/>
          <w:szCs w:val="20"/>
          <w:lang w:eastAsia="bg-BG" w:bidi="ar-SA"/>
        </w:rPr>
        <w:t xml:space="preserve"> </w:t>
      </w:r>
      <w:r w:rsidR="00263E6B">
        <w:rPr>
          <w:rFonts w:ascii="Arial Narrow" w:hAnsi="Arial Narrow" w:cs="Arial Narrow"/>
          <w:sz w:val="20"/>
          <w:szCs w:val="20"/>
          <w:lang w:eastAsia="bg-BG" w:bidi="ar-SA"/>
        </w:rPr>
        <w:t xml:space="preserve">and their </w:t>
      </w:r>
      <w:r w:rsidR="006642C0">
        <w:rPr>
          <w:rFonts w:ascii="Arial Narrow" w:hAnsi="Arial Narrow" w:cs="Arial Narrow"/>
          <w:sz w:val="20"/>
          <w:szCs w:val="20"/>
          <w:lang w:eastAsia="bg-BG" w:bidi="ar-SA"/>
        </w:rPr>
        <w:t xml:space="preserve">relevant reactive </w:t>
      </w:r>
      <w:r w:rsidR="00263E6B">
        <w:rPr>
          <w:rFonts w:ascii="Arial Narrow" w:hAnsi="Arial Narrow" w:cs="Arial Narrow"/>
          <w:sz w:val="20"/>
          <w:szCs w:val="20"/>
          <w:lang w:eastAsia="bg-BG" w:bidi="ar-SA"/>
        </w:rPr>
        <w:t>gases and fine particles</w:t>
      </w:r>
      <w:r w:rsidR="007208F9">
        <w:rPr>
          <w:rFonts w:ascii="Arial Narrow" w:hAnsi="Arial Narrow" w:cs="Arial Narrow"/>
          <w:sz w:val="20"/>
          <w:szCs w:val="20"/>
          <w:lang w:eastAsia="bg-BG" w:bidi="ar-SA"/>
        </w:rPr>
        <w:t xml:space="preserve"> </w:t>
      </w:r>
      <w:r w:rsidR="00EC13A7">
        <w:rPr>
          <w:rFonts w:ascii="Arial Narrow" w:hAnsi="Arial Narrow" w:cs="Arial Narrow"/>
          <w:sz w:val="20"/>
          <w:szCs w:val="20"/>
          <w:lang w:eastAsia="bg-BG" w:bidi="ar-SA"/>
        </w:rPr>
        <w:t>are the</w:t>
      </w:r>
      <w:r w:rsidR="007208F9">
        <w:rPr>
          <w:rFonts w:ascii="Arial Narrow" w:hAnsi="Arial Narrow" w:cs="Arial Narrow"/>
          <w:sz w:val="20"/>
          <w:szCs w:val="20"/>
          <w:lang w:eastAsia="bg-BG" w:bidi="ar-SA"/>
        </w:rPr>
        <w:t xml:space="preserve"> waste products released</w:t>
      </w:r>
      <w:r w:rsidR="00263E6B">
        <w:rPr>
          <w:rFonts w:ascii="Arial Narrow" w:hAnsi="Arial Narrow" w:cs="Arial Narrow"/>
          <w:sz w:val="20"/>
          <w:szCs w:val="20"/>
          <w:lang w:eastAsia="bg-BG" w:bidi="ar-SA"/>
        </w:rPr>
        <w:t xml:space="preserve"> in the atmosphere. </w:t>
      </w:r>
      <w:r w:rsidR="006642C0">
        <w:rPr>
          <w:rFonts w:ascii="Arial Narrow" w:hAnsi="Arial Narrow" w:cs="Arial Narrow"/>
          <w:sz w:val="20"/>
          <w:szCs w:val="20"/>
          <w:lang w:eastAsia="bg-BG" w:bidi="ar-SA"/>
        </w:rPr>
        <w:t xml:space="preserve">Strong absorptive and/ or acidifying properties of the emitted gases as well as the toxicity of fine particle matters determine the detrimental effect of </w:t>
      </w:r>
      <w:r w:rsidR="00976E6E">
        <w:rPr>
          <w:rFonts w:ascii="Arial Narrow" w:hAnsi="Arial Narrow" w:cs="Arial Narrow"/>
          <w:sz w:val="20"/>
          <w:szCs w:val="20"/>
          <w:lang w:eastAsia="bg-BG" w:bidi="ar-SA"/>
        </w:rPr>
        <w:t>the coal utilization on the Earth ecosystems at global, regional, and local scale</w:t>
      </w:r>
      <w:r w:rsidR="006642C0">
        <w:rPr>
          <w:rFonts w:ascii="Arial Narrow" w:hAnsi="Arial Narrow" w:cs="Arial Narrow"/>
          <w:sz w:val="20"/>
          <w:szCs w:val="20"/>
          <w:lang w:eastAsia="bg-BG" w:bidi="ar-SA"/>
        </w:rPr>
        <w:t xml:space="preserve">. </w:t>
      </w:r>
      <w:r w:rsidR="00E47C04">
        <w:rPr>
          <w:rFonts w:ascii="Arial Narrow" w:hAnsi="Arial Narrow" w:cs="Arial Narrow"/>
          <w:sz w:val="20"/>
          <w:szCs w:val="20"/>
          <w:lang w:eastAsia="bg-BG" w:bidi="ar-SA"/>
        </w:rPr>
        <w:t xml:space="preserve">The regional effect is triggered when by means of dry or wet deposition the relevant pollutants are transported from atmosphere to the earth ecosystems in </w:t>
      </w:r>
      <w:r w:rsidR="001E0D29">
        <w:rPr>
          <w:rFonts w:ascii="Arial Narrow" w:hAnsi="Arial Narrow" w:cs="Arial Narrow"/>
          <w:sz w:val="20"/>
          <w:szCs w:val="20"/>
          <w:lang w:eastAsia="bg-BG" w:bidi="ar-SA"/>
        </w:rPr>
        <w:t>doses higher than the critical limit</w:t>
      </w:r>
      <w:r w:rsidR="00E47C04">
        <w:rPr>
          <w:rFonts w:ascii="Arial Narrow" w:hAnsi="Arial Narrow" w:cs="Arial Narrow"/>
          <w:sz w:val="20"/>
          <w:szCs w:val="20"/>
          <w:lang w:eastAsia="bg-BG" w:bidi="ar-SA"/>
        </w:rPr>
        <w:t xml:space="preserve"> which the relevant ecosystems could sustain</w:t>
      </w:r>
      <w:r w:rsidR="00A07D68">
        <w:rPr>
          <w:rFonts w:ascii="Arial Narrow" w:hAnsi="Arial Narrow" w:cs="Arial Narrow"/>
          <w:sz w:val="20"/>
          <w:szCs w:val="20"/>
          <w:lang w:eastAsia="bg-BG" w:bidi="ar-SA"/>
        </w:rPr>
        <w:t xml:space="preserve">. </w:t>
      </w:r>
    </w:p>
    <w:p w:rsidR="00976E6E" w:rsidRPr="00976E6E" w:rsidRDefault="00A07D68" w:rsidP="00D35161">
      <w:pPr>
        <w:spacing w:before="120"/>
        <w:ind w:firstLine="170"/>
        <w:jc w:val="both"/>
        <w:rPr>
          <w:rFonts w:ascii="Arial Narrow" w:hAnsi="Arial Narrow" w:cs="Arial Narrow"/>
          <w:sz w:val="20"/>
          <w:szCs w:val="20"/>
          <w:lang w:eastAsia="bg-BG" w:bidi="ar-SA"/>
        </w:rPr>
      </w:pPr>
      <w:proofErr w:type="spellStart"/>
      <w:r>
        <w:rPr>
          <w:rFonts w:ascii="Arial Narrow" w:hAnsi="Arial Narrow" w:cs="Arial Narrow"/>
          <w:sz w:val="20"/>
          <w:szCs w:val="20"/>
          <w:lang w:eastAsia="bg-BG" w:bidi="ar-SA"/>
        </w:rPr>
        <w:lastRenderedPageBreak/>
        <w:t>Svante</w:t>
      </w:r>
      <w:proofErr w:type="spellEnd"/>
      <w:r>
        <w:rPr>
          <w:rFonts w:ascii="Arial Narrow" w:hAnsi="Arial Narrow" w:cs="Arial Narrow"/>
          <w:sz w:val="20"/>
          <w:szCs w:val="20"/>
          <w:lang w:eastAsia="bg-BG" w:bidi="ar-SA"/>
        </w:rPr>
        <w:t xml:space="preserve"> Arrhenius was the first scientist who </w:t>
      </w:r>
      <w:r w:rsidR="00D848C6">
        <w:rPr>
          <w:rFonts w:ascii="Arial Narrow" w:hAnsi="Arial Narrow" w:cs="Arial Narrow"/>
          <w:sz w:val="20"/>
          <w:szCs w:val="20"/>
          <w:lang w:eastAsia="bg-BG" w:bidi="ar-SA"/>
        </w:rPr>
        <w:t xml:space="preserve">predicted </w:t>
      </w:r>
      <w:r>
        <w:rPr>
          <w:rFonts w:ascii="Arial Narrow" w:hAnsi="Arial Narrow" w:cs="Arial Narrow"/>
          <w:sz w:val="20"/>
          <w:szCs w:val="20"/>
          <w:lang w:eastAsia="bg-BG" w:bidi="ar-SA"/>
        </w:rPr>
        <w:t xml:space="preserve">the global </w:t>
      </w:r>
      <w:r w:rsidR="000A755E">
        <w:rPr>
          <w:rFonts w:ascii="Arial Narrow" w:hAnsi="Arial Narrow" w:cs="Arial Narrow"/>
          <w:sz w:val="20"/>
          <w:szCs w:val="20"/>
          <w:lang w:eastAsia="bg-BG" w:bidi="ar-SA"/>
        </w:rPr>
        <w:t xml:space="preserve">warming </w:t>
      </w:r>
      <w:r>
        <w:rPr>
          <w:rFonts w:ascii="Arial Narrow" w:hAnsi="Arial Narrow" w:cs="Arial Narrow"/>
          <w:sz w:val="20"/>
          <w:szCs w:val="20"/>
          <w:lang w:eastAsia="bg-BG" w:bidi="ar-SA"/>
        </w:rPr>
        <w:t xml:space="preserve">having in mind the </w:t>
      </w:r>
      <w:r w:rsidR="000A755E">
        <w:rPr>
          <w:rFonts w:ascii="Arial Narrow" w:hAnsi="Arial Narrow" w:cs="Arial Narrow"/>
          <w:sz w:val="20"/>
          <w:szCs w:val="20"/>
          <w:lang w:eastAsia="bg-BG" w:bidi="ar-SA"/>
        </w:rPr>
        <w:t xml:space="preserve">significant emissions </w:t>
      </w:r>
      <w:r>
        <w:rPr>
          <w:rFonts w:ascii="Arial Narrow" w:hAnsi="Arial Narrow" w:cs="Arial Narrow"/>
          <w:sz w:val="20"/>
          <w:szCs w:val="20"/>
          <w:lang w:eastAsia="bg-BG" w:bidi="ar-SA"/>
        </w:rPr>
        <w:t>of CO</w:t>
      </w:r>
      <w:r w:rsidRPr="00A07D68">
        <w:rPr>
          <w:rFonts w:ascii="Arial Narrow" w:hAnsi="Arial Narrow" w:cs="Arial Narrow"/>
          <w:sz w:val="20"/>
          <w:szCs w:val="20"/>
          <w:vertAlign w:val="subscript"/>
          <w:lang w:eastAsia="bg-BG" w:bidi="ar-SA"/>
        </w:rPr>
        <w:t>2</w:t>
      </w:r>
      <w:r>
        <w:rPr>
          <w:rFonts w:ascii="Arial Narrow" w:hAnsi="Arial Narrow" w:cs="Arial Narrow"/>
          <w:sz w:val="20"/>
          <w:szCs w:val="20"/>
          <w:lang w:eastAsia="bg-BG" w:bidi="ar-SA"/>
        </w:rPr>
        <w:t xml:space="preserve"> </w:t>
      </w:r>
      <w:r w:rsidR="002B75DF">
        <w:rPr>
          <w:rFonts w:ascii="Arial Narrow" w:hAnsi="Arial Narrow" w:cs="Arial Narrow"/>
          <w:sz w:val="20"/>
          <w:szCs w:val="20"/>
          <w:lang w:eastAsia="bg-BG" w:bidi="ar-SA"/>
        </w:rPr>
        <w:t>generated during t</w:t>
      </w:r>
      <w:r w:rsidR="000A755E">
        <w:rPr>
          <w:rFonts w:ascii="Arial Narrow" w:hAnsi="Arial Narrow" w:cs="Arial Narrow"/>
          <w:sz w:val="20"/>
          <w:szCs w:val="20"/>
          <w:lang w:eastAsia="bg-BG" w:bidi="ar-SA"/>
        </w:rPr>
        <w:t xml:space="preserve">he coal burning and </w:t>
      </w:r>
      <w:r w:rsidR="00EF2B79">
        <w:rPr>
          <w:rFonts w:ascii="Arial Narrow" w:hAnsi="Arial Narrow" w:cs="Arial Narrow"/>
          <w:sz w:val="20"/>
          <w:szCs w:val="20"/>
          <w:lang w:eastAsia="bg-BG" w:bidi="ar-SA"/>
        </w:rPr>
        <w:t>their</w:t>
      </w:r>
      <w:r w:rsidR="000A755E">
        <w:rPr>
          <w:rFonts w:ascii="Arial Narrow" w:hAnsi="Arial Narrow" w:cs="Arial Narrow"/>
          <w:sz w:val="20"/>
          <w:szCs w:val="20"/>
          <w:lang w:eastAsia="bg-BG" w:bidi="ar-SA"/>
        </w:rPr>
        <w:t xml:space="preserve"> accumulation </w:t>
      </w:r>
      <w:r>
        <w:rPr>
          <w:rFonts w:ascii="Arial Narrow" w:hAnsi="Arial Narrow" w:cs="Arial Narrow"/>
          <w:sz w:val="20"/>
          <w:szCs w:val="20"/>
          <w:lang w:eastAsia="bg-BG" w:bidi="ar-SA"/>
        </w:rPr>
        <w:t xml:space="preserve">in </w:t>
      </w:r>
      <w:r w:rsidR="000A755E">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atmosphere (</w:t>
      </w:r>
      <w:r w:rsidR="003A3E3B">
        <w:rPr>
          <w:rFonts w:ascii="Arial Narrow" w:hAnsi="Arial Narrow" w:cs="Arial Narrow"/>
          <w:sz w:val="20"/>
          <w:szCs w:val="20"/>
          <w:lang w:eastAsia="bg-BG" w:bidi="ar-SA"/>
        </w:rPr>
        <w:t>Arrhenius, 1896</w:t>
      </w:r>
      <w:r>
        <w:rPr>
          <w:rFonts w:ascii="Arial Narrow" w:hAnsi="Arial Narrow" w:cs="Arial Narrow"/>
          <w:sz w:val="20"/>
          <w:szCs w:val="20"/>
          <w:lang w:eastAsia="bg-BG" w:bidi="ar-SA"/>
        </w:rPr>
        <w:t xml:space="preserve">). </w:t>
      </w:r>
      <w:r w:rsidR="00055DCB">
        <w:rPr>
          <w:rFonts w:ascii="Arial Narrow" w:hAnsi="Arial Narrow" w:cs="Arial Narrow"/>
          <w:sz w:val="20"/>
          <w:szCs w:val="20"/>
          <w:lang w:eastAsia="bg-BG" w:bidi="ar-SA"/>
        </w:rPr>
        <w:t xml:space="preserve">However, </w:t>
      </w:r>
      <w:r w:rsidR="00D11CE3">
        <w:rPr>
          <w:rFonts w:ascii="Arial Narrow" w:hAnsi="Arial Narrow" w:cs="Arial Narrow"/>
          <w:sz w:val="20"/>
          <w:szCs w:val="20"/>
          <w:lang w:eastAsia="bg-BG" w:bidi="ar-SA"/>
        </w:rPr>
        <w:t xml:space="preserve">agreements at International level </w:t>
      </w:r>
      <w:r w:rsidR="00C17E3E">
        <w:rPr>
          <w:rFonts w:ascii="Arial Narrow" w:hAnsi="Arial Narrow" w:cs="Arial Narrow"/>
          <w:sz w:val="20"/>
          <w:szCs w:val="20"/>
          <w:lang w:eastAsia="bg-BG" w:bidi="ar-SA"/>
        </w:rPr>
        <w:t>to reduce the emission</w:t>
      </w:r>
      <w:r w:rsidR="00EC13A7">
        <w:rPr>
          <w:rFonts w:ascii="Arial Narrow" w:hAnsi="Arial Narrow" w:cs="Arial Narrow"/>
          <w:sz w:val="20"/>
          <w:szCs w:val="20"/>
          <w:lang w:eastAsia="bg-BG" w:bidi="ar-SA"/>
        </w:rPr>
        <w:t>s</w:t>
      </w:r>
      <w:r w:rsidR="00C17E3E">
        <w:rPr>
          <w:rFonts w:ascii="Arial Narrow" w:hAnsi="Arial Narrow" w:cs="Arial Narrow"/>
          <w:sz w:val="20"/>
          <w:szCs w:val="20"/>
          <w:lang w:eastAsia="bg-BG" w:bidi="ar-SA"/>
        </w:rPr>
        <w:t xml:space="preserve"> </w:t>
      </w:r>
      <w:r w:rsidR="00710653">
        <w:rPr>
          <w:rFonts w:ascii="Arial Narrow" w:hAnsi="Arial Narrow" w:cs="Arial Narrow"/>
          <w:sz w:val="20"/>
          <w:szCs w:val="20"/>
          <w:lang w:eastAsia="bg-BG" w:bidi="ar-SA"/>
        </w:rPr>
        <w:t xml:space="preserve">to </w:t>
      </w:r>
      <w:r w:rsidR="00C17E3E">
        <w:rPr>
          <w:rFonts w:ascii="Arial Narrow" w:hAnsi="Arial Narrow" w:cs="Arial Narrow"/>
          <w:sz w:val="20"/>
          <w:szCs w:val="20"/>
          <w:lang w:eastAsia="bg-BG" w:bidi="ar-SA"/>
        </w:rPr>
        <w:t xml:space="preserve">the atmosphere </w:t>
      </w:r>
      <w:r w:rsidR="00D11CE3">
        <w:rPr>
          <w:rFonts w:ascii="Arial Narrow" w:hAnsi="Arial Narrow" w:cs="Arial Narrow"/>
          <w:sz w:val="20"/>
          <w:szCs w:val="20"/>
          <w:lang w:eastAsia="bg-BG" w:bidi="ar-SA"/>
        </w:rPr>
        <w:t>(</w:t>
      </w:r>
      <w:r w:rsidR="00B2305C">
        <w:rPr>
          <w:rFonts w:ascii="Arial Narrow" w:hAnsi="Arial Narrow" w:cs="Arial Narrow"/>
          <w:sz w:val="20"/>
          <w:szCs w:val="20"/>
          <w:lang w:eastAsia="bg-BG" w:bidi="ar-SA"/>
        </w:rPr>
        <w:t xml:space="preserve">Grubb and </w:t>
      </w:r>
      <w:proofErr w:type="spellStart"/>
      <w:r w:rsidR="00B2305C">
        <w:rPr>
          <w:rFonts w:ascii="Arial Narrow" w:hAnsi="Arial Narrow" w:cs="Arial Narrow"/>
          <w:sz w:val="20"/>
          <w:szCs w:val="20"/>
          <w:lang w:eastAsia="bg-BG" w:bidi="ar-SA"/>
        </w:rPr>
        <w:t>Depledge</w:t>
      </w:r>
      <w:proofErr w:type="spellEnd"/>
      <w:r w:rsidR="00B2305C">
        <w:rPr>
          <w:rFonts w:ascii="Arial Narrow" w:hAnsi="Arial Narrow" w:cs="Arial Narrow"/>
          <w:sz w:val="20"/>
          <w:szCs w:val="20"/>
          <w:lang w:eastAsia="bg-BG" w:bidi="ar-SA"/>
        </w:rPr>
        <w:t>, 2001</w:t>
      </w:r>
      <w:r w:rsidR="00050CE0">
        <w:rPr>
          <w:rFonts w:ascii="Arial Narrow" w:hAnsi="Arial Narrow" w:cs="Arial Narrow"/>
          <w:sz w:val="20"/>
          <w:szCs w:val="20"/>
          <w:lang w:eastAsia="bg-BG" w:bidi="ar-SA"/>
        </w:rPr>
        <w:t>; Review of the Gothenburg Protocol, 1999</w:t>
      </w:r>
      <w:r w:rsidR="00D11CE3">
        <w:rPr>
          <w:rFonts w:ascii="Arial Narrow" w:hAnsi="Arial Narrow" w:cs="Arial Narrow"/>
          <w:sz w:val="20"/>
          <w:szCs w:val="20"/>
          <w:lang w:eastAsia="bg-BG" w:bidi="ar-SA"/>
        </w:rPr>
        <w:t>) and</w:t>
      </w:r>
      <w:r w:rsidR="00710653">
        <w:rPr>
          <w:rFonts w:ascii="Arial Narrow" w:hAnsi="Arial Narrow" w:cs="Arial Narrow"/>
          <w:sz w:val="20"/>
          <w:szCs w:val="20"/>
          <w:lang w:eastAsia="bg-BG" w:bidi="ar-SA"/>
        </w:rPr>
        <w:t xml:space="preserve"> the</w:t>
      </w:r>
      <w:r w:rsidR="00D11CE3">
        <w:rPr>
          <w:rFonts w:ascii="Arial Narrow" w:hAnsi="Arial Narrow" w:cs="Arial Narrow"/>
          <w:sz w:val="20"/>
          <w:szCs w:val="20"/>
          <w:lang w:eastAsia="bg-BG" w:bidi="ar-SA"/>
        </w:rPr>
        <w:t xml:space="preserve"> practical measures for their application have been achieved almost 100 year after that fist publication. </w:t>
      </w:r>
    </w:p>
    <w:p w:rsidR="00120520" w:rsidRDefault="00F13134" w:rsidP="003B1283">
      <w:pPr>
        <w:widowControl/>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TPP “</w:t>
      </w:r>
      <w:proofErr w:type="spellStart"/>
      <w:r>
        <w:rPr>
          <w:rFonts w:ascii="Arial Narrow" w:hAnsi="Arial Narrow" w:cs="Arial Narrow"/>
          <w:sz w:val="20"/>
          <w:szCs w:val="20"/>
          <w:lang w:eastAsia="bg-BG" w:bidi="ar-SA"/>
        </w:rPr>
        <w:t>Bobov</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dol</w:t>
      </w:r>
      <w:proofErr w:type="spellEnd"/>
      <w:r>
        <w:rPr>
          <w:rFonts w:ascii="Arial Narrow" w:hAnsi="Arial Narrow" w:cs="Arial Narrow"/>
          <w:sz w:val="20"/>
          <w:szCs w:val="20"/>
          <w:lang w:eastAsia="bg-BG" w:bidi="ar-SA"/>
        </w:rPr>
        <w:t xml:space="preserve">” is situated in Southwest Bulgaria and it consist of three 210 MW units and </w:t>
      </w:r>
      <w:r w:rsidR="00E86F1E">
        <w:rPr>
          <w:rFonts w:ascii="Arial Narrow" w:hAnsi="Arial Narrow" w:cs="Arial Narrow"/>
          <w:sz w:val="20"/>
          <w:szCs w:val="20"/>
          <w:lang w:eastAsia="bg-BG" w:bidi="ar-SA"/>
        </w:rPr>
        <w:t xml:space="preserve">630 MW is </w:t>
      </w:r>
      <w:r>
        <w:rPr>
          <w:rFonts w:ascii="Arial Narrow" w:hAnsi="Arial Narrow" w:cs="Arial Narrow"/>
          <w:sz w:val="20"/>
          <w:szCs w:val="20"/>
          <w:lang w:eastAsia="bg-BG" w:bidi="ar-SA"/>
        </w:rPr>
        <w:t>the total install capacity</w:t>
      </w:r>
      <w:r w:rsidR="00B54302">
        <w:rPr>
          <w:rFonts w:ascii="Arial Narrow" w:hAnsi="Arial Narrow" w:cs="Arial Narrow"/>
          <w:sz w:val="20"/>
          <w:szCs w:val="20"/>
          <w:lang w:eastAsia="bg-BG" w:bidi="ar-SA"/>
        </w:rPr>
        <w:t xml:space="preserve"> </w:t>
      </w:r>
      <w:r w:rsidR="00D06581">
        <w:rPr>
          <w:rFonts w:ascii="Arial Narrow" w:hAnsi="Arial Narrow" w:cs="Arial Narrow"/>
          <w:sz w:val="20"/>
          <w:szCs w:val="20"/>
          <w:lang w:eastAsia="bg-BG" w:bidi="ar-SA"/>
        </w:rPr>
        <w:t>of the plant</w:t>
      </w:r>
      <w:r>
        <w:rPr>
          <w:rFonts w:ascii="Arial Narrow" w:hAnsi="Arial Narrow" w:cs="Arial Narrow"/>
          <w:sz w:val="20"/>
          <w:szCs w:val="20"/>
          <w:lang w:eastAsia="bg-BG" w:bidi="ar-SA"/>
        </w:rPr>
        <w:t>. The power plant was initially designed to utilize the local brown coal</w:t>
      </w:r>
      <w:r w:rsidR="00E80520">
        <w:rPr>
          <w:rFonts w:ascii="Arial Narrow" w:hAnsi="Arial Narrow" w:cs="Arial Narrow"/>
          <w:sz w:val="20"/>
          <w:szCs w:val="20"/>
          <w:lang w:eastAsia="bg-BG" w:bidi="ar-SA"/>
        </w:rPr>
        <w:t>s</w:t>
      </w:r>
      <w:r>
        <w:rPr>
          <w:rFonts w:ascii="Arial Narrow" w:hAnsi="Arial Narrow" w:cs="Arial Narrow"/>
          <w:sz w:val="20"/>
          <w:szCs w:val="20"/>
          <w:lang w:eastAsia="bg-BG" w:bidi="ar-SA"/>
        </w:rPr>
        <w:t xml:space="preserve"> characterized with high ash content. In our days, the power plant operates </w:t>
      </w:r>
      <w:r w:rsidR="003716F3">
        <w:rPr>
          <w:rFonts w:ascii="Arial Narrow" w:hAnsi="Arial Narrow" w:cs="Arial Narrow"/>
          <w:sz w:val="20"/>
          <w:szCs w:val="20"/>
          <w:lang w:eastAsia="bg-BG" w:bidi="ar-SA"/>
        </w:rPr>
        <w:t xml:space="preserve">also </w:t>
      </w:r>
      <w:r>
        <w:rPr>
          <w:rFonts w:ascii="Arial Narrow" w:hAnsi="Arial Narrow" w:cs="Arial Narrow"/>
          <w:sz w:val="20"/>
          <w:szCs w:val="20"/>
          <w:lang w:eastAsia="bg-BG" w:bidi="ar-SA"/>
        </w:rPr>
        <w:t xml:space="preserve">on </w:t>
      </w:r>
      <w:r w:rsidR="003716F3">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coal supply from other Bulgarian mines</w:t>
      </w:r>
      <w:r w:rsidR="00E80520">
        <w:rPr>
          <w:rFonts w:ascii="Arial Narrow" w:hAnsi="Arial Narrow" w:cs="Arial Narrow"/>
          <w:sz w:val="20"/>
          <w:szCs w:val="20"/>
          <w:lang w:eastAsia="bg-BG" w:bidi="ar-SA"/>
        </w:rPr>
        <w:t xml:space="preserve">-brown coals from </w:t>
      </w:r>
      <w:proofErr w:type="spellStart"/>
      <w:r w:rsidR="00E80520">
        <w:rPr>
          <w:rFonts w:ascii="Arial Narrow" w:hAnsi="Arial Narrow" w:cs="Arial Narrow"/>
          <w:sz w:val="20"/>
          <w:szCs w:val="20"/>
          <w:lang w:eastAsia="bg-BG" w:bidi="ar-SA"/>
        </w:rPr>
        <w:t>Perni</w:t>
      </w:r>
      <w:r w:rsidR="00A53109">
        <w:rPr>
          <w:rFonts w:ascii="Arial Narrow" w:hAnsi="Arial Narrow" w:cs="Arial Narrow"/>
          <w:sz w:val="20"/>
          <w:szCs w:val="20"/>
          <w:lang w:eastAsia="bg-BG" w:bidi="ar-SA"/>
        </w:rPr>
        <w:t>k</w:t>
      </w:r>
      <w:proofErr w:type="spellEnd"/>
      <w:r w:rsidR="00E80520">
        <w:rPr>
          <w:rFonts w:ascii="Arial Narrow" w:hAnsi="Arial Narrow" w:cs="Arial Narrow"/>
          <w:sz w:val="20"/>
          <w:szCs w:val="20"/>
          <w:lang w:eastAsia="bg-BG" w:bidi="ar-SA"/>
        </w:rPr>
        <w:t xml:space="preserve"> and </w:t>
      </w:r>
      <w:proofErr w:type="spellStart"/>
      <w:r w:rsidR="00E80520">
        <w:rPr>
          <w:rFonts w:ascii="Arial Narrow" w:hAnsi="Arial Narrow" w:cs="Arial Narrow"/>
          <w:sz w:val="20"/>
          <w:szCs w:val="20"/>
          <w:lang w:eastAsia="bg-BG" w:bidi="ar-SA"/>
        </w:rPr>
        <w:t>Pirin</w:t>
      </w:r>
      <w:proofErr w:type="spellEnd"/>
      <w:r w:rsidR="00E80520">
        <w:rPr>
          <w:rFonts w:ascii="Arial Narrow" w:hAnsi="Arial Narrow" w:cs="Arial Narrow"/>
          <w:sz w:val="20"/>
          <w:szCs w:val="20"/>
          <w:lang w:eastAsia="bg-BG" w:bidi="ar-SA"/>
        </w:rPr>
        <w:t xml:space="preserve"> mines as well as lignite coals from </w:t>
      </w:r>
      <w:r w:rsidR="00383FFA">
        <w:rPr>
          <w:rFonts w:ascii="Arial Narrow" w:hAnsi="Arial Narrow" w:cs="Arial Narrow"/>
          <w:sz w:val="20"/>
          <w:szCs w:val="20"/>
          <w:lang w:eastAsia="bg-BG" w:bidi="ar-SA"/>
        </w:rPr>
        <w:t>Sofia Mining Basin</w:t>
      </w:r>
      <w:r>
        <w:rPr>
          <w:rFonts w:ascii="Arial Narrow" w:hAnsi="Arial Narrow" w:cs="Arial Narrow"/>
          <w:sz w:val="20"/>
          <w:szCs w:val="20"/>
          <w:lang w:eastAsia="bg-BG" w:bidi="ar-SA"/>
        </w:rPr>
        <w:t xml:space="preserve">. </w:t>
      </w:r>
      <w:r w:rsidR="0033304A">
        <w:rPr>
          <w:rFonts w:ascii="Arial Narrow" w:hAnsi="Arial Narrow" w:cs="Arial Narrow"/>
          <w:sz w:val="20"/>
          <w:szCs w:val="20"/>
          <w:lang w:eastAsia="bg-BG" w:bidi="ar-SA"/>
        </w:rPr>
        <w:t xml:space="preserve">By this way, </w:t>
      </w:r>
      <w:r w:rsidR="00BF41B8">
        <w:rPr>
          <w:rFonts w:ascii="Arial Narrow" w:hAnsi="Arial Narrow" w:cs="Arial Narrow"/>
          <w:sz w:val="20"/>
          <w:szCs w:val="20"/>
          <w:lang w:eastAsia="bg-BG" w:bidi="ar-SA"/>
        </w:rPr>
        <w:t xml:space="preserve">the </w:t>
      </w:r>
      <w:r w:rsidR="00E86F1E">
        <w:rPr>
          <w:rFonts w:ascii="Arial Narrow" w:hAnsi="Arial Narrow" w:cs="Arial Narrow"/>
          <w:sz w:val="20"/>
          <w:szCs w:val="20"/>
          <w:lang w:eastAsia="bg-BG" w:bidi="ar-SA"/>
        </w:rPr>
        <w:t xml:space="preserve">heat value of burning coal mix </w:t>
      </w:r>
      <w:r w:rsidR="002B3A7C">
        <w:rPr>
          <w:rFonts w:ascii="Arial Narrow" w:hAnsi="Arial Narrow" w:cs="Arial Narrow"/>
          <w:sz w:val="20"/>
          <w:szCs w:val="20"/>
          <w:lang w:eastAsia="bg-BG" w:bidi="ar-SA"/>
        </w:rPr>
        <w:t>is</w:t>
      </w:r>
      <w:r w:rsidR="00E86F1E">
        <w:rPr>
          <w:rFonts w:ascii="Arial Narrow" w:hAnsi="Arial Narrow" w:cs="Arial Narrow"/>
          <w:sz w:val="20"/>
          <w:szCs w:val="20"/>
          <w:lang w:eastAsia="bg-BG" w:bidi="ar-SA"/>
        </w:rPr>
        <w:t xml:space="preserve"> </w:t>
      </w:r>
      <w:r w:rsidR="002D76C5">
        <w:rPr>
          <w:rFonts w:ascii="Arial Narrow" w:hAnsi="Arial Narrow" w:cs="Arial Narrow"/>
          <w:sz w:val="20"/>
          <w:szCs w:val="20"/>
          <w:lang w:eastAsia="bg-BG" w:bidi="ar-SA"/>
        </w:rPr>
        <w:t>maint</w:t>
      </w:r>
      <w:r w:rsidR="00E86F1E">
        <w:rPr>
          <w:rFonts w:ascii="Arial Narrow" w:hAnsi="Arial Narrow" w:cs="Arial Narrow"/>
          <w:sz w:val="20"/>
          <w:szCs w:val="20"/>
          <w:lang w:eastAsia="bg-BG" w:bidi="ar-SA"/>
        </w:rPr>
        <w:t xml:space="preserve">ained </w:t>
      </w:r>
      <w:r w:rsidR="002D76C5">
        <w:rPr>
          <w:rFonts w:ascii="Arial Narrow" w:hAnsi="Arial Narrow" w:cs="Arial Narrow"/>
          <w:sz w:val="20"/>
          <w:szCs w:val="20"/>
          <w:lang w:eastAsia="bg-BG" w:bidi="ar-SA"/>
        </w:rPr>
        <w:t xml:space="preserve">in the range of </w:t>
      </w:r>
      <w:r w:rsidR="00E44928">
        <w:rPr>
          <w:rFonts w:ascii="Arial Narrow" w:hAnsi="Arial Narrow" w:cs="Arial Narrow"/>
          <w:sz w:val="20"/>
          <w:szCs w:val="20"/>
          <w:lang w:val="bg-BG" w:eastAsia="bg-BG" w:bidi="ar-SA"/>
        </w:rPr>
        <w:t xml:space="preserve">2200-2400 </w:t>
      </w:r>
      <w:r w:rsidR="00E44928">
        <w:rPr>
          <w:rFonts w:ascii="Arial Narrow" w:hAnsi="Arial Narrow" w:cs="Arial Narrow"/>
          <w:sz w:val="20"/>
          <w:szCs w:val="20"/>
          <w:lang w:eastAsia="bg-BG" w:bidi="ar-SA"/>
        </w:rPr>
        <w:t>kcal/ kg.</w:t>
      </w:r>
      <w:r w:rsidR="00BF41B8">
        <w:rPr>
          <w:rFonts w:ascii="Arial Narrow" w:hAnsi="Arial Narrow" w:cs="Arial Narrow"/>
          <w:sz w:val="20"/>
          <w:szCs w:val="20"/>
          <w:lang w:val="bg-BG" w:eastAsia="bg-BG" w:bidi="ar-SA"/>
        </w:rPr>
        <w:t xml:space="preserve"> </w:t>
      </w:r>
      <w:r w:rsidR="00E80520">
        <w:rPr>
          <w:rFonts w:ascii="Arial Narrow" w:hAnsi="Arial Narrow" w:cs="Arial Narrow"/>
          <w:sz w:val="20"/>
          <w:szCs w:val="20"/>
          <w:lang w:eastAsia="bg-BG" w:bidi="ar-SA"/>
        </w:rPr>
        <w:t xml:space="preserve">The annual output is around 2000 </w:t>
      </w:r>
      <w:proofErr w:type="spellStart"/>
      <w:r w:rsidR="00E80520">
        <w:rPr>
          <w:rFonts w:ascii="Arial Narrow" w:hAnsi="Arial Narrow" w:cs="Arial Narrow"/>
          <w:sz w:val="20"/>
          <w:szCs w:val="20"/>
          <w:lang w:eastAsia="bg-BG" w:bidi="ar-SA"/>
        </w:rPr>
        <w:t>GWh</w:t>
      </w:r>
      <w:proofErr w:type="spellEnd"/>
      <w:r w:rsidR="00E80520">
        <w:rPr>
          <w:rFonts w:ascii="Arial Narrow" w:hAnsi="Arial Narrow" w:cs="Arial Narrow"/>
          <w:sz w:val="20"/>
          <w:szCs w:val="20"/>
          <w:lang w:eastAsia="bg-BG" w:bidi="ar-SA"/>
        </w:rPr>
        <w:t xml:space="preserve"> which</w:t>
      </w:r>
      <w:r w:rsidR="00D06581">
        <w:rPr>
          <w:rFonts w:ascii="Arial Narrow" w:hAnsi="Arial Narrow" w:cs="Arial Narrow"/>
          <w:sz w:val="20"/>
          <w:szCs w:val="20"/>
          <w:lang w:eastAsia="bg-BG" w:bidi="ar-SA"/>
        </w:rPr>
        <w:t xml:space="preserve"> is</w:t>
      </w:r>
      <w:r w:rsidR="00E80520">
        <w:rPr>
          <w:rFonts w:ascii="Arial Narrow" w:hAnsi="Arial Narrow" w:cs="Arial Narrow"/>
          <w:sz w:val="20"/>
          <w:szCs w:val="20"/>
          <w:lang w:eastAsia="bg-BG" w:bidi="ar-SA"/>
        </w:rPr>
        <w:t xml:space="preserve"> generated by </w:t>
      </w:r>
      <w:r w:rsidR="00DF1F40">
        <w:rPr>
          <w:rFonts w:ascii="Arial Narrow" w:hAnsi="Arial Narrow" w:cs="Arial Narrow"/>
          <w:sz w:val="20"/>
          <w:szCs w:val="20"/>
          <w:lang w:eastAsia="bg-BG" w:bidi="ar-SA"/>
        </w:rPr>
        <w:t xml:space="preserve">the </w:t>
      </w:r>
      <w:r w:rsidR="00E80520">
        <w:rPr>
          <w:rFonts w:ascii="Arial Narrow" w:hAnsi="Arial Narrow" w:cs="Arial Narrow"/>
          <w:sz w:val="20"/>
          <w:szCs w:val="20"/>
          <w:lang w:eastAsia="bg-BG" w:bidi="ar-SA"/>
        </w:rPr>
        <w:t xml:space="preserve">burning </w:t>
      </w:r>
      <w:r w:rsidR="00E80520">
        <w:rPr>
          <w:rFonts w:ascii="Arial Narrow" w:hAnsi="Arial Narrow" w:cs="Arial Narrow"/>
          <w:sz w:val="20"/>
          <w:szCs w:val="20"/>
          <w:lang w:eastAsia="bg-BG" w:bidi="ar-SA"/>
        </w:rPr>
        <w:lastRenderedPageBreak/>
        <w:t>of around 2 million tons of coal</w:t>
      </w:r>
      <w:r w:rsidR="00B13808">
        <w:rPr>
          <w:rFonts w:ascii="Arial Narrow" w:hAnsi="Arial Narrow" w:cs="Arial Narrow"/>
          <w:sz w:val="20"/>
          <w:szCs w:val="20"/>
          <w:lang w:eastAsia="bg-BG" w:bidi="ar-SA"/>
        </w:rPr>
        <w:t>s enriched with sulfur and mineral part</w:t>
      </w:r>
      <w:r w:rsidR="003C621A">
        <w:rPr>
          <w:rFonts w:ascii="Arial Narrow" w:hAnsi="Arial Narrow" w:cs="Arial Narrow"/>
          <w:sz w:val="20"/>
          <w:szCs w:val="20"/>
          <w:lang w:eastAsia="bg-BG" w:bidi="ar-SA"/>
        </w:rPr>
        <w:t xml:space="preserve"> (</w:t>
      </w:r>
      <w:r w:rsidR="003C621A">
        <w:rPr>
          <w:rFonts w:ascii="Arial Narrow" w:hAnsi="Arial Narrow" w:cs="Arial"/>
          <w:color w:val="252525"/>
          <w:sz w:val="20"/>
          <w:szCs w:val="20"/>
          <w:shd w:val="clear" w:color="auto" w:fill="FFFFFF"/>
        </w:rPr>
        <w:t>South-East European Industrial Market. 2010</w:t>
      </w:r>
      <w:r w:rsidR="003C621A">
        <w:rPr>
          <w:rFonts w:ascii="Arial Narrow" w:hAnsi="Arial Narrow" w:cs="Arial Narrow"/>
          <w:sz w:val="20"/>
          <w:szCs w:val="20"/>
          <w:lang w:eastAsia="bg-BG" w:bidi="ar-SA"/>
        </w:rPr>
        <w:t>)</w:t>
      </w:r>
      <w:r w:rsidR="00E80520">
        <w:rPr>
          <w:rFonts w:ascii="Arial Narrow" w:hAnsi="Arial Narrow" w:cs="Arial Narrow"/>
          <w:sz w:val="20"/>
          <w:szCs w:val="20"/>
          <w:lang w:eastAsia="bg-BG" w:bidi="ar-SA"/>
        </w:rPr>
        <w:t xml:space="preserve">. </w:t>
      </w:r>
      <w:r w:rsidR="00C17C72">
        <w:rPr>
          <w:rFonts w:ascii="Arial Narrow" w:hAnsi="Arial Narrow" w:cs="Arial Narrow"/>
          <w:sz w:val="20"/>
          <w:szCs w:val="20"/>
          <w:lang w:eastAsia="bg-BG" w:bidi="ar-SA"/>
        </w:rPr>
        <w:t xml:space="preserve">From the very beginning, electrostatic precipitators </w:t>
      </w:r>
      <w:r w:rsidR="00DF1F40">
        <w:rPr>
          <w:rFonts w:ascii="Arial Narrow" w:hAnsi="Arial Narrow" w:cs="Arial Narrow"/>
          <w:sz w:val="20"/>
          <w:szCs w:val="20"/>
          <w:lang w:eastAsia="bg-BG" w:bidi="ar-SA"/>
        </w:rPr>
        <w:t xml:space="preserve">have been </w:t>
      </w:r>
      <w:r w:rsidR="00C17C72">
        <w:rPr>
          <w:rFonts w:ascii="Arial Narrow" w:hAnsi="Arial Narrow" w:cs="Arial Narrow"/>
          <w:sz w:val="20"/>
          <w:szCs w:val="20"/>
          <w:lang w:eastAsia="bg-BG" w:bidi="ar-SA"/>
        </w:rPr>
        <w:t xml:space="preserve">used at the power plant for the removal of the particle matters from the flue gases. However, the </w:t>
      </w:r>
      <w:r w:rsidR="00DF1F40">
        <w:rPr>
          <w:rFonts w:ascii="Arial Narrow" w:hAnsi="Arial Narrow" w:cs="Arial Narrow"/>
          <w:sz w:val="20"/>
          <w:szCs w:val="20"/>
          <w:lang w:eastAsia="bg-BG" w:bidi="ar-SA"/>
        </w:rPr>
        <w:t>burning</w:t>
      </w:r>
      <w:r w:rsidR="00C17C72">
        <w:rPr>
          <w:rFonts w:ascii="Arial Narrow" w:hAnsi="Arial Narrow" w:cs="Arial Narrow"/>
          <w:sz w:val="20"/>
          <w:szCs w:val="20"/>
          <w:lang w:eastAsia="bg-BG" w:bidi="ar-SA"/>
        </w:rPr>
        <w:t xml:space="preserve"> </w:t>
      </w:r>
      <w:r w:rsidR="00DF1F40">
        <w:rPr>
          <w:rFonts w:ascii="Arial Narrow" w:hAnsi="Arial Narrow" w:cs="Arial Narrow"/>
          <w:sz w:val="20"/>
          <w:szCs w:val="20"/>
          <w:lang w:eastAsia="bg-BG" w:bidi="ar-SA"/>
        </w:rPr>
        <w:t xml:space="preserve">of coals </w:t>
      </w:r>
      <w:r w:rsidR="002B3A7C">
        <w:rPr>
          <w:rFonts w:ascii="Arial Narrow" w:hAnsi="Arial Narrow" w:cs="Arial Narrow"/>
          <w:sz w:val="20"/>
          <w:szCs w:val="20"/>
          <w:lang w:eastAsia="bg-BG" w:bidi="ar-SA"/>
        </w:rPr>
        <w:t xml:space="preserve">enriched with sulfur </w:t>
      </w:r>
      <w:r w:rsidR="00556A60">
        <w:rPr>
          <w:rFonts w:ascii="Arial Narrow" w:hAnsi="Arial Narrow" w:cs="Arial Narrow"/>
          <w:sz w:val="20"/>
          <w:szCs w:val="20"/>
          <w:lang w:eastAsia="bg-BG" w:bidi="ar-SA"/>
        </w:rPr>
        <w:t>was the reason for the formation of flue gas enriched with sulfur dioxide which by m</w:t>
      </w:r>
      <w:r w:rsidR="00C17C72">
        <w:rPr>
          <w:rFonts w:ascii="Arial Narrow" w:hAnsi="Arial Narrow" w:cs="Arial Narrow"/>
          <w:sz w:val="20"/>
          <w:szCs w:val="20"/>
          <w:lang w:eastAsia="bg-BG" w:bidi="ar-SA"/>
        </w:rPr>
        <w:t xml:space="preserve">eans of 200 m stack </w:t>
      </w:r>
      <w:r w:rsidR="00D06581">
        <w:rPr>
          <w:rFonts w:ascii="Arial Narrow" w:hAnsi="Arial Narrow" w:cs="Arial Narrow"/>
          <w:sz w:val="20"/>
          <w:szCs w:val="20"/>
          <w:lang w:eastAsia="bg-BG" w:bidi="ar-SA"/>
        </w:rPr>
        <w:t>had been</w:t>
      </w:r>
      <w:r w:rsidR="00C17C72">
        <w:rPr>
          <w:rFonts w:ascii="Arial Narrow" w:hAnsi="Arial Narrow" w:cs="Arial Narrow"/>
          <w:sz w:val="20"/>
          <w:szCs w:val="20"/>
          <w:lang w:eastAsia="bg-BG" w:bidi="ar-SA"/>
        </w:rPr>
        <w:t xml:space="preserve"> released in the atmosphere</w:t>
      </w:r>
      <w:r w:rsidR="00D06581">
        <w:rPr>
          <w:rFonts w:ascii="Arial Narrow" w:hAnsi="Arial Narrow" w:cs="Arial Narrow"/>
          <w:sz w:val="20"/>
          <w:szCs w:val="20"/>
          <w:lang w:eastAsia="bg-BG" w:bidi="ar-SA"/>
        </w:rPr>
        <w:t xml:space="preserve"> for a long period of time. </w:t>
      </w:r>
      <w:r w:rsidR="00230D08">
        <w:rPr>
          <w:rFonts w:ascii="Arial Narrow" w:hAnsi="Arial Narrow" w:cs="Arial Narrow"/>
          <w:sz w:val="20"/>
          <w:szCs w:val="20"/>
          <w:lang w:eastAsia="bg-BG" w:bidi="ar-SA"/>
        </w:rPr>
        <w:t>For that reason, TPP “</w:t>
      </w:r>
      <w:proofErr w:type="spellStart"/>
      <w:r w:rsidR="00230D08">
        <w:rPr>
          <w:rFonts w:ascii="Arial Narrow" w:hAnsi="Arial Narrow" w:cs="Arial Narrow"/>
          <w:sz w:val="20"/>
          <w:szCs w:val="20"/>
          <w:lang w:eastAsia="bg-BG" w:bidi="ar-SA"/>
        </w:rPr>
        <w:t>Bobov</w:t>
      </w:r>
      <w:proofErr w:type="spellEnd"/>
      <w:r w:rsidR="00230D08">
        <w:rPr>
          <w:rFonts w:ascii="Arial Narrow" w:hAnsi="Arial Narrow" w:cs="Arial Narrow"/>
          <w:sz w:val="20"/>
          <w:szCs w:val="20"/>
          <w:lang w:eastAsia="bg-BG" w:bidi="ar-SA"/>
        </w:rPr>
        <w:t xml:space="preserve"> </w:t>
      </w:r>
      <w:proofErr w:type="spellStart"/>
      <w:r w:rsidR="00230D08">
        <w:rPr>
          <w:rFonts w:ascii="Arial Narrow" w:hAnsi="Arial Narrow" w:cs="Arial Narrow"/>
          <w:sz w:val="20"/>
          <w:szCs w:val="20"/>
          <w:lang w:eastAsia="bg-BG" w:bidi="ar-SA"/>
        </w:rPr>
        <w:t>dol</w:t>
      </w:r>
      <w:proofErr w:type="spellEnd"/>
      <w:r w:rsidR="00230D08">
        <w:rPr>
          <w:rFonts w:ascii="Arial Narrow" w:hAnsi="Arial Narrow" w:cs="Arial Narrow"/>
          <w:sz w:val="20"/>
          <w:szCs w:val="20"/>
          <w:lang w:eastAsia="bg-BG" w:bidi="ar-SA"/>
        </w:rPr>
        <w:t xml:space="preserve">” ranked </w:t>
      </w:r>
      <w:r w:rsidR="00031254">
        <w:rPr>
          <w:rFonts w:ascii="Arial Narrow" w:hAnsi="Arial Narrow" w:cs="Arial Narrow"/>
          <w:sz w:val="20"/>
          <w:szCs w:val="20"/>
          <w:lang w:eastAsia="bg-BG" w:bidi="ar-SA"/>
        </w:rPr>
        <w:t xml:space="preserve">at </w:t>
      </w:r>
      <w:r w:rsidR="00230D08">
        <w:rPr>
          <w:rFonts w:ascii="Arial Narrow" w:hAnsi="Arial Narrow" w:cs="Arial Narrow"/>
          <w:sz w:val="20"/>
          <w:szCs w:val="20"/>
          <w:lang w:eastAsia="bg-BG" w:bidi="ar-SA"/>
        </w:rPr>
        <w:t>68</w:t>
      </w:r>
      <w:r w:rsidR="00230D08" w:rsidRPr="00230D08">
        <w:rPr>
          <w:rFonts w:ascii="Arial Narrow" w:hAnsi="Arial Narrow" w:cs="Arial Narrow"/>
          <w:sz w:val="20"/>
          <w:szCs w:val="20"/>
          <w:vertAlign w:val="superscript"/>
          <w:lang w:eastAsia="bg-BG" w:bidi="ar-SA"/>
        </w:rPr>
        <w:t>th</w:t>
      </w:r>
      <w:r w:rsidR="00230D08">
        <w:rPr>
          <w:rFonts w:ascii="Arial Narrow" w:hAnsi="Arial Narrow" w:cs="Arial Narrow"/>
          <w:sz w:val="20"/>
          <w:szCs w:val="20"/>
          <w:lang w:eastAsia="bg-BG" w:bidi="ar-SA"/>
        </w:rPr>
        <w:t xml:space="preserve"> place among the largest point sources </w:t>
      </w:r>
      <w:r w:rsidR="00A53109">
        <w:rPr>
          <w:rFonts w:ascii="Arial Narrow" w:hAnsi="Arial Narrow" w:cs="Arial Narrow"/>
          <w:sz w:val="20"/>
          <w:szCs w:val="20"/>
          <w:lang w:eastAsia="bg-BG" w:bidi="ar-SA"/>
        </w:rPr>
        <w:t xml:space="preserve">emitting </w:t>
      </w:r>
      <w:r w:rsidR="00230D08">
        <w:rPr>
          <w:rFonts w:ascii="Arial Narrow" w:hAnsi="Arial Narrow" w:cs="Arial Narrow"/>
          <w:sz w:val="20"/>
          <w:szCs w:val="20"/>
          <w:lang w:eastAsia="bg-BG" w:bidi="ar-SA"/>
        </w:rPr>
        <w:t xml:space="preserve">sulfur dioxide to atmosphere in Europe with net release of </w:t>
      </w:r>
      <w:r w:rsidR="00A53109">
        <w:rPr>
          <w:rFonts w:ascii="Arial Narrow" w:hAnsi="Arial Narrow" w:cs="Arial Narrow"/>
          <w:sz w:val="20"/>
          <w:szCs w:val="20"/>
          <w:lang w:eastAsia="bg-BG" w:bidi="ar-SA"/>
        </w:rPr>
        <w:t xml:space="preserve">around </w:t>
      </w:r>
      <w:r w:rsidR="00230D08">
        <w:rPr>
          <w:rFonts w:ascii="Arial Narrow" w:hAnsi="Arial Narrow" w:cs="Arial Narrow"/>
          <w:sz w:val="20"/>
          <w:szCs w:val="20"/>
          <w:lang w:eastAsia="bg-BG" w:bidi="ar-SA"/>
        </w:rPr>
        <w:t xml:space="preserve">43 </w:t>
      </w:r>
      <w:proofErr w:type="spellStart"/>
      <w:r w:rsidR="00230D08">
        <w:rPr>
          <w:rFonts w:ascii="Arial Narrow" w:hAnsi="Arial Narrow" w:cs="Arial Narrow"/>
          <w:sz w:val="20"/>
          <w:szCs w:val="20"/>
          <w:lang w:eastAsia="bg-BG" w:bidi="ar-SA"/>
        </w:rPr>
        <w:t>ktS</w:t>
      </w:r>
      <w:proofErr w:type="spellEnd"/>
      <w:r w:rsidR="00230D08">
        <w:rPr>
          <w:rFonts w:ascii="Arial Narrow" w:hAnsi="Arial Narrow" w:cs="Arial Narrow"/>
          <w:sz w:val="20"/>
          <w:szCs w:val="20"/>
          <w:lang w:eastAsia="bg-BG" w:bidi="ar-SA"/>
        </w:rPr>
        <w:t xml:space="preserve"> per year (Barrett and </w:t>
      </w:r>
      <w:proofErr w:type="spellStart"/>
      <w:r w:rsidR="00230D08">
        <w:rPr>
          <w:rFonts w:ascii="Arial Narrow" w:hAnsi="Arial Narrow" w:cs="Arial Narrow"/>
          <w:sz w:val="20"/>
          <w:szCs w:val="20"/>
          <w:lang w:eastAsia="bg-BG" w:bidi="ar-SA"/>
        </w:rPr>
        <w:t>Protheroe</w:t>
      </w:r>
      <w:proofErr w:type="spellEnd"/>
      <w:r w:rsidR="00230D08">
        <w:rPr>
          <w:rFonts w:ascii="Arial Narrow" w:hAnsi="Arial Narrow" w:cs="Arial Narrow"/>
          <w:sz w:val="20"/>
          <w:szCs w:val="20"/>
          <w:lang w:eastAsia="bg-BG" w:bidi="ar-SA"/>
        </w:rPr>
        <w:t xml:space="preserve">, </w:t>
      </w:r>
      <w:r w:rsidR="00602AF5">
        <w:rPr>
          <w:rFonts w:ascii="Arial Narrow" w:hAnsi="Arial Narrow" w:cs="Arial Narrow"/>
          <w:sz w:val="20"/>
          <w:szCs w:val="20"/>
          <w:lang w:eastAsia="bg-BG" w:bidi="ar-SA"/>
        </w:rPr>
        <w:t>1994</w:t>
      </w:r>
      <w:r w:rsidR="00230D08">
        <w:rPr>
          <w:rFonts w:ascii="Arial Narrow" w:hAnsi="Arial Narrow" w:cs="Arial Narrow"/>
          <w:sz w:val="20"/>
          <w:szCs w:val="20"/>
          <w:lang w:eastAsia="bg-BG" w:bidi="ar-SA"/>
        </w:rPr>
        <w:t>)</w:t>
      </w:r>
      <w:r w:rsidR="00602AF5">
        <w:rPr>
          <w:rFonts w:ascii="Arial Narrow" w:hAnsi="Arial Narrow" w:cs="Arial Narrow"/>
          <w:sz w:val="20"/>
          <w:szCs w:val="20"/>
          <w:lang w:eastAsia="bg-BG" w:bidi="ar-SA"/>
        </w:rPr>
        <w:t xml:space="preserve">. </w:t>
      </w:r>
    </w:p>
    <w:p w:rsidR="00556A60" w:rsidRDefault="00556A60" w:rsidP="003B1283">
      <w:pPr>
        <w:pStyle w:val="Default"/>
        <w:widowControl w:val="0"/>
        <w:suppressAutoHyphens/>
        <w:autoSpaceDE/>
        <w:autoSpaceDN/>
        <w:adjustRightInd/>
        <w:spacing w:before="120"/>
        <w:ind w:firstLine="170"/>
        <w:jc w:val="both"/>
        <w:rPr>
          <w:rFonts w:ascii="Arial Narrow" w:hAnsi="Arial Narrow" w:cs="Arial Narrow"/>
          <w:sz w:val="20"/>
          <w:szCs w:val="20"/>
          <w:lang w:eastAsia="bg-BG"/>
        </w:rPr>
      </w:pPr>
      <w:r>
        <w:rPr>
          <w:rFonts w:ascii="Arial Narrow" w:hAnsi="Arial Narrow" w:cs="Arial Narrow"/>
          <w:sz w:val="20"/>
          <w:szCs w:val="20"/>
          <w:lang w:eastAsia="bg-BG"/>
        </w:rPr>
        <w:t xml:space="preserve">The negotiations between Bulgaria and EU on Chapter 22 “Environment” fixed the transitional periods towards </w:t>
      </w:r>
      <w:r w:rsidR="002379B2">
        <w:rPr>
          <w:rFonts w:ascii="Arial Narrow" w:hAnsi="Arial Narrow" w:cs="Arial Narrow"/>
          <w:sz w:val="20"/>
          <w:szCs w:val="20"/>
          <w:lang w:eastAsia="bg-BG"/>
        </w:rPr>
        <w:t xml:space="preserve">Bulgarian Large Combustion Plants (LCP) which emissions to atmosphere were higher than </w:t>
      </w:r>
      <w:r w:rsidR="00D624EC">
        <w:rPr>
          <w:rFonts w:ascii="Arial Narrow" w:hAnsi="Arial Narrow" w:cs="Arial Narrow"/>
          <w:sz w:val="20"/>
          <w:szCs w:val="20"/>
          <w:lang w:eastAsia="bg-BG"/>
        </w:rPr>
        <w:t xml:space="preserve">the relevant </w:t>
      </w:r>
      <w:r w:rsidR="002379B2">
        <w:rPr>
          <w:rFonts w:ascii="Arial Narrow" w:hAnsi="Arial Narrow" w:cs="Arial Narrow"/>
          <w:sz w:val="20"/>
          <w:szCs w:val="20"/>
          <w:lang w:eastAsia="bg-BG"/>
        </w:rPr>
        <w:t>Emission Limit Values (ELV). By this process the main technical measures needed for bringing the existing LCPs into compliance with the ELVs</w:t>
      </w:r>
      <w:r w:rsidR="004C4E6B">
        <w:rPr>
          <w:rFonts w:ascii="Arial Narrow" w:hAnsi="Arial Narrow" w:cs="Arial Narrow"/>
          <w:sz w:val="20"/>
          <w:szCs w:val="20"/>
          <w:lang w:eastAsia="bg-BG"/>
        </w:rPr>
        <w:t xml:space="preserve"> was determined</w:t>
      </w:r>
      <w:r w:rsidR="002379B2">
        <w:rPr>
          <w:rFonts w:ascii="Arial Narrow" w:hAnsi="Arial Narrow" w:cs="Arial Narrow"/>
          <w:sz w:val="20"/>
          <w:szCs w:val="20"/>
          <w:lang w:eastAsia="bg-BG"/>
        </w:rPr>
        <w:t xml:space="preserve"> – decommission of old coal boilers, installation of desulfurization units, installation of low-emission burners, reconstruction of the</w:t>
      </w:r>
      <w:r w:rsidR="004C4E6B">
        <w:rPr>
          <w:rFonts w:ascii="Arial Narrow" w:hAnsi="Arial Narrow" w:cs="Arial Narrow"/>
          <w:sz w:val="20"/>
          <w:szCs w:val="20"/>
          <w:lang w:eastAsia="bg-BG"/>
        </w:rPr>
        <w:t xml:space="preserve"> </w:t>
      </w:r>
      <w:r w:rsidR="002379B2">
        <w:rPr>
          <w:rFonts w:ascii="Arial Narrow" w:hAnsi="Arial Narrow" w:cs="Arial Narrow"/>
          <w:sz w:val="20"/>
          <w:szCs w:val="20"/>
          <w:lang w:eastAsia="bg-BG"/>
        </w:rPr>
        <w:t>existing abatement techniques, switch to</w:t>
      </w:r>
      <w:r w:rsidR="00C52BCA">
        <w:rPr>
          <w:rFonts w:ascii="Arial Narrow" w:hAnsi="Arial Narrow" w:cs="Arial Narrow"/>
          <w:sz w:val="20"/>
          <w:szCs w:val="20"/>
          <w:lang w:eastAsia="bg-BG"/>
        </w:rPr>
        <w:t xml:space="preserve"> fuels with </w:t>
      </w:r>
      <w:r w:rsidR="002379B2">
        <w:rPr>
          <w:rFonts w:ascii="Arial Narrow" w:hAnsi="Arial Narrow" w:cs="Arial Narrow"/>
          <w:sz w:val="20"/>
          <w:szCs w:val="20"/>
          <w:lang w:eastAsia="bg-BG"/>
        </w:rPr>
        <w:t>low</w:t>
      </w:r>
      <w:r w:rsidR="00C52BCA">
        <w:rPr>
          <w:rFonts w:ascii="Arial Narrow" w:hAnsi="Arial Narrow" w:cs="Arial Narrow"/>
          <w:sz w:val="20"/>
          <w:szCs w:val="20"/>
          <w:lang w:eastAsia="bg-BG"/>
        </w:rPr>
        <w:t xml:space="preserve">er </w:t>
      </w:r>
      <w:r w:rsidR="002379B2">
        <w:rPr>
          <w:rFonts w:ascii="Arial Narrow" w:hAnsi="Arial Narrow" w:cs="Arial Narrow"/>
          <w:sz w:val="20"/>
          <w:szCs w:val="20"/>
          <w:lang w:eastAsia="bg-BG"/>
        </w:rPr>
        <w:t>S</w:t>
      </w:r>
      <w:r w:rsidR="00C52BCA">
        <w:rPr>
          <w:rFonts w:ascii="Arial Narrow" w:hAnsi="Arial Narrow" w:cs="Arial Narrow"/>
          <w:sz w:val="20"/>
          <w:szCs w:val="20"/>
          <w:lang w:eastAsia="bg-BG"/>
        </w:rPr>
        <w:t xml:space="preserve"> content</w:t>
      </w:r>
      <w:r w:rsidR="005270E4">
        <w:rPr>
          <w:rFonts w:ascii="Arial Narrow" w:hAnsi="Arial Narrow" w:cs="Arial Narrow"/>
          <w:sz w:val="20"/>
          <w:szCs w:val="20"/>
          <w:lang w:eastAsia="bg-BG"/>
        </w:rPr>
        <w:t xml:space="preserve"> (</w:t>
      </w:r>
      <w:r w:rsidR="005270E4" w:rsidRPr="005270E4">
        <w:rPr>
          <w:rFonts w:ascii="Arial Narrow" w:hAnsi="Arial Narrow"/>
          <w:iCs/>
          <w:sz w:val="20"/>
          <w:szCs w:val="20"/>
        </w:rPr>
        <w:t>Ordinance №10</w:t>
      </w:r>
      <w:r w:rsidR="005270E4">
        <w:rPr>
          <w:rFonts w:ascii="Arial Narrow" w:hAnsi="Arial Narrow"/>
          <w:iCs/>
          <w:sz w:val="20"/>
          <w:szCs w:val="20"/>
        </w:rPr>
        <w:t>, 2003</w:t>
      </w:r>
      <w:r w:rsidR="005270E4">
        <w:rPr>
          <w:rFonts w:ascii="Arial Narrow" w:hAnsi="Arial Narrow" w:cs="Arial Narrow"/>
          <w:sz w:val="20"/>
          <w:szCs w:val="20"/>
          <w:lang w:eastAsia="bg-BG"/>
        </w:rPr>
        <w:t>)</w:t>
      </w:r>
      <w:r w:rsidR="00C52BCA">
        <w:rPr>
          <w:rFonts w:ascii="Arial Narrow" w:hAnsi="Arial Narrow" w:cs="Arial Narrow"/>
          <w:sz w:val="20"/>
          <w:szCs w:val="20"/>
          <w:lang w:eastAsia="bg-BG"/>
        </w:rPr>
        <w:t>.</w:t>
      </w:r>
    </w:p>
    <w:p w:rsidR="003D0AEA" w:rsidRDefault="00383FFA" w:rsidP="003B1283">
      <w:pPr>
        <w:widowControl/>
        <w:spacing w:before="8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In period of 2010-201</w:t>
      </w:r>
      <w:r w:rsidR="00313A6A">
        <w:rPr>
          <w:rFonts w:ascii="Arial Narrow" w:hAnsi="Arial Narrow" w:cs="Arial Narrow"/>
          <w:sz w:val="20"/>
          <w:szCs w:val="20"/>
          <w:lang w:eastAsia="bg-BG" w:bidi="ar-SA"/>
        </w:rPr>
        <w:t xml:space="preserve">5 </w:t>
      </w:r>
      <w:r>
        <w:rPr>
          <w:rFonts w:ascii="Arial Narrow" w:hAnsi="Arial Narrow" w:cs="Arial Narrow"/>
          <w:sz w:val="20"/>
          <w:szCs w:val="20"/>
          <w:lang w:eastAsia="bg-BG" w:bidi="ar-SA"/>
        </w:rPr>
        <w:t>year, the three units of TPP “</w:t>
      </w:r>
      <w:proofErr w:type="spellStart"/>
      <w:r>
        <w:rPr>
          <w:rFonts w:ascii="Arial Narrow" w:hAnsi="Arial Narrow" w:cs="Arial Narrow"/>
          <w:sz w:val="20"/>
          <w:szCs w:val="20"/>
          <w:lang w:eastAsia="bg-BG" w:bidi="ar-SA"/>
        </w:rPr>
        <w:t>Bobov</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dol</w:t>
      </w:r>
      <w:proofErr w:type="spellEnd"/>
      <w:r>
        <w:rPr>
          <w:rFonts w:ascii="Arial Narrow" w:hAnsi="Arial Narrow" w:cs="Arial Narrow"/>
          <w:sz w:val="20"/>
          <w:szCs w:val="20"/>
          <w:lang w:eastAsia="bg-BG" w:bidi="ar-SA"/>
        </w:rPr>
        <w:t xml:space="preserve">” </w:t>
      </w:r>
      <w:r w:rsidR="003D0AEA">
        <w:rPr>
          <w:rFonts w:ascii="Arial Narrow" w:hAnsi="Arial Narrow" w:cs="Arial Narrow"/>
          <w:sz w:val="20"/>
          <w:szCs w:val="20"/>
          <w:lang w:eastAsia="bg-BG" w:bidi="ar-SA"/>
        </w:rPr>
        <w:t>were</w:t>
      </w:r>
      <w:r>
        <w:rPr>
          <w:rFonts w:ascii="Arial Narrow" w:hAnsi="Arial Narrow" w:cs="Arial Narrow"/>
          <w:sz w:val="20"/>
          <w:szCs w:val="20"/>
          <w:lang w:eastAsia="bg-BG" w:bidi="ar-SA"/>
        </w:rPr>
        <w:t xml:space="preserve"> </w:t>
      </w:r>
      <w:r w:rsidR="005D3869">
        <w:rPr>
          <w:rFonts w:ascii="Arial Narrow" w:hAnsi="Arial Narrow" w:cs="Arial Narrow"/>
          <w:sz w:val="20"/>
          <w:szCs w:val="20"/>
          <w:lang w:eastAsia="bg-BG" w:bidi="ar-SA"/>
        </w:rPr>
        <w:t xml:space="preserve">or are process of </w:t>
      </w:r>
      <w:r>
        <w:rPr>
          <w:rFonts w:ascii="Arial Narrow" w:hAnsi="Arial Narrow" w:cs="Arial Narrow"/>
          <w:sz w:val="20"/>
          <w:szCs w:val="20"/>
          <w:lang w:eastAsia="bg-BG" w:bidi="ar-SA"/>
        </w:rPr>
        <w:t>rehabilitat</w:t>
      </w:r>
      <w:r w:rsidR="005D3869">
        <w:rPr>
          <w:rFonts w:ascii="Arial Narrow" w:hAnsi="Arial Narrow" w:cs="Arial Narrow"/>
          <w:sz w:val="20"/>
          <w:szCs w:val="20"/>
          <w:lang w:eastAsia="bg-BG" w:bidi="ar-SA"/>
        </w:rPr>
        <w:t xml:space="preserve">ion </w:t>
      </w:r>
      <w:r w:rsidR="003D0AEA">
        <w:rPr>
          <w:rFonts w:ascii="Arial Narrow" w:hAnsi="Arial Narrow" w:cs="Arial Narrow"/>
          <w:sz w:val="20"/>
          <w:szCs w:val="20"/>
          <w:lang w:eastAsia="bg-BG" w:bidi="ar-SA"/>
        </w:rPr>
        <w:t>which made possible:</w:t>
      </w:r>
    </w:p>
    <w:p w:rsidR="003D0AEA" w:rsidRDefault="00383FFA" w:rsidP="003B1283">
      <w:pPr>
        <w:widowControl/>
        <w:numPr>
          <w:ilvl w:val="0"/>
          <w:numId w:val="3"/>
        </w:numPr>
        <w:ind w:left="426" w:hanging="284"/>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power plant </w:t>
      </w:r>
      <w:r w:rsidR="00DF1F40">
        <w:rPr>
          <w:rFonts w:ascii="Arial Narrow" w:hAnsi="Arial Narrow" w:cs="Arial Narrow"/>
          <w:sz w:val="20"/>
          <w:szCs w:val="20"/>
          <w:lang w:eastAsia="bg-BG" w:bidi="ar-SA"/>
        </w:rPr>
        <w:t xml:space="preserve">to </w:t>
      </w:r>
      <w:r w:rsidR="00EC13A7">
        <w:rPr>
          <w:rFonts w:ascii="Arial Narrow" w:hAnsi="Arial Narrow" w:cs="Arial Narrow"/>
          <w:sz w:val="20"/>
          <w:szCs w:val="20"/>
          <w:lang w:eastAsia="bg-BG" w:bidi="ar-SA"/>
        </w:rPr>
        <w:t xml:space="preserve">start to </w:t>
      </w:r>
      <w:r>
        <w:rPr>
          <w:rFonts w:ascii="Arial Narrow" w:hAnsi="Arial Narrow" w:cs="Arial Narrow"/>
          <w:sz w:val="20"/>
          <w:szCs w:val="20"/>
          <w:lang w:eastAsia="bg-BG" w:bidi="ar-SA"/>
        </w:rPr>
        <w:t xml:space="preserve">operate in accordance to </w:t>
      </w:r>
      <w:r w:rsidR="00DF1F40">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 xml:space="preserve">environmental standards </w:t>
      </w:r>
      <w:r w:rsidR="00DD1392">
        <w:rPr>
          <w:rFonts w:ascii="Arial Narrow" w:hAnsi="Arial Narrow" w:cs="Arial Narrow"/>
          <w:sz w:val="20"/>
          <w:szCs w:val="20"/>
          <w:lang w:eastAsia="bg-BG" w:bidi="ar-SA"/>
        </w:rPr>
        <w:t>for SO</w:t>
      </w:r>
      <w:r w:rsidR="00DD1392" w:rsidRPr="00DD1392">
        <w:rPr>
          <w:rFonts w:ascii="Arial Narrow" w:hAnsi="Arial Narrow" w:cs="Arial Narrow"/>
          <w:sz w:val="20"/>
          <w:szCs w:val="20"/>
          <w:vertAlign w:val="subscript"/>
          <w:lang w:eastAsia="bg-BG" w:bidi="ar-SA"/>
        </w:rPr>
        <w:t>2</w:t>
      </w:r>
      <w:r w:rsidR="00DD1392">
        <w:rPr>
          <w:rFonts w:ascii="Arial Narrow" w:hAnsi="Arial Narrow" w:cs="Arial Narrow"/>
          <w:sz w:val="20"/>
          <w:szCs w:val="20"/>
          <w:lang w:eastAsia="bg-BG" w:bidi="ar-SA"/>
        </w:rPr>
        <w:t xml:space="preserve"> </w:t>
      </w:r>
      <w:r w:rsidR="00B54302">
        <w:rPr>
          <w:rFonts w:ascii="Arial Narrow" w:hAnsi="Arial Narrow" w:cs="Arial Narrow"/>
          <w:sz w:val="20"/>
          <w:szCs w:val="20"/>
          <w:lang w:eastAsia="bg-BG" w:bidi="ar-SA"/>
        </w:rPr>
        <w:t xml:space="preserve">applied in </w:t>
      </w:r>
      <w:r w:rsidR="003D0AEA">
        <w:rPr>
          <w:rFonts w:ascii="Arial Narrow" w:hAnsi="Arial Narrow" w:cs="Arial Narrow"/>
          <w:sz w:val="20"/>
          <w:szCs w:val="20"/>
          <w:lang w:eastAsia="bg-BG" w:bidi="ar-SA"/>
        </w:rPr>
        <w:t>EU;</w:t>
      </w:r>
    </w:p>
    <w:p w:rsidR="003D0AEA" w:rsidRDefault="003D0AEA" w:rsidP="003B1283">
      <w:pPr>
        <w:widowControl/>
        <w:numPr>
          <w:ilvl w:val="0"/>
          <w:numId w:val="3"/>
        </w:numPr>
        <w:ind w:left="426" w:hanging="284"/>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installed capacity </w:t>
      </w:r>
      <w:r w:rsidR="00EC71A7">
        <w:rPr>
          <w:rFonts w:ascii="Arial Narrow" w:hAnsi="Arial Narrow" w:cs="Arial Narrow"/>
          <w:sz w:val="20"/>
          <w:szCs w:val="20"/>
          <w:lang w:eastAsia="bg-BG" w:bidi="ar-SA"/>
        </w:rPr>
        <w:t xml:space="preserve">per unit </w:t>
      </w:r>
      <w:r>
        <w:rPr>
          <w:rFonts w:ascii="Arial Narrow" w:hAnsi="Arial Narrow" w:cs="Arial Narrow"/>
          <w:sz w:val="20"/>
          <w:szCs w:val="20"/>
          <w:lang w:eastAsia="bg-BG" w:bidi="ar-SA"/>
        </w:rPr>
        <w:t>increased to 223 MW;</w:t>
      </w:r>
    </w:p>
    <w:p w:rsidR="00E10A9A" w:rsidRPr="00F13134" w:rsidRDefault="003D0AEA" w:rsidP="003B1283">
      <w:pPr>
        <w:widowControl/>
        <w:numPr>
          <w:ilvl w:val="0"/>
          <w:numId w:val="3"/>
        </w:numPr>
        <w:ind w:left="426" w:hanging="284"/>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the</w:t>
      </w:r>
      <w:proofErr w:type="gramEnd"/>
      <w:r>
        <w:rPr>
          <w:rFonts w:ascii="Arial Narrow" w:hAnsi="Arial Narrow" w:cs="Arial Narrow"/>
          <w:sz w:val="20"/>
          <w:szCs w:val="20"/>
          <w:lang w:eastAsia="bg-BG" w:bidi="ar-SA"/>
        </w:rPr>
        <w:t xml:space="preserve"> retirement date postponed after the end of 2020.</w:t>
      </w:r>
      <w:r w:rsidR="00F13134">
        <w:rPr>
          <w:rFonts w:ascii="Arial Narrow" w:hAnsi="Arial Narrow" w:cs="Arial Narrow"/>
          <w:sz w:val="20"/>
          <w:szCs w:val="20"/>
          <w:lang w:eastAsia="bg-BG" w:bidi="ar-SA"/>
        </w:rPr>
        <w:t xml:space="preserve"> </w:t>
      </w:r>
    </w:p>
    <w:p w:rsidR="00FF3407" w:rsidRDefault="00AF0F8F" w:rsidP="003B1283">
      <w:pPr>
        <w:spacing w:before="120"/>
        <w:ind w:firstLine="170"/>
        <w:jc w:val="both"/>
        <w:rPr>
          <w:rFonts w:ascii="Arial Narrow" w:hAnsi="Arial Narrow" w:cs="Arial Narrow"/>
          <w:sz w:val="20"/>
          <w:szCs w:val="20"/>
          <w:lang w:eastAsia="bg-BG" w:bidi="ar-SA"/>
        </w:rPr>
      </w:pPr>
      <w:r w:rsidRPr="00183919">
        <w:rPr>
          <w:rFonts w:ascii="Arial Narrow" w:hAnsi="Arial Narrow" w:cs="Arial Narrow"/>
          <w:sz w:val="20"/>
          <w:szCs w:val="20"/>
          <w:lang w:eastAsia="bg-BG" w:bidi="ar-SA"/>
        </w:rPr>
        <w:t xml:space="preserve">As a result of </w:t>
      </w:r>
      <w:r w:rsidR="00313A6A" w:rsidRPr="00183919">
        <w:rPr>
          <w:rFonts w:ascii="Arial Narrow" w:hAnsi="Arial Narrow" w:cs="Arial Narrow"/>
          <w:sz w:val="20"/>
          <w:szCs w:val="20"/>
          <w:lang w:eastAsia="bg-BG" w:bidi="ar-SA"/>
        </w:rPr>
        <w:t xml:space="preserve">the </w:t>
      </w:r>
      <w:r w:rsidRPr="00183919">
        <w:rPr>
          <w:rFonts w:ascii="Arial Narrow" w:hAnsi="Arial Narrow" w:cs="Arial Narrow"/>
          <w:sz w:val="20"/>
          <w:szCs w:val="20"/>
          <w:lang w:eastAsia="bg-BG" w:bidi="ar-SA"/>
        </w:rPr>
        <w:t xml:space="preserve">rehabilitation, </w:t>
      </w:r>
      <w:r w:rsidR="00313A6A" w:rsidRPr="00183919">
        <w:rPr>
          <w:rFonts w:ascii="Arial Narrow" w:hAnsi="Arial Narrow" w:cs="Arial Narrow"/>
          <w:sz w:val="20"/>
          <w:szCs w:val="20"/>
          <w:lang w:eastAsia="bg-BG" w:bidi="ar-SA"/>
        </w:rPr>
        <w:t xml:space="preserve">a </w:t>
      </w:r>
      <w:r w:rsidRPr="00183919">
        <w:rPr>
          <w:rFonts w:ascii="Arial Narrow" w:hAnsi="Arial Narrow" w:cs="Arial Narrow"/>
          <w:sz w:val="20"/>
          <w:szCs w:val="20"/>
          <w:lang w:eastAsia="bg-BG" w:bidi="ar-SA"/>
        </w:rPr>
        <w:t xml:space="preserve">desulfurization </w:t>
      </w:r>
      <w:r w:rsidR="00313A6A" w:rsidRPr="00183919">
        <w:rPr>
          <w:rFonts w:ascii="Arial Narrow" w:hAnsi="Arial Narrow" w:cs="Arial Narrow"/>
          <w:sz w:val="20"/>
          <w:szCs w:val="20"/>
          <w:lang w:eastAsia="bg-BG" w:bidi="ar-SA"/>
        </w:rPr>
        <w:t>unit</w:t>
      </w:r>
      <w:r w:rsidRPr="00183919">
        <w:rPr>
          <w:rFonts w:ascii="Arial Narrow" w:hAnsi="Arial Narrow" w:cs="Arial Narrow"/>
          <w:sz w:val="20"/>
          <w:szCs w:val="20"/>
          <w:lang w:eastAsia="bg-BG" w:bidi="ar-SA"/>
        </w:rPr>
        <w:t xml:space="preserve"> for the sulfur dioxide </w:t>
      </w:r>
      <w:r w:rsidR="00B13808" w:rsidRPr="00183919">
        <w:rPr>
          <w:rFonts w:ascii="Arial Narrow" w:hAnsi="Arial Narrow" w:cs="Arial Narrow"/>
          <w:sz w:val="20"/>
          <w:szCs w:val="20"/>
          <w:lang w:eastAsia="bg-BG" w:bidi="ar-SA"/>
        </w:rPr>
        <w:t xml:space="preserve">catchment </w:t>
      </w:r>
      <w:r w:rsidR="00D802C2" w:rsidRPr="00183919">
        <w:rPr>
          <w:rFonts w:ascii="Arial Narrow" w:hAnsi="Arial Narrow" w:cs="Arial Narrow"/>
          <w:sz w:val="20"/>
          <w:szCs w:val="20"/>
          <w:lang w:eastAsia="bg-BG" w:bidi="ar-SA"/>
        </w:rPr>
        <w:t xml:space="preserve">from flue gases </w:t>
      </w:r>
      <w:r w:rsidR="00313A6A" w:rsidRPr="00183919">
        <w:rPr>
          <w:rFonts w:ascii="Arial Narrow" w:hAnsi="Arial Narrow" w:cs="Arial Narrow"/>
          <w:sz w:val="20"/>
          <w:szCs w:val="20"/>
          <w:lang w:eastAsia="bg-BG" w:bidi="ar-SA"/>
        </w:rPr>
        <w:t xml:space="preserve">of unit </w:t>
      </w:r>
      <w:r w:rsidR="00F02B19">
        <w:rPr>
          <w:rFonts w:ascii="Arial Narrow" w:hAnsi="Arial Narrow" w:cs="Arial Narrow"/>
          <w:sz w:val="20"/>
          <w:szCs w:val="20"/>
          <w:lang w:val="bg-BG" w:eastAsia="bg-BG" w:bidi="ar-SA"/>
        </w:rPr>
        <w:t xml:space="preserve">1 </w:t>
      </w:r>
      <w:r w:rsidR="00313A6A" w:rsidRPr="00183919">
        <w:rPr>
          <w:rFonts w:ascii="Arial Narrow" w:hAnsi="Arial Narrow" w:cs="Arial Narrow"/>
          <w:sz w:val="20"/>
          <w:szCs w:val="20"/>
          <w:lang w:eastAsia="bg-BG" w:bidi="ar-SA"/>
        </w:rPr>
        <w:t xml:space="preserve">and 2 </w:t>
      </w:r>
      <w:r w:rsidR="00D802C2" w:rsidRPr="00183919">
        <w:rPr>
          <w:rFonts w:ascii="Arial Narrow" w:hAnsi="Arial Narrow" w:cs="Arial Narrow"/>
          <w:sz w:val="20"/>
          <w:szCs w:val="20"/>
          <w:lang w:eastAsia="bg-BG" w:bidi="ar-SA"/>
        </w:rPr>
        <w:t xml:space="preserve">was installed. </w:t>
      </w:r>
      <w:r w:rsidR="00313A6A" w:rsidRPr="00183919">
        <w:rPr>
          <w:rFonts w:ascii="Arial Narrow" w:hAnsi="Arial Narrow" w:cs="Arial Narrow"/>
          <w:sz w:val="20"/>
          <w:szCs w:val="20"/>
          <w:lang w:eastAsia="bg-BG" w:bidi="ar-SA"/>
        </w:rPr>
        <w:t xml:space="preserve">A second desulfurization set-up for </w:t>
      </w:r>
      <w:r w:rsidR="00183919" w:rsidRPr="00183919">
        <w:rPr>
          <w:rFonts w:ascii="Arial Narrow" w:hAnsi="Arial Narrow" w:cs="Arial Narrow"/>
          <w:sz w:val="20"/>
          <w:szCs w:val="20"/>
          <w:lang w:eastAsia="bg-BG" w:bidi="ar-SA"/>
        </w:rPr>
        <w:t xml:space="preserve">unit 3 of </w:t>
      </w:r>
      <w:r w:rsidR="00D802C2" w:rsidRPr="00183919">
        <w:rPr>
          <w:rFonts w:ascii="Arial Narrow" w:hAnsi="Arial Narrow" w:cs="Arial Narrow"/>
          <w:sz w:val="20"/>
          <w:szCs w:val="20"/>
          <w:lang w:eastAsia="bg-BG" w:bidi="ar-SA"/>
        </w:rPr>
        <w:t>TPP “</w:t>
      </w:r>
      <w:proofErr w:type="spellStart"/>
      <w:r w:rsidR="00D802C2" w:rsidRPr="00183919">
        <w:rPr>
          <w:rFonts w:ascii="Arial Narrow" w:hAnsi="Arial Narrow" w:cs="Arial Narrow"/>
          <w:sz w:val="20"/>
          <w:szCs w:val="20"/>
          <w:lang w:eastAsia="bg-BG" w:bidi="ar-SA"/>
        </w:rPr>
        <w:t>Bobov</w:t>
      </w:r>
      <w:proofErr w:type="spellEnd"/>
      <w:r w:rsidR="00D802C2" w:rsidRPr="00183919">
        <w:rPr>
          <w:rFonts w:ascii="Arial Narrow" w:hAnsi="Arial Narrow" w:cs="Arial Narrow"/>
          <w:sz w:val="20"/>
          <w:szCs w:val="20"/>
          <w:lang w:eastAsia="bg-BG" w:bidi="ar-SA"/>
        </w:rPr>
        <w:t xml:space="preserve"> </w:t>
      </w:r>
      <w:proofErr w:type="spellStart"/>
      <w:r w:rsidR="00D802C2" w:rsidRPr="00183919">
        <w:rPr>
          <w:rFonts w:ascii="Arial Narrow" w:hAnsi="Arial Narrow" w:cs="Arial Narrow"/>
          <w:sz w:val="20"/>
          <w:szCs w:val="20"/>
          <w:lang w:eastAsia="bg-BG" w:bidi="ar-SA"/>
        </w:rPr>
        <w:t>dol</w:t>
      </w:r>
      <w:proofErr w:type="spellEnd"/>
      <w:r w:rsidR="00D802C2" w:rsidRPr="00183919">
        <w:rPr>
          <w:rFonts w:ascii="Arial Narrow" w:hAnsi="Arial Narrow" w:cs="Arial Narrow"/>
          <w:sz w:val="20"/>
          <w:szCs w:val="20"/>
          <w:lang w:eastAsia="bg-BG" w:bidi="ar-SA"/>
        </w:rPr>
        <w:t xml:space="preserve">” </w:t>
      </w:r>
      <w:r w:rsidR="00183919" w:rsidRPr="00183919">
        <w:rPr>
          <w:rFonts w:ascii="Arial Narrow" w:hAnsi="Arial Narrow" w:cs="Arial Narrow"/>
          <w:sz w:val="20"/>
          <w:szCs w:val="20"/>
          <w:lang w:eastAsia="bg-BG" w:bidi="ar-SA"/>
        </w:rPr>
        <w:t>has to be put in operation to the end of</w:t>
      </w:r>
      <w:r w:rsidR="00183919">
        <w:rPr>
          <w:rFonts w:ascii="Arial Narrow" w:hAnsi="Arial Narrow" w:cs="Arial Narrow"/>
          <w:sz w:val="20"/>
          <w:szCs w:val="20"/>
          <w:lang w:eastAsia="bg-BG" w:bidi="ar-SA"/>
        </w:rPr>
        <w:t xml:space="preserve"> June of 2015. Apart from the sulfur removal, primary and secondary reduction of NO</w:t>
      </w:r>
      <w:r w:rsidR="00183919" w:rsidRPr="00183919">
        <w:rPr>
          <w:rFonts w:ascii="Arial Narrow" w:hAnsi="Arial Narrow" w:cs="Arial Narrow"/>
          <w:sz w:val="20"/>
          <w:szCs w:val="20"/>
          <w:vertAlign w:val="subscript"/>
          <w:lang w:eastAsia="bg-BG" w:bidi="ar-SA"/>
        </w:rPr>
        <w:t>X</w:t>
      </w:r>
      <w:r w:rsidR="00183919">
        <w:rPr>
          <w:rFonts w:ascii="Arial Narrow" w:hAnsi="Arial Narrow" w:cs="Arial Narrow"/>
          <w:sz w:val="20"/>
          <w:szCs w:val="20"/>
          <w:lang w:eastAsia="bg-BG" w:bidi="ar-SA"/>
        </w:rPr>
        <w:t xml:space="preserve"> </w:t>
      </w:r>
      <w:r w:rsidR="00E62CF7">
        <w:rPr>
          <w:rFonts w:ascii="Arial Narrow" w:hAnsi="Arial Narrow" w:cs="Arial Narrow"/>
          <w:sz w:val="20"/>
          <w:szCs w:val="20"/>
          <w:lang w:eastAsia="bg-BG" w:bidi="ar-SA"/>
        </w:rPr>
        <w:t xml:space="preserve">in the flue gases and the additional reduction of fine particles matters content by means of additional electrostatic filters </w:t>
      </w:r>
      <w:r w:rsidR="004C4E6B">
        <w:rPr>
          <w:rFonts w:ascii="Arial Narrow" w:hAnsi="Arial Narrow" w:cs="Arial Narrow"/>
          <w:sz w:val="20"/>
          <w:szCs w:val="20"/>
          <w:lang w:eastAsia="bg-BG" w:bidi="ar-SA"/>
        </w:rPr>
        <w:t>is</w:t>
      </w:r>
      <w:r w:rsidR="00CE04B3">
        <w:rPr>
          <w:rFonts w:ascii="Arial Narrow" w:hAnsi="Arial Narrow" w:cs="Arial Narrow"/>
          <w:sz w:val="20"/>
          <w:szCs w:val="20"/>
          <w:lang w:val="bg-BG" w:eastAsia="bg-BG" w:bidi="ar-SA"/>
        </w:rPr>
        <w:t xml:space="preserve"> </w:t>
      </w:r>
      <w:r w:rsidR="00CE04B3">
        <w:rPr>
          <w:rFonts w:ascii="Arial Narrow" w:hAnsi="Arial Narrow" w:cs="Arial Narrow"/>
          <w:sz w:val="20"/>
          <w:szCs w:val="20"/>
          <w:lang w:eastAsia="bg-BG" w:bidi="ar-SA"/>
        </w:rPr>
        <w:t>also</w:t>
      </w:r>
      <w:r w:rsidR="00183919">
        <w:rPr>
          <w:rFonts w:ascii="Arial Narrow" w:hAnsi="Arial Narrow" w:cs="Arial Narrow"/>
          <w:sz w:val="20"/>
          <w:szCs w:val="20"/>
          <w:lang w:eastAsia="bg-BG" w:bidi="ar-SA"/>
        </w:rPr>
        <w:t xml:space="preserve"> applied. The treated flue </w:t>
      </w:r>
      <w:proofErr w:type="spellStart"/>
      <w:r w:rsidR="00183919">
        <w:rPr>
          <w:rFonts w:ascii="Arial Narrow" w:hAnsi="Arial Narrow" w:cs="Arial Narrow"/>
          <w:sz w:val="20"/>
          <w:szCs w:val="20"/>
          <w:lang w:eastAsia="bg-BG" w:bidi="ar-SA"/>
        </w:rPr>
        <w:t>gase</w:t>
      </w:r>
      <w:proofErr w:type="spellEnd"/>
      <w:r w:rsidR="009419CC">
        <w:rPr>
          <w:rFonts w:ascii="Arial Narrow" w:hAnsi="Arial Narrow" w:cs="Arial Narrow"/>
          <w:sz w:val="20"/>
          <w:szCs w:val="20"/>
          <w:lang w:eastAsia="bg-BG" w:bidi="ar-SA"/>
        </w:rPr>
        <w:t xml:space="preserve"> </w:t>
      </w:r>
      <w:r w:rsidR="004C4E6B">
        <w:rPr>
          <w:rFonts w:ascii="Arial Narrow" w:hAnsi="Arial Narrow" w:cs="Arial Narrow"/>
          <w:sz w:val="20"/>
          <w:szCs w:val="20"/>
          <w:lang w:eastAsia="bg-BG" w:bidi="ar-SA"/>
        </w:rPr>
        <w:t>is</w:t>
      </w:r>
      <w:r w:rsidR="009419CC">
        <w:rPr>
          <w:rFonts w:ascii="Arial Narrow" w:hAnsi="Arial Narrow" w:cs="Arial Narrow"/>
          <w:sz w:val="20"/>
          <w:szCs w:val="20"/>
          <w:lang w:eastAsia="bg-BG" w:bidi="ar-SA"/>
        </w:rPr>
        <w:t xml:space="preserve"> </w:t>
      </w:r>
      <w:r w:rsidR="00183919">
        <w:rPr>
          <w:rFonts w:ascii="Arial Narrow" w:hAnsi="Arial Narrow" w:cs="Arial Narrow"/>
          <w:sz w:val="20"/>
          <w:szCs w:val="20"/>
          <w:lang w:eastAsia="bg-BG" w:bidi="ar-SA"/>
        </w:rPr>
        <w:t xml:space="preserve">released </w:t>
      </w:r>
      <w:r w:rsidR="009419CC">
        <w:rPr>
          <w:rFonts w:ascii="Arial Narrow" w:hAnsi="Arial Narrow" w:cs="Arial Narrow"/>
          <w:sz w:val="20"/>
          <w:szCs w:val="20"/>
          <w:lang w:eastAsia="bg-BG" w:bidi="ar-SA"/>
        </w:rPr>
        <w:t xml:space="preserve">in the atmosphere </w:t>
      </w:r>
      <w:r w:rsidR="00183919">
        <w:rPr>
          <w:rFonts w:ascii="Arial Narrow" w:hAnsi="Arial Narrow" w:cs="Arial Narrow"/>
          <w:sz w:val="20"/>
          <w:szCs w:val="20"/>
          <w:lang w:eastAsia="bg-BG" w:bidi="ar-SA"/>
        </w:rPr>
        <w:t>at height of 80 m</w:t>
      </w:r>
      <w:r w:rsidR="009419CC">
        <w:rPr>
          <w:rFonts w:ascii="Arial Narrow" w:hAnsi="Arial Narrow" w:cs="Arial Narrow"/>
          <w:sz w:val="20"/>
          <w:szCs w:val="20"/>
          <w:lang w:eastAsia="bg-BG" w:bidi="ar-SA"/>
        </w:rPr>
        <w:t>,</w:t>
      </w:r>
      <w:r w:rsidR="00183919">
        <w:rPr>
          <w:rFonts w:ascii="Arial Narrow" w:hAnsi="Arial Narrow" w:cs="Arial Narrow"/>
          <w:sz w:val="20"/>
          <w:szCs w:val="20"/>
          <w:lang w:eastAsia="bg-BG" w:bidi="ar-SA"/>
        </w:rPr>
        <w:t xml:space="preserve"> as </w:t>
      </w:r>
      <w:r w:rsidR="006D71A0">
        <w:rPr>
          <w:rFonts w:ascii="Arial Narrow" w:hAnsi="Arial Narrow" w:cs="Arial Narrow"/>
          <w:sz w:val="20"/>
          <w:szCs w:val="20"/>
          <w:lang w:eastAsia="bg-BG" w:bidi="ar-SA"/>
        </w:rPr>
        <w:t xml:space="preserve">the total air flow when all units work simultaneously </w:t>
      </w:r>
      <w:r w:rsidR="004C4E6B">
        <w:rPr>
          <w:rFonts w:ascii="Arial Narrow" w:hAnsi="Arial Narrow" w:cs="Arial Narrow"/>
          <w:sz w:val="20"/>
          <w:szCs w:val="20"/>
          <w:lang w:eastAsia="bg-BG" w:bidi="ar-SA"/>
        </w:rPr>
        <w:t xml:space="preserve">is </w:t>
      </w:r>
      <w:r w:rsidR="006D71A0">
        <w:rPr>
          <w:rFonts w:ascii="Arial Narrow" w:hAnsi="Arial Narrow" w:cs="Arial Narrow"/>
          <w:sz w:val="20"/>
          <w:szCs w:val="20"/>
          <w:lang w:eastAsia="bg-BG" w:bidi="ar-SA"/>
        </w:rPr>
        <w:t>about 1100 Nm</w:t>
      </w:r>
      <w:r w:rsidR="006D71A0" w:rsidRPr="006D71A0">
        <w:rPr>
          <w:rFonts w:ascii="Arial Narrow" w:hAnsi="Arial Narrow" w:cs="Arial Narrow"/>
          <w:sz w:val="20"/>
          <w:szCs w:val="20"/>
          <w:vertAlign w:val="superscript"/>
          <w:lang w:eastAsia="bg-BG" w:bidi="ar-SA"/>
        </w:rPr>
        <w:t>3</w:t>
      </w:r>
      <w:r w:rsidR="006D71A0">
        <w:rPr>
          <w:rFonts w:ascii="Arial Narrow" w:hAnsi="Arial Narrow" w:cs="Arial Narrow"/>
          <w:sz w:val="20"/>
          <w:szCs w:val="20"/>
          <w:lang w:eastAsia="bg-BG" w:bidi="ar-SA"/>
        </w:rPr>
        <w:t xml:space="preserve">/ s. </w:t>
      </w:r>
    </w:p>
    <w:p w:rsidR="00642ACF" w:rsidRDefault="00FF3407" w:rsidP="003B1283">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TPP “Maritza East-2” was among the first Bulgarian</w:t>
      </w:r>
      <w:r w:rsidR="00B847E4">
        <w:rPr>
          <w:rFonts w:ascii="Arial Narrow" w:hAnsi="Arial Narrow" w:cs="Arial Narrow"/>
          <w:sz w:val="20"/>
          <w:szCs w:val="20"/>
          <w:lang w:eastAsia="bg-BG" w:bidi="ar-SA"/>
        </w:rPr>
        <w:t>s</w:t>
      </w:r>
      <w:r>
        <w:rPr>
          <w:rFonts w:ascii="Arial Narrow" w:hAnsi="Arial Narrow" w:cs="Arial Narrow"/>
          <w:sz w:val="20"/>
          <w:szCs w:val="20"/>
          <w:lang w:eastAsia="bg-BG" w:bidi="ar-SA"/>
        </w:rPr>
        <w:t xml:space="preserve"> TPP w</w:t>
      </w:r>
      <w:r w:rsidR="00B847E4">
        <w:rPr>
          <w:rFonts w:ascii="Arial Narrow" w:hAnsi="Arial Narrow" w:cs="Arial Narrow"/>
          <w:sz w:val="20"/>
          <w:szCs w:val="20"/>
          <w:lang w:eastAsia="bg-BG" w:bidi="ar-SA"/>
        </w:rPr>
        <w:t>h</w:t>
      </w:r>
      <w:r>
        <w:rPr>
          <w:rFonts w:ascii="Arial Narrow" w:hAnsi="Arial Narrow" w:cs="Arial Narrow"/>
          <w:sz w:val="20"/>
          <w:szCs w:val="20"/>
          <w:lang w:eastAsia="bg-BG" w:bidi="ar-SA"/>
        </w:rPr>
        <w:t xml:space="preserve">ere desulfurization units for flue gas treatment have installed and </w:t>
      </w:r>
      <w:r w:rsidR="00B847E4">
        <w:rPr>
          <w:rFonts w:ascii="Arial Narrow" w:hAnsi="Arial Narrow" w:cs="Arial Narrow"/>
          <w:sz w:val="20"/>
          <w:szCs w:val="20"/>
          <w:lang w:eastAsia="bg-BG" w:bidi="ar-SA"/>
        </w:rPr>
        <w:t>a lot of practical experience has been gained for these years</w:t>
      </w:r>
      <w:r w:rsidR="0079333B">
        <w:rPr>
          <w:rFonts w:ascii="Arial Narrow" w:hAnsi="Arial Narrow" w:cs="Arial Narrow"/>
          <w:sz w:val="20"/>
          <w:szCs w:val="20"/>
          <w:lang w:eastAsia="bg-BG" w:bidi="ar-SA"/>
        </w:rPr>
        <w:t xml:space="preserve"> of operation</w:t>
      </w:r>
      <w:r w:rsidR="00B847E4">
        <w:rPr>
          <w:rFonts w:ascii="Arial Narrow" w:hAnsi="Arial Narrow" w:cs="Arial Narrow"/>
          <w:sz w:val="20"/>
          <w:szCs w:val="20"/>
          <w:lang w:eastAsia="bg-BG" w:bidi="ar-SA"/>
        </w:rPr>
        <w:t xml:space="preserve">. It was noticed that </w:t>
      </w:r>
      <w:r w:rsidR="000F6DE7">
        <w:rPr>
          <w:rFonts w:ascii="Arial Narrow" w:hAnsi="Arial Narrow" w:cs="Arial Narrow"/>
          <w:sz w:val="20"/>
          <w:szCs w:val="20"/>
          <w:lang w:eastAsia="bg-BG" w:bidi="ar-SA"/>
        </w:rPr>
        <w:t xml:space="preserve">the </w:t>
      </w:r>
      <w:r w:rsidR="00B847E4">
        <w:rPr>
          <w:rFonts w:ascii="Arial Narrow" w:hAnsi="Arial Narrow" w:cs="Arial Narrow"/>
          <w:sz w:val="20"/>
          <w:szCs w:val="20"/>
          <w:lang w:eastAsia="bg-BG" w:bidi="ar-SA"/>
        </w:rPr>
        <w:t xml:space="preserve">quality of used materials was the </w:t>
      </w:r>
      <w:r w:rsidR="000F6DE7">
        <w:rPr>
          <w:rFonts w:ascii="Arial Narrow" w:hAnsi="Arial Narrow" w:cs="Arial Narrow"/>
          <w:sz w:val="20"/>
          <w:szCs w:val="20"/>
          <w:lang w:eastAsia="bg-BG" w:bidi="ar-SA"/>
        </w:rPr>
        <w:t xml:space="preserve">main </w:t>
      </w:r>
      <w:r w:rsidR="00B847E4">
        <w:rPr>
          <w:rFonts w:ascii="Arial Narrow" w:hAnsi="Arial Narrow" w:cs="Arial Narrow"/>
          <w:sz w:val="20"/>
          <w:szCs w:val="20"/>
          <w:lang w:eastAsia="bg-BG" w:bidi="ar-SA"/>
        </w:rPr>
        <w:t>reason</w:t>
      </w:r>
      <w:r w:rsidR="000F6DE7">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some problems </w:t>
      </w:r>
      <w:r w:rsidR="0061594F">
        <w:rPr>
          <w:rFonts w:ascii="Arial Narrow" w:hAnsi="Arial Narrow" w:cs="Arial Narrow"/>
          <w:sz w:val="20"/>
          <w:szCs w:val="20"/>
          <w:lang w:eastAsia="bg-BG" w:bidi="ar-SA"/>
        </w:rPr>
        <w:t xml:space="preserve">connected with </w:t>
      </w:r>
      <w:r w:rsidR="0079333B">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 xml:space="preserve">desulfurization of flue gases </w:t>
      </w:r>
      <w:r w:rsidR="00B847E4">
        <w:rPr>
          <w:rFonts w:ascii="Arial Narrow" w:hAnsi="Arial Narrow" w:cs="Arial Narrow"/>
          <w:sz w:val="20"/>
          <w:szCs w:val="20"/>
          <w:lang w:eastAsia="bg-BG" w:bidi="ar-SA"/>
        </w:rPr>
        <w:t>to arise</w:t>
      </w:r>
      <w:r w:rsidR="0079333B">
        <w:rPr>
          <w:rFonts w:ascii="Arial Narrow" w:hAnsi="Arial Narrow" w:cs="Arial Narrow"/>
          <w:sz w:val="20"/>
          <w:szCs w:val="20"/>
          <w:lang w:eastAsia="bg-BG" w:bidi="ar-SA"/>
        </w:rPr>
        <w:t xml:space="preserve"> (</w:t>
      </w:r>
      <w:proofErr w:type="spellStart"/>
      <w:r w:rsidR="0079333B">
        <w:rPr>
          <w:rFonts w:ascii="Arial Narrow" w:hAnsi="Arial Narrow" w:cs="Arial Narrow"/>
          <w:sz w:val="20"/>
          <w:szCs w:val="20"/>
          <w:lang w:eastAsia="bg-BG" w:bidi="ar-SA"/>
        </w:rPr>
        <w:t>Jecheva</w:t>
      </w:r>
      <w:proofErr w:type="spellEnd"/>
      <w:r w:rsidR="0079333B">
        <w:rPr>
          <w:rFonts w:ascii="Arial Narrow" w:hAnsi="Arial Narrow" w:cs="Arial Narrow"/>
          <w:sz w:val="20"/>
          <w:szCs w:val="20"/>
          <w:lang w:eastAsia="bg-BG" w:bidi="ar-SA"/>
        </w:rPr>
        <w:t xml:space="preserve"> et al., 2011). </w:t>
      </w:r>
      <w:r w:rsidR="0061594F">
        <w:rPr>
          <w:rFonts w:ascii="Arial Narrow" w:hAnsi="Arial Narrow" w:cs="Arial Narrow"/>
          <w:sz w:val="20"/>
          <w:szCs w:val="20"/>
          <w:lang w:eastAsia="bg-BG" w:bidi="ar-SA"/>
        </w:rPr>
        <w:t xml:space="preserve">As a result, non-treated flue gases enriched with sulfur dioxide </w:t>
      </w:r>
      <w:r w:rsidR="004165F1">
        <w:rPr>
          <w:rFonts w:ascii="Arial Narrow" w:hAnsi="Arial Narrow" w:cs="Arial Narrow"/>
          <w:sz w:val="20"/>
          <w:szCs w:val="20"/>
          <w:lang w:eastAsia="bg-BG" w:bidi="ar-SA"/>
        </w:rPr>
        <w:t>are</w:t>
      </w:r>
      <w:r w:rsidR="0061594F">
        <w:rPr>
          <w:rFonts w:ascii="Arial Narrow" w:hAnsi="Arial Narrow" w:cs="Arial Narrow"/>
          <w:sz w:val="20"/>
          <w:szCs w:val="20"/>
          <w:lang w:eastAsia="bg-BG" w:bidi="ar-SA"/>
        </w:rPr>
        <w:t xml:space="preserve"> </w:t>
      </w:r>
      <w:r w:rsidR="00D802C2">
        <w:rPr>
          <w:rFonts w:ascii="Arial Narrow" w:hAnsi="Arial Narrow" w:cs="Arial Narrow"/>
          <w:sz w:val="20"/>
          <w:szCs w:val="20"/>
          <w:lang w:eastAsia="bg-BG" w:bidi="ar-SA"/>
        </w:rPr>
        <w:t>release</w:t>
      </w:r>
      <w:r w:rsidR="0061594F">
        <w:rPr>
          <w:rFonts w:ascii="Arial Narrow" w:hAnsi="Arial Narrow" w:cs="Arial Narrow"/>
          <w:sz w:val="20"/>
          <w:szCs w:val="20"/>
          <w:lang w:eastAsia="bg-BG" w:bidi="ar-SA"/>
        </w:rPr>
        <w:t xml:space="preserve">d </w:t>
      </w:r>
      <w:r w:rsidR="00B847E4">
        <w:rPr>
          <w:rFonts w:ascii="Arial Narrow" w:hAnsi="Arial Narrow" w:cs="Arial Narrow"/>
          <w:sz w:val="20"/>
          <w:szCs w:val="20"/>
          <w:lang w:eastAsia="bg-BG" w:bidi="ar-SA"/>
        </w:rPr>
        <w:t xml:space="preserve">in </w:t>
      </w:r>
      <w:r w:rsidR="0031786A">
        <w:rPr>
          <w:rFonts w:ascii="Arial Narrow" w:hAnsi="Arial Narrow" w:cs="Arial Narrow"/>
          <w:sz w:val="20"/>
          <w:szCs w:val="20"/>
          <w:lang w:eastAsia="bg-BG" w:bidi="ar-SA"/>
        </w:rPr>
        <w:t xml:space="preserve">the </w:t>
      </w:r>
      <w:r w:rsidR="00D802C2">
        <w:rPr>
          <w:rFonts w:ascii="Arial Narrow" w:hAnsi="Arial Narrow" w:cs="Arial Narrow"/>
          <w:sz w:val="20"/>
          <w:szCs w:val="20"/>
          <w:lang w:eastAsia="bg-BG" w:bidi="ar-SA"/>
        </w:rPr>
        <w:t>atmosphere</w:t>
      </w:r>
      <w:r w:rsidR="004C4E6B">
        <w:rPr>
          <w:rFonts w:ascii="Arial Narrow" w:hAnsi="Arial Narrow" w:cs="Arial Narrow"/>
          <w:sz w:val="20"/>
          <w:szCs w:val="20"/>
          <w:lang w:eastAsia="bg-BG" w:bidi="ar-SA"/>
        </w:rPr>
        <w:t xml:space="preserve"> </w:t>
      </w:r>
      <w:r w:rsidR="003910C4">
        <w:rPr>
          <w:rFonts w:ascii="Arial Narrow" w:hAnsi="Arial Narrow" w:cs="Arial Narrow"/>
          <w:sz w:val="20"/>
          <w:szCs w:val="20"/>
          <w:lang w:eastAsia="bg-BG" w:bidi="ar-SA"/>
        </w:rPr>
        <w:t>accidentally</w:t>
      </w:r>
      <w:r w:rsidR="004C4E6B">
        <w:rPr>
          <w:rFonts w:ascii="Arial Narrow" w:hAnsi="Arial Narrow" w:cs="Arial Narrow"/>
          <w:sz w:val="20"/>
          <w:szCs w:val="20"/>
          <w:lang w:eastAsia="bg-BG" w:bidi="ar-SA"/>
        </w:rPr>
        <w:t xml:space="preserve"> (</w:t>
      </w:r>
      <w:proofErr w:type="spellStart"/>
      <w:r w:rsidR="004C4E6B">
        <w:rPr>
          <w:rFonts w:ascii="Arial Narrow" w:hAnsi="Arial Narrow" w:cs="Arial Narrow"/>
          <w:sz w:val="20"/>
          <w:szCs w:val="20"/>
          <w:lang w:eastAsia="bg-BG" w:bidi="ar-SA"/>
        </w:rPr>
        <w:t>Dnevnik</w:t>
      </w:r>
      <w:proofErr w:type="spellEnd"/>
      <w:r w:rsidR="004C4E6B">
        <w:rPr>
          <w:rFonts w:ascii="Arial Narrow" w:hAnsi="Arial Narrow" w:cs="Arial Narrow"/>
          <w:sz w:val="20"/>
          <w:szCs w:val="20"/>
          <w:lang w:eastAsia="bg-BG" w:bidi="ar-SA"/>
        </w:rPr>
        <w:t>, 2014)</w:t>
      </w:r>
      <w:r w:rsidR="0079333B">
        <w:rPr>
          <w:rFonts w:ascii="Arial Narrow" w:hAnsi="Arial Narrow" w:cs="Arial Narrow"/>
          <w:sz w:val="20"/>
          <w:szCs w:val="20"/>
          <w:lang w:eastAsia="bg-BG" w:bidi="ar-SA"/>
        </w:rPr>
        <w:t>.</w:t>
      </w:r>
    </w:p>
    <w:p w:rsidR="00642ACF" w:rsidRDefault="00642ACF" w:rsidP="003B1283">
      <w:pPr>
        <w:spacing w:before="120"/>
        <w:ind w:firstLine="170"/>
        <w:jc w:val="both"/>
        <w:rPr>
          <w:rFonts w:ascii="Arial Narrow" w:hAnsi="Arial Narrow" w:cs="Times New Roman"/>
          <w:sz w:val="20"/>
          <w:szCs w:val="20"/>
          <w:lang w:eastAsia="bg-BG" w:bidi="ar-SA"/>
        </w:rPr>
      </w:pPr>
      <w:r>
        <w:rPr>
          <w:rFonts w:ascii="Arial Narrow" w:hAnsi="Arial Narrow" w:cs="Arial Narrow"/>
          <w:sz w:val="20"/>
          <w:szCs w:val="20"/>
          <w:lang w:eastAsia="bg-BG" w:bidi="ar-SA"/>
        </w:rPr>
        <w:t>The main aim of the article is the SO</w:t>
      </w:r>
      <w:r w:rsidRPr="00D802C2">
        <w:rPr>
          <w:rFonts w:ascii="Arial Narrow" w:hAnsi="Arial Narrow" w:cs="Arial Narrow"/>
          <w:sz w:val="20"/>
          <w:szCs w:val="20"/>
          <w:vertAlign w:val="subscript"/>
          <w:lang w:eastAsia="bg-BG" w:bidi="ar-SA"/>
        </w:rPr>
        <w:t>2</w:t>
      </w:r>
      <w:r>
        <w:rPr>
          <w:rFonts w:ascii="Arial Narrow" w:hAnsi="Arial Narrow" w:cs="Arial Narrow"/>
          <w:sz w:val="20"/>
          <w:szCs w:val="20"/>
          <w:vertAlign w:val="subscript"/>
          <w:lang w:eastAsia="bg-BG" w:bidi="ar-SA"/>
        </w:rPr>
        <w:t xml:space="preserve"> </w:t>
      </w:r>
      <w:r>
        <w:rPr>
          <w:rFonts w:ascii="Arial Narrow" w:hAnsi="Arial Narrow" w:cs="Arial Narrow"/>
          <w:sz w:val="20"/>
          <w:szCs w:val="20"/>
          <w:lang w:eastAsia="bg-BG" w:bidi="ar-SA"/>
        </w:rPr>
        <w:t>modeling in the atmosphere</w:t>
      </w:r>
      <w:r w:rsidR="004165F1">
        <w:rPr>
          <w:rFonts w:ascii="Arial Narrow" w:hAnsi="Arial Narrow" w:cs="Arial Narrow"/>
          <w:sz w:val="20"/>
          <w:szCs w:val="20"/>
          <w:lang w:eastAsia="bg-BG" w:bidi="ar-SA"/>
        </w:rPr>
        <w:t xml:space="preserve"> when it is</w:t>
      </w:r>
      <w:r>
        <w:rPr>
          <w:rFonts w:ascii="Arial Narrow" w:hAnsi="Arial Narrow" w:cs="Arial Narrow"/>
          <w:sz w:val="20"/>
          <w:szCs w:val="20"/>
          <w:lang w:eastAsia="bg-BG" w:bidi="ar-SA"/>
        </w:rPr>
        <w:t xml:space="preserve"> released accidentally during the operation of TPP “</w:t>
      </w:r>
      <w:proofErr w:type="spellStart"/>
      <w:r>
        <w:rPr>
          <w:rFonts w:ascii="Arial Narrow" w:hAnsi="Arial Narrow" w:cs="Arial Narrow"/>
          <w:sz w:val="20"/>
          <w:szCs w:val="20"/>
          <w:lang w:eastAsia="bg-BG" w:bidi="ar-SA"/>
        </w:rPr>
        <w:t>Bobov</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dol</w:t>
      </w:r>
      <w:proofErr w:type="spellEnd"/>
      <w:r>
        <w:rPr>
          <w:rFonts w:ascii="Arial Narrow" w:hAnsi="Arial Narrow" w:cs="Arial Narrow"/>
          <w:sz w:val="20"/>
          <w:szCs w:val="20"/>
          <w:lang w:eastAsia="bg-BG" w:bidi="ar-SA"/>
        </w:rPr>
        <w:t>”</w:t>
      </w:r>
      <w:r w:rsidR="004165F1">
        <w:rPr>
          <w:rFonts w:ascii="Arial Narrow" w:hAnsi="Arial Narrow" w:cs="Arial Narrow"/>
          <w:sz w:val="20"/>
          <w:szCs w:val="20"/>
          <w:lang w:eastAsia="bg-BG" w:bidi="ar-SA"/>
        </w:rPr>
        <w:t xml:space="preserve"> and what would be the pollutant concentration in the below-lying atmosphere layer at the towns </w:t>
      </w:r>
      <w:proofErr w:type="spellStart"/>
      <w:r w:rsidR="004165F1">
        <w:rPr>
          <w:rFonts w:ascii="Arial Narrow" w:hAnsi="Arial Narrow" w:cs="Arial Narrow"/>
          <w:sz w:val="20"/>
          <w:szCs w:val="20"/>
          <w:lang w:eastAsia="bg-BG" w:bidi="ar-SA"/>
        </w:rPr>
        <w:t>Radomir</w:t>
      </w:r>
      <w:proofErr w:type="spellEnd"/>
      <w:r w:rsidR="004165F1">
        <w:rPr>
          <w:rFonts w:ascii="Arial Narrow" w:hAnsi="Arial Narrow" w:cs="Arial Narrow"/>
          <w:sz w:val="20"/>
          <w:szCs w:val="20"/>
          <w:lang w:eastAsia="bg-BG" w:bidi="ar-SA"/>
        </w:rPr>
        <w:t xml:space="preserve">, </w:t>
      </w:r>
      <w:proofErr w:type="spellStart"/>
      <w:r w:rsidR="004165F1">
        <w:rPr>
          <w:rFonts w:ascii="Arial Narrow" w:hAnsi="Arial Narrow" w:cs="Arial Narrow"/>
          <w:sz w:val="20"/>
          <w:szCs w:val="20"/>
          <w:lang w:eastAsia="bg-BG" w:bidi="ar-SA"/>
        </w:rPr>
        <w:t>Kyustendil</w:t>
      </w:r>
      <w:proofErr w:type="spellEnd"/>
      <w:r w:rsidR="004165F1">
        <w:rPr>
          <w:rFonts w:ascii="Arial Narrow" w:hAnsi="Arial Narrow" w:cs="Arial Narrow"/>
          <w:sz w:val="20"/>
          <w:szCs w:val="20"/>
          <w:lang w:eastAsia="bg-BG" w:bidi="ar-SA"/>
        </w:rPr>
        <w:t xml:space="preserve">, and </w:t>
      </w:r>
      <w:proofErr w:type="spellStart"/>
      <w:r w:rsidR="004165F1">
        <w:rPr>
          <w:rFonts w:ascii="Arial Narrow" w:hAnsi="Arial Narrow" w:cs="Arial Narrow"/>
          <w:sz w:val="20"/>
          <w:szCs w:val="20"/>
          <w:lang w:eastAsia="bg-BG" w:bidi="ar-SA"/>
        </w:rPr>
        <w:t>Dupnitza</w:t>
      </w:r>
      <w:proofErr w:type="spellEnd"/>
      <w:r w:rsidR="004165F1">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in dependence on the local climatic conditions</w:t>
      </w:r>
      <w:r w:rsidR="00466403">
        <w:rPr>
          <w:rFonts w:ascii="Arial Narrow" w:hAnsi="Arial Narrow" w:cs="Arial Narrow"/>
          <w:sz w:val="20"/>
          <w:szCs w:val="20"/>
          <w:lang w:eastAsia="bg-BG" w:bidi="ar-SA"/>
        </w:rPr>
        <w:t>.</w:t>
      </w:r>
      <w:r>
        <w:rPr>
          <w:rFonts w:ascii="Arial Narrow" w:hAnsi="Arial Narrow" w:cs="Arial Narrow"/>
          <w:sz w:val="20"/>
          <w:szCs w:val="20"/>
          <w:lang w:eastAsia="bg-BG" w:bidi="ar-SA"/>
        </w:rPr>
        <w:t xml:space="preserve"> </w:t>
      </w:r>
    </w:p>
    <w:p w:rsidR="00642ACF" w:rsidRDefault="00642ACF" w:rsidP="003B1283">
      <w:pPr>
        <w:widowControl/>
        <w:ind w:firstLine="170"/>
        <w:jc w:val="both"/>
        <w:rPr>
          <w:rFonts w:ascii="Arial Narrow" w:hAnsi="Arial Narrow" w:cs="Arial Narrow"/>
          <w:sz w:val="20"/>
          <w:szCs w:val="20"/>
          <w:lang w:eastAsia="bg-BG" w:bidi="ar-SA"/>
        </w:rPr>
      </w:pPr>
    </w:p>
    <w:p w:rsidR="00642ACF" w:rsidRDefault="00642ACF" w:rsidP="003B1283">
      <w:pPr>
        <w:widowControl/>
        <w:ind w:firstLine="170"/>
        <w:jc w:val="both"/>
        <w:rPr>
          <w:rFonts w:ascii="Arial Narrow" w:hAnsi="Arial Narrow" w:cs="Arial Narrow"/>
          <w:sz w:val="20"/>
          <w:szCs w:val="20"/>
          <w:lang w:eastAsia="bg-BG" w:bidi="ar-SA"/>
        </w:rPr>
      </w:pPr>
    </w:p>
    <w:p w:rsidR="00642ACF" w:rsidRDefault="00642ACF" w:rsidP="003B1283">
      <w:pPr>
        <w:rPr>
          <w:rFonts w:cs="Times New Roman"/>
          <w:lang w:eastAsia="bg-BG" w:bidi="ar-SA"/>
        </w:rPr>
      </w:pPr>
      <w:r>
        <w:rPr>
          <w:rFonts w:ascii="Arial Narrow" w:hAnsi="Arial Narrow" w:cs="Arial Narrow"/>
          <w:b/>
          <w:bCs/>
          <w:lang w:val="bg-BG" w:eastAsia="bg-BG" w:bidi="ar-SA"/>
        </w:rPr>
        <w:t>Materials and methods</w:t>
      </w:r>
    </w:p>
    <w:p w:rsidR="00642ACF" w:rsidRPr="00C20B81" w:rsidRDefault="00642ACF" w:rsidP="003B1283">
      <w:pPr>
        <w:rPr>
          <w:rFonts w:ascii="Arial Narrow" w:hAnsi="Arial Narrow" w:cs="Times New Roman"/>
          <w:sz w:val="20"/>
          <w:szCs w:val="20"/>
          <w:lang w:eastAsia="bg-BG" w:bidi="ar-SA"/>
        </w:rPr>
      </w:pPr>
    </w:p>
    <w:p w:rsidR="006470EE" w:rsidRDefault="00642ACF" w:rsidP="003B1283">
      <w:pPr>
        <w:ind w:firstLine="168"/>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data about the atmospheric pressure, the direction and </w:t>
      </w:r>
      <w:r w:rsidR="00D35161">
        <w:rPr>
          <w:rFonts w:ascii="Arial Narrow" w:hAnsi="Arial Narrow" w:cs="Arial Narrow"/>
          <w:sz w:val="20"/>
          <w:szCs w:val="20"/>
          <w:lang w:eastAsia="bg-BG" w:bidi="ar-SA"/>
        </w:rPr>
        <w:t xml:space="preserve">wind`s speed, temperature, and rate of precipitation in the area </w:t>
      </w:r>
      <w:r w:rsidR="00D35161">
        <w:rPr>
          <w:rFonts w:ascii="Arial Narrow" w:hAnsi="Arial Narrow" w:cs="Arial Narrow"/>
          <w:sz w:val="20"/>
          <w:szCs w:val="20"/>
          <w:lang w:eastAsia="bg-BG" w:bidi="ar-SA"/>
        </w:rPr>
        <w:lastRenderedPageBreak/>
        <w:t xml:space="preserve">of </w:t>
      </w:r>
      <w:proofErr w:type="spellStart"/>
      <w:r w:rsidR="00D35161">
        <w:rPr>
          <w:rFonts w:ascii="Arial Narrow" w:hAnsi="Arial Narrow" w:cs="Arial Narrow"/>
          <w:sz w:val="20"/>
          <w:szCs w:val="20"/>
          <w:lang w:eastAsia="bg-BG" w:bidi="ar-SA"/>
        </w:rPr>
        <w:t>Bobov</w:t>
      </w:r>
      <w:proofErr w:type="spellEnd"/>
      <w:r w:rsidR="00D35161">
        <w:rPr>
          <w:rFonts w:ascii="Arial Narrow" w:hAnsi="Arial Narrow" w:cs="Arial Narrow"/>
          <w:sz w:val="20"/>
          <w:szCs w:val="20"/>
          <w:lang w:eastAsia="bg-BG" w:bidi="ar-SA"/>
        </w:rPr>
        <w:t xml:space="preserve"> </w:t>
      </w:r>
      <w:proofErr w:type="spellStart"/>
      <w:r w:rsidR="00D35161">
        <w:rPr>
          <w:rFonts w:ascii="Arial Narrow" w:hAnsi="Arial Narrow" w:cs="Arial Narrow"/>
          <w:sz w:val="20"/>
          <w:szCs w:val="20"/>
          <w:lang w:eastAsia="bg-BG" w:bidi="ar-SA"/>
        </w:rPr>
        <w:t>Dol</w:t>
      </w:r>
      <w:proofErr w:type="spellEnd"/>
      <w:r w:rsidR="00D35161">
        <w:rPr>
          <w:rFonts w:ascii="Arial Narrow" w:hAnsi="Arial Narrow" w:cs="Arial Narrow"/>
          <w:sz w:val="20"/>
          <w:szCs w:val="20"/>
          <w:lang w:eastAsia="bg-BG" w:bidi="ar-SA"/>
        </w:rPr>
        <w:t xml:space="preserve">, </w:t>
      </w:r>
      <w:proofErr w:type="spellStart"/>
      <w:r w:rsidR="00D35161">
        <w:rPr>
          <w:rFonts w:ascii="Arial Narrow" w:hAnsi="Arial Narrow" w:cs="Arial Narrow"/>
          <w:sz w:val="20"/>
          <w:szCs w:val="20"/>
          <w:lang w:eastAsia="bg-BG" w:bidi="ar-SA"/>
        </w:rPr>
        <w:t>Radomir</w:t>
      </w:r>
      <w:proofErr w:type="spellEnd"/>
      <w:r w:rsidR="00D35161">
        <w:rPr>
          <w:rFonts w:ascii="Arial Narrow" w:hAnsi="Arial Narrow" w:cs="Arial Narrow"/>
          <w:sz w:val="20"/>
          <w:szCs w:val="20"/>
          <w:lang w:eastAsia="bg-BG" w:bidi="ar-SA"/>
        </w:rPr>
        <w:t xml:space="preserve">, </w:t>
      </w:r>
      <w:proofErr w:type="spellStart"/>
      <w:r w:rsidR="00D35161">
        <w:rPr>
          <w:rFonts w:ascii="Arial Narrow" w:hAnsi="Arial Narrow" w:cs="Arial Narrow"/>
          <w:sz w:val="20"/>
          <w:szCs w:val="20"/>
          <w:lang w:eastAsia="bg-BG" w:bidi="ar-SA"/>
        </w:rPr>
        <w:t>Kyustendil</w:t>
      </w:r>
      <w:proofErr w:type="spellEnd"/>
      <w:r w:rsidR="00D35161">
        <w:rPr>
          <w:rFonts w:ascii="Arial Narrow" w:hAnsi="Arial Narrow" w:cs="Arial Narrow"/>
          <w:sz w:val="20"/>
          <w:szCs w:val="20"/>
          <w:lang w:eastAsia="bg-BG" w:bidi="ar-SA"/>
        </w:rPr>
        <w:t xml:space="preserve"> and </w:t>
      </w:r>
      <w:proofErr w:type="spellStart"/>
      <w:r w:rsidR="00D35161">
        <w:rPr>
          <w:rFonts w:ascii="Arial Narrow" w:hAnsi="Arial Narrow" w:cs="Arial Narrow"/>
          <w:sz w:val="20"/>
          <w:szCs w:val="20"/>
          <w:lang w:eastAsia="bg-BG" w:bidi="ar-SA"/>
        </w:rPr>
        <w:t>Dupnitsa</w:t>
      </w:r>
      <w:proofErr w:type="spellEnd"/>
      <w:r w:rsidR="00D35161">
        <w:rPr>
          <w:rFonts w:ascii="Arial Narrow" w:hAnsi="Arial Narrow" w:cs="Arial Narrow"/>
          <w:sz w:val="20"/>
          <w:szCs w:val="20"/>
          <w:lang w:eastAsia="bg-BG" w:bidi="ar-SA"/>
        </w:rPr>
        <w:t xml:space="preserve"> was checked on hourly base from the bulletins of National Institute of </w:t>
      </w:r>
      <w:proofErr w:type="spellStart"/>
      <w:r w:rsidR="00D35161">
        <w:rPr>
          <w:rFonts w:ascii="Arial Narrow" w:hAnsi="Arial Narrow" w:cs="Arial Narrow"/>
          <w:sz w:val="20"/>
          <w:szCs w:val="20"/>
          <w:lang w:eastAsia="bg-BG" w:bidi="ar-SA"/>
        </w:rPr>
        <w:t>Metereology</w:t>
      </w:r>
      <w:proofErr w:type="spellEnd"/>
      <w:r w:rsidR="00D35161">
        <w:rPr>
          <w:rFonts w:ascii="Arial Narrow" w:hAnsi="Arial Narrow" w:cs="Arial Narrow"/>
          <w:sz w:val="20"/>
          <w:szCs w:val="20"/>
          <w:lang w:eastAsia="bg-BG" w:bidi="ar-SA"/>
        </w:rPr>
        <w:t xml:space="preserve"> and Hydrology at BAS within the period November 2014 – February 2015. These data was averaged for each month and the mean temperature, the prevailed wind direction and the wind speed for both halves of the day were determined.</w:t>
      </w:r>
    </w:p>
    <w:p w:rsidR="00D35161" w:rsidRDefault="00D35161" w:rsidP="003B1283">
      <w:pPr>
        <w:ind w:firstLine="168"/>
        <w:jc w:val="both"/>
        <w:rPr>
          <w:rFonts w:ascii="Arial Narrow" w:hAnsi="Arial Narrow" w:cs="Arial Narrow"/>
          <w:sz w:val="20"/>
          <w:szCs w:val="20"/>
          <w:lang w:eastAsia="bg-BG" w:bidi="ar-SA"/>
        </w:rPr>
      </w:pPr>
    </w:p>
    <w:p w:rsidR="00E10A9A" w:rsidRDefault="001F1AEF" w:rsidP="003B1283">
      <w:pPr>
        <w:widowControl/>
        <w:jc w:val="both"/>
        <w:rPr>
          <w:rFonts w:ascii="Arial Narrow" w:hAnsi="Arial Narrow" w:cs="Arial Narrow"/>
          <w:sz w:val="20"/>
          <w:szCs w:val="20"/>
          <w:lang w:eastAsia="bg-BG" w:bidi="ar-SA"/>
        </w:rPr>
      </w:pPr>
      <w:proofErr w:type="spellStart"/>
      <w:r>
        <w:rPr>
          <w:rFonts w:ascii="Arial Narrow" w:hAnsi="Arial Narrow" w:cs="Arial Narrow"/>
          <w:sz w:val="20"/>
          <w:szCs w:val="20"/>
          <w:lang w:val="bg-BG" w:eastAsia="bg-BG" w:bidi="ar-SA"/>
        </w:rPr>
        <w:t>Table</w:t>
      </w:r>
      <w:proofErr w:type="spellEnd"/>
      <w:r>
        <w:rPr>
          <w:rFonts w:ascii="Arial Narrow" w:hAnsi="Arial Narrow" w:cs="Arial Narrow"/>
          <w:sz w:val="20"/>
          <w:szCs w:val="20"/>
          <w:lang w:val="bg-BG" w:eastAsia="bg-BG" w:bidi="ar-SA"/>
        </w:rPr>
        <w:t xml:space="preserve"> 1.</w:t>
      </w:r>
    </w:p>
    <w:p w:rsidR="00215A55" w:rsidRPr="00215A55" w:rsidRDefault="00215A55" w:rsidP="003B1283">
      <w:pPr>
        <w:jc w:val="both"/>
        <w:rPr>
          <w:rFonts w:ascii="Arial Narrow" w:hAnsi="Arial Narrow" w:cs="Arial Narrow"/>
          <w:i/>
          <w:sz w:val="20"/>
          <w:szCs w:val="20"/>
          <w:lang w:eastAsia="bg-BG" w:bidi="ar-SA"/>
        </w:rPr>
      </w:pPr>
      <w:r w:rsidRPr="00215A55">
        <w:rPr>
          <w:rFonts w:ascii="Arial Narrow" w:hAnsi="Arial Narrow" w:cs="Arial Narrow"/>
          <w:i/>
          <w:sz w:val="20"/>
          <w:szCs w:val="20"/>
          <w:lang w:eastAsia="bg-BG" w:bidi="ar-SA"/>
        </w:rPr>
        <w:t>Main properties of the coals burnt at TPP “</w:t>
      </w:r>
      <w:proofErr w:type="spellStart"/>
      <w:r w:rsidRPr="00215A55">
        <w:rPr>
          <w:rFonts w:ascii="Arial Narrow" w:hAnsi="Arial Narrow" w:cs="Arial Narrow"/>
          <w:i/>
          <w:sz w:val="20"/>
          <w:szCs w:val="20"/>
          <w:lang w:eastAsia="bg-BG" w:bidi="ar-SA"/>
        </w:rPr>
        <w:t>Bobov</w:t>
      </w:r>
      <w:proofErr w:type="spellEnd"/>
      <w:r w:rsidRPr="00215A55">
        <w:rPr>
          <w:rFonts w:ascii="Arial Narrow" w:hAnsi="Arial Narrow" w:cs="Arial Narrow"/>
          <w:i/>
          <w:sz w:val="20"/>
          <w:szCs w:val="20"/>
          <w:lang w:eastAsia="bg-BG" w:bidi="ar-SA"/>
        </w:rPr>
        <w:t xml:space="preserve"> </w:t>
      </w:r>
      <w:proofErr w:type="spellStart"/>
      <w:r w:rsidRPr="00215A55">
        <w:rPr>
          <w:rFonts w:ascii="Arial Narrow" w:hAnsi="Arial Narrow" w:cs="Arial Narrow"/>
          <w:i/>
          <w:sz w:val="20"/>
          <w:szCs w:val="20"/>
          <w:lang w:eastAsia="bg-BG" w:bidi="ar-SA"/>
        </w:rPr>
        <w:t>dol</w:t>
      </w:r>
      <w:proofErr w:type="spellEnd"/>
      <w:r w:rsidRPr="00215A55">
        <w:rPr>
          <w:rFonts w:ascii="Arial Narrow" w:hAnsi="Arial Narrow" w:cs="Arial Narrow"/>
          <w:i/>
          <w:sz w:val="20"/>
          <w:szCs w:val="20"/>
          <w:lang w:eastAsia="bg-BG" w:bidi="ar-SA"/>
        </w:rPr>
        <w:t>”</w:t>
      </w:r>
    </w:p>
    <w:tbl>
      <w:tblPr>
        <w:tblStyle w:val="TableGrid"/>
        <w:tblW w:w="0" w:type="auto"/>
        <w:tblInd w:w="108" w:type="dxa"/>
        <w:tblLook w:val="04A0" w:firstRow="1" w:lastRow="0" w:firstColumn="1" w:lastColumn="0" w:noHBand="0" w:noVBand="1"/>
      </w:tblPr>
      <w:tblGrid>
        <w:gridCol w:w="1701"/>
        <w:gridCol w:w="1560"/>
        <w:gridCol w:w="1275"/>
      </w:tblGrid>
      <w:tr w:rsidR="008F6EAE" w:rsidTr="00FA32A8">
        <w:tc>
          <w:tcPr>
            <w:tcW w:w="1701" w:type="dxa"/>
          </w:tcPr>
          <w:p w:rsidR="008F6EAE" w:rsidRPr="008F6EAE" w:rsidRDefault="008F6EAE" w:rsidP="003B1283">
            <w:pPr>
              <w:jc w:val="both"/>
              <w:rPr>
                <w:rFonts w:ascii="Arial Narrow" w:hAnsi="Arial Narrow" w:cs="Arial Narrow"/>
                <w:iCs/>
                <w:sz w:val="20"/>
                <w:szCs w:val="20"/>
                <w:lang w:eastAsia="bg-BG" w:bidi="ar-SA"/>
              </w:rPr>
            </w:pPr>
            <w:r w:rsidRPr="008F6EAE">
              <w:rPr>
                <w:rFonts w:ascii="Arial Narrow" w:hAnsi="Arial Narrow" w:cs="Arial Narrow"/>
                <w:iCs/>
                <w:sz w:val="20"/>
                <w:szCs w:val="20"/>
                <w:lang w:eastAsia="bg-BG" w:bidi="ar-SA"/>
              </w:rPr>
              <w:t>Index</w:t>
            </w:r>
          </w:p>
        </w:tc>
        <w:tc>
          <w:tcPr>
            <w:tcW w:w="1560" w:type="dxa"/>
          </w:tcPr>
          <w:p w:rsidR="008F6EAE" w:rsidRPr="008F6EAE" w:rsidRDefault="008F6EAE" w:rsidP="003B1283">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Mine “</w:t>
            </w:r>
            <w:proofErr w:type="spellStart"/>
            <w:r>
              <w:rPr>
                <w:rFonts w:ascii="Arial Narrow" w:hAnsi="Arial Narrow" w:cs="Arial Narrow"/>
                <w:iCs/>
                <w:sz w:val="20"/>
                <w:szCs w:val="20"/>
                <w:lang w:eastAsia="bg-BG" w:bidi="ar-SA"/>
              </w:rPr>
              <w:t>Bobov</w:t>
            </w:r>
            <w:proofErr w:type="spellEnd"/>
            <w:r>
              <w:rPr>
                <w:rFonts w:ascii="Arial Narrow" w:hAnsi="Arial Narrow" w:cs="Arial Narrow"/>
                <w:iCs/>
                <w:sz w:val="20"/>
                <w:szCs w:val="20"/>
                <w:lang w:eastAsia="bg-BG" w:bidi="ar-SA"/>
              </w:rPr>
              <w:t xml:space="preserve"> </w:t>
            </w:r>
            <w:proofErr w:type="spellStart"/>
            <w:r>
              <w:rPr>
                <w:rFonts w:ascii="Arial Narrow" w:hAnsi="Arial Narrow" w:cs="Arial Narrow"/>
                <w:iCs/>
                <w:sz w:val="20"/>
                <w:szCs w:val="20"/>
                <w:lang w:eastAsia="bg-BG" w:bidi="ar-SA"/>
              </w:rPr>
              <w:t>dol</w:t>
            </w:r>
            <w:proofErr w:type="spellEnd"/>
            <w:r>
              <w:rPr>
                <w:rFonts w:ascii="Arial Narrow" w:hAnsi="Arial Narrow" w:cs="Arial Narrow"/>
                <w:iCs/>
                <w:sz w:val="20"/>
                <w:szCs w:val="20"/>
                <w:lang w:eastAsia="bg-BG" w:bidi="ar-SA"/>
              </w:rPr>
              <w:t>”</w:t>
            </w:r>
          </w:p>
        </w:tc>
        <w:tc>
          <w:tcPr>
            <w:tcW w:w="1275" w:type="dxa"/>
          </w:tcPr>
          <w:p w:rsidR="008F6EAE" w:rsidRPr="008F6EAE" w:rsidRDefault="008F6EAE" w:rsidP="003B1283">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Mine “</w:t>
            </w:r>
            <w:proofErr w:type="spellStart"/>
            <w:r>
              <w:rPr>
                <w:rFonts w:ascii="Arial Narrow" w:hAnsi="Arial Narrow" w:cs="Arial Narrow"/>
                <w:iCs/>
                <w:sz w:val="20"/>
                <w:szCs w:val="20"/>
                <w:lang w:eastAsia="bg-BG" w:bidi="ar-SA"/>
              </w:rPr>
              <w:t>Pernik</w:t>
            </w:r>
            <w:proofErr w:type="spellEnd"/>
            <w:r>
              <w:rPr>
                <w:rFonts w:ascii="Arial Narrow" w:hAnsi="Arial Narrow" w:cs="Arial Narrow"/>
                <w:iCs/>
                <w:sz w:val="20"/>
                <w:szCs w:val="20"/>
                <w:lang w:eastAsia="bg-BG" w:bidi="ar-SA"/>
              </w:rPr>
              <w:t>”</w:t>
            </w:r>
          </w:p>
        </w:tc>
      </w:tr>
      <w:tr w:rsidR="008F6EAE" w:rsidTr="00FA32A8">
        <w:tc>
          <w:tcPr>
            <w:tcW w:w="1701" w:type="dxa"/>
          </w:tcPr>
          <w:p w:rsidR="008F6EAE" w:rsidRPr="008F6EAE" w:rsidRDefault="008F6EAE" w:rsidP="003B1283">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Humidity, %</w:t>
            </w:r>
          </w:p>
        </w:tc>
        <w:tc>
          <w:tcPr>
            <w:tcW w:w="1560"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18.0</w:t>
            </w:r>
          </w:p>
        </w:tc>
        <w:tc>
          <w:tcPr>
            <w:tcW w:w="1275"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18.0</w:t>
            </w:r>
          </w:p>
        </w:tc>
      </w:tr>
      <w:tr w:rsidR="008F6EAE" w:rsidTr="00FA32A8">
        <w:tc>
          <w:tcPr>
            <w:tcW w:w="1701" w:type="dxa"/>
          </w:tcPr>
          <w:p w:rsidR="008F6EAE" w:rsidRPr="008F6EAE" w:rsidRDefault="008F6EAE" w:rsidP="003B1283">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Ash content, %</w:t>
            </w:r>
          </w:p>
        </w:tc>
        <w:tc>
          <w:tcPr>
            <w:tcW w:w="1560"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38.0</w:t>
            </w:r>
          </w:p>
        </w:tc>
        <w:tc>
          <w:tcPr>
            <w:tcW w:w="1275"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25.0</w:t>
            </w:r>
          </w:p>
        </w:tc>
      </w:tr>
      <w:tr w:rsidR="008F6EAE" w:rsidTr="00FA32A8">
        <w:tc>
          <w:tcPr>
            <w:tcW w:w="1701" w:type="dxa"/>
          </w:tcPr>
          <w:p w:rsidR="008F6EAE" w:rsidRPr="008F6EAE" w:rsidRDefault="008F6EAE" w:rsidP="003B1283">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Sulfur, %</w:t>
            </w:r>
          </w:p>
        </w:tc>
        <w:tc>
          <w:tcPr>
            <w:tcW w:w="1560"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1.6</w:t>
            </w:r>
          </w:p>
        </w:tc>
        <w:tc>
          <w:tcPr>
            <w:tcW w:w="1275"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1.5</w:t>
            </w:r>
          </w:p>
        </w:tc>
      </w:tr>
      <w:tr w:rsidR="008F6EAE" w:rsidTr="00FA32A8">
        <w:tc>
          <w:tcPr>
            <w:tcW w:w="1701" w:type="dxa"/>
          </w:tcPr>
          <w:p w:rsidR="008F6EAE" w:rsidRPr="00215A55" w:rsidRDefault="008F6EAE" w:rsidP="003B1283">
            <w:pPr>
              <w:jc w:val="both"/>
              <w:rPr>
                <w:rFonts w:ascii="Arial Narrow" w:hAnsi="Arial Narrow" w:cs="Arial Narrow"/>
                <w:iCs/>
                <w:sz w:val="20"/>
                <w:szCs w:val="20"/>
                <w:lang w:val="bg-BG" w:eastAsia="bg-BG" w:bidi="ar-SA"/>
              </w:rPr>
            </w:pPr>
            <w:r>
              <w:rPr>
                <w:rFonts w:ascii="Arial Narrow" w:hAnsi="Arial Narrow" w:cs="Arial Narrow"/>
                <w:iCs/>
                <w:sz w:val="20"/>
                <w:szCs w:val="20"/>
                <w:lang w:eastAsia="bg-BG" w:bidi="ar-SA"/>
              </w:rPr>
              <w:t xml:space="preserve">Heat value, </w:t>
            </w:r>
            <w:r w:rsidR="00215A55">
              <w:rPr>
                <w:rFonts w:ascii="Arial Narrow" w:hAnsi="Arial Narrow" w:cs="Arial Narrow"/>
                <w:iCs/>
                <w:sz w:val="20"/>
                <w:szCs w:val="20"/>
                <w:lang w:eastAsia="bg-BG" w:bidi="ar-SA"/>
              </w:rPr>
              <w:t>kJ/ g</w:t>
            </w:r>
          </w:p>
        </w:tc>
        <w:tc>
          <w:tcPr>
            <w:tcW w:w="1560"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11.7</w:t>
            </w:r>
          </w:p>
        </w:tc>
        <w:tc>
          <w:tcPr>
            <w:tcW w:w="1275"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18.0</w:t>
            </w:r>
          </w:p>
        </w:tc>
      </w:tr>
      <w:tr w:rsidR="008F6EAE" w:rsidTr="00FA32A8">
        <w:tc>
          <w:tcPr>
            <w:tcW w:w="1701" w:type="dxa"/>
          </w:tcPr>
          <w:p w:rsidR="008F6EAE" w:rsidRPr="00215A55" w:rsidRDefault="00215A55" w:rsidP="003B1283">
            <w:pPr>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Consumption, t/y</w:t>
            </w:r>
          </w:p>
        </w:tc>
        <w:tc>
          <w:tcPr>
            <w:tcW w:w="1560"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1 040 000</w:t>
            </w:r>
          </w:p>
        </w:tc>
        <w:tc>
          <w:tcPr>
            <w:tcW w:w="1275" w:type="dxa"/>
          </w:tcPr>
          <w:p w:rsidR="008F6EAE"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960 000</w:t>
            </w:r>
          </w:p>
        </w:tc>
      </w:tr>
      <w:tr w:rsidR="00215A55" w:rsidTr="00FA32A8">
        <w:tc>
          <w:tcPr>
            <w:tcW w:w="1701" w:type="dxa"/>
          </w:tcPr>
          <w:p w:rsidR="00215A55" w:rsidRPr="008F6EAE" w:rsidRDefault="00215A55" w:rsidP="003B1283">
            <w:pPr>
              <w:jc w:val="both"/>
              <w:rPr>
                <w:rFonts w:ascii="Arial Narrow" w:hAnsi="Arial Narrow" w:cs="Arial Narrow"/>
                <w:iCs/>
                <w:sz w:val="20"/>
                <w:szCs w:val="20"/>
                <w:lang w:eastAsia="bg-BG" w:bidi="ar-SA"/>
              </w:rPr>
            </w:pPr>
            <w:r w:rsidRPr="006E2803">
              <w:rPr>
                <w:rFonts w:ascii="Arial Narrow" w:hAnsi="Arial Narrow" w:cs="Arial Narrow"/>
                <w:iCs/>
                <w:sz w:val="18"/>
                <w:szCs w:val="18"/>
                <w:lang w:eastAsia="bg-BG" w:bidi="ar-SA"/>
              </w:rPr>
              <w:t>Total consumption, t/ y</w:t>
            </w:r>
          </w:p>
        </w:tc>
        <w:tc>
          <w:tcPr>
            <w:tcW w:w="2835" w:type="dxa"/>
            <w:gridSpan w:val="2"/>
          </w:tcPr>
          <w:p w:rsidR="00215A55" w:rsidRPr="008F6EAE" w:rsidRDefault="00215A55" w:rsidP="003B1283">
            <w:pPr>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2 000 000</w:t>
            </w:r>
          </w:p>
        </w:tc>
      </w:tr>
    </w:tbl>
    <w:p w:rsidR="008F6EAE" w:rsidRDefault="008F6EAE" w:rsidP="003B1283">
      <w:pPr>
        <w:ind w:firstLine="168"/>
        <w:jc w:val="both"/>
        <w:rPr>
          <w:rFonts w:ascii="Arial Narrow" w:hAnsi="Arial Narrow" w:cs="Arial Narrow"/>
          <w:i/>
          <w:iCs/>
          <w:sz w:val="20"/>
          <w:szCs w:val="20"/>
          <w:lang w:eastAsia="bg-BG" w:bidi="ar-SA"/>
        </w:rPr>
      </w:pPr>
    </w:p>
    <w:p w:rsidR="00E10A9A" w:rsidRDefault="001F1AEF" w:rsidP="003B1283">
      <w:pPr>
        <w:rPr>
          <w:rFonts w:ascii="Arial Narrow" w:hAnsi="Arial Narrow" w:cs="Arial Narrow"/>
          <w:i/>
          <w:iCs/>
          <w:sz w:val="20"/>
          <w:szCs w:val="20"/>
          <w:lang w:eastAsia="bg-BG" w:bidi="ar-SA"/>
        </w:rPr>
      </w:pPr>
      <w:r>
        <w:rPr>
          <w:rFonts w:ascii="Arial Narrow" w:hAnsi="Arial Narrow" w:cs="Arial Narrow"/>
          <w:sz w:val="20"/>
          <w:szCs w:val="20"/>
          <w:lang w:val="bg-BG" w:eastAsia="bg-BG" w:bidi="ar-SA"/>
        </w:rPr>
        <w:t xml:space="preserve">Table </w:t>
      </w:r>
      <w:r>
        <w:rPr>
          <w:rFonts w:ascii="Arial Narrow" w:hAnsi="Arial Narrow" w:cs="Arial Narrow"/>
          <w:sz w:val="20"/>
          <w:szCs w:val="20"/>
          <w:lang w:eastAsia="bg-BG" w:bidi="ar-SA"/>
        </w:rPr>
        <w:t>2</w:t>
      </w:r>
      <w:r>
        <w:rPr>
          <w:rFonts w:ascii="Arial Narrow" w:hAnsi="Arial Narrow" w:cs="Arial Narrow"/>
          <w:sz w:val="20"/>
          <w:szCs w:val="20"/>
          <w:lang w:val="bg-BG" w:eastAsia="bg-BG" w:bidi="ar-SA"/>
        </w:rPr>
        <w:t>.</w:t>
      </w:r>
    </w:p>
    <w:p w:rsidR="00E10A9A" w:rsidRDefault="000B7530" w:rsidP="003B1283">
      <w:pPr>
        <w:jc w:val="both"/>
        <w:rPr>
          <w:rFonts w:ascii="Arial Narrow" w:hAnsi="Arial Narrow" w:cs="Arial Narrow"/>
          <w:i/>
          <w:iCs/>
          <w:sz w:val="20"/>
          <w:szCs w:val="20"/>
          <w:lang w:eastAsia="bg-BG" w:bidi="ar-SA"/>
        </w:rPr>
      </w:pPr>
      <w:r>
        <w:rPr>
          <w:rFonts w:ascii="Arial Narrow" w:hAnsi="Arial Narrow" w:cs="Arial Narrow"/>
          <w:i/>
          <w:iCs/>
          <w:sz w:val="20"/>
          <w:szCs w:val="20"/>
          <w:lang w:eastAsia="bg-BG" w:bidi="ar-SA"/>
        </w:rPr>
        <w:t xml:space="preserve">Main properties of flue gases generated during the burning of coal at </w:t>
      </w:r>
      <w:r w:rsidRPr="00215A55">
        <w:rPr>
          <w:rFonts w:ascii="Arial Narrow" w:hAnsi="Arial Narrow" w:cs="Arial Narrow"/>
          <w:i/>
          <w:sz w:val="20"/>
          <w:szCs w:val="20"/>
          <w:lang w:eastAsia="bg-BG" w:bidi="ar-SA"/>
        </w:rPr>
        <w:t>TPP “</w:t>
      </w:r>
      <w:proofErr w:type="spellStart"/>
      <w:r w:rsidRPr="00215A55">
        <w:rPr>
          <w:rFonts w:ascii="Arial Narrow" w:hAnsi="Arial Narrow" w:cs="Arial Narrow"/>
          <w:i/>
          <w:sz w:val="20"/>
          <w:szCs w:val="20"/>
          <w:lang w:eastAsia="bg-BG" w:bidi="ar-SA"/>
        </w:rPr>
        <w:t>Bobov</w:t>
      </w:r>
      <w:proofErr w:type="spellEnd"/>
      <w:r w:rsidRPr="00215A55">
        <w:rPr>
          <w:rFonts w:ascii="Arial Narrow" w:hAnsi="Arial Narrow" w:cs="Arial Narrow"/>
          <w:i/>
          <w:sz w:val="20"/>
          <w:szCs w:val="20"/>
          <w:lang w:eastAsia="bg-BG" w:bidi="ar-SA"/>
        </w:rPr>
        <w:t xml:space="preserve"> </w:t>
      </w:r>
      <w:proofErr w:type="spellStart"/>
      <w:r w:rsidRPr="00215A55">
        <w:rPr>
          <w:rFonts w:ascii="Arial Narrow" w:hAnsi="Arial Narrow" w:cs="Arial Narrow"/>
          <w:i/>
          <w:sz w:val="20"/>
          <w:szCs w:val="20"/>
          <w:lang w:eastAsia="bg-BG" w:bidi="ar-SA"/>
        </w:rPr>
        <w:t>dol</w:t>
      </w:r>
      <w:proofErr w:type="spellEnd"/>
      <w:r w:rsidRPr="00215A55">
        <w:rPr>
          <w:rFonts w:ascii="Arial Narrow" w:hAnsi="Arial Narrow" w:cs="Arial Narrow"/>
          <w:i/>
          <w:sz w:val="20"/>
          <w:szCs w:val="20"/>
          <w:lang w:eastAsia="bg-BG" w:bidi="ar-SA"/>
        </w:rPr>
        <w:t>”</w:t>
      </w:r>
      <w:r>
        <w:rPr>
          <w:rFonts w:ascii="Arial Narrow" w:hAnsi="Arial Narrow" w:cs="Arial Narrow"/>
          <w:i/>
          <w:iCs/>
          <w:sz w:val="20"/>
          <w:szCs w:val="20"/>
          <w:lang w:eastAsia="bg-BG" w:bidi="ar-SA"/>
        </w:rPr>
        <w:t xml:space="preserve"> </w:t>
      </w:r>
    </w:p>
    <w:tbl>
      <w:tblPr>
        <w:tblStyle w:val="TableGrid"/>
        <w:tblW w:w="0" w:type="auto"/>
        <w:tblInd w:w="108" w:type="dxa"/>
        <w:tblLayout w:type="fixed"/>
        <w:tblLook w:val="04A0" w:firstRow="1" w:lastRow="0" w:firstColumn="1" w:lastColumn="0" w:noHBand="0" w:noVBand="1"/>
      </w:tblPr>
      <w:tblGrid>
        <w:gridCol w:w="3119"/>
        <w:gridCol w:w="708"/>
        <w:gridCol w:w="709"/>
      </w:tblGrid>
      <w:tr w:rsidR="000D4D47" w:rsidTr="00135AA1">
        <w:tc>
          <w:tcPr>
            <w:tcW w:w="3119" w:type="dxa"/>
            <w:vMerge w:val="restart"/>
          </w:tcPr>
          <w:p w:rsidR="000D4D47" w:rsidRDefault="000D4D47" w:rsidP="003B1283">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Index </w:t>
            </w:r>
          </w:p>
        </w:tc>
        <w:tc>
          <w:tcPr>
            <w:tcW w:w="1417" w:type="dxa"/>
            <w:gridSpan w:val="2"/>
          </w:tcPr>
          <w:p w:rsidR="000D4D47" w:rsidRDefault="000D4D4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Scenario</w:t>
            </w:r>
          </w:p>
        </w:tc>
      </w:tr>
      <w:tr w:rsidR="000D4D47" w:rsidTr="00135AA1">
        <w:tc>
          <w:tcPr>
            <w:tcW w:w="3119" w:type="dxa"/>
            <w:vMerge/>
          </w:tcPr>
          <w:p w:rsidR="000D4D47" w:rsidRDefault="000D4D47" w:rsidP="003B1283">
            <w:pPr>
              <w:jc w:val="both"/>
              <w:rPr>
                <w:rFonts w:ascii="Arial Narrow" w:hAnsi="Arial Narrow" w:cs="Times New Roman"/>
                <w:sz w:val="20"/>
                <w:szCs w:val="20"/>
                <w:lang w:eastAsia="bg-BG" w:bidi="ar-SA"/>
              </w:rPr>
            </w:pPr>
          </w:p>
        </w:tc>
        <w:tc>
          <w:tcPr>
            <w:tcW w:w="708" w:type="dxa"/>
          </w:tcPr>
          <w:p w:rsidR="000D4D47" w:rsidRDefault="000D4D4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w:t>
            </w:r>
          </w:p>
        </w:tc>
        <w:tc>
          <w:tcPr>
            <w:tcW w:w="709" w:type="dxa"/>
          </w:tcPr>
          <w:p w:rsidR="000D4D47" w:rsidRDefault="000D4D4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w:t>
            </w:r>
          </w:p>
        </w:tc>
      </w:tr>
      <w:tr w:rsidR="00B832CB" w:rsidTr="00135AA1">
        <w:tc>
          <w:tcPr>
            <w:tcW w:w="3119" w:type="dxa"/>
          </w:tcPr>
          <w:p w:rsidR="00B832CB" w:rsidRDefault="00B832CB" w:rsidP="003B1283">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Outlet flue gases temperature, </w:t>
            </w:r>
            <w:r>
              <w:rPr>
                <w:rFonts w:cs="Times New Roman"/>
                <w:sz w:val="20"/>
                <w:szCs w:val="20"/>
                <w:lang w:eastAsia="bg-BG" w:bidi="ar-SA"/>
              </w:rPr>
              <w:t>°</w:t>
            </w:r>
            <w:r>
              <w:rPr>
                <w:rFonts w:ascii="Arial Narrow" w:hAnsi="Arial Narrow" w:cs="Times New Roman"/>
                <w:sz w:val="20"/>
                <w:szCs w:val="20"/>
                <w:lang w:eastAsia="bg-BG" w:bidi="ar-SA"/>
              </w:rPr>
              <w:t>C</w:t>
            </w:r>
          </w:p>
        </w:tc>
        <w:tc>
          <w:tcPr>
            <w:tcW w:w="708"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59</w:t>
            </w:r>
          </w:p>
        </w:tc>
        <w:tc>
          <w:tcPr>
            <w:tcW w:w="709"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170</w:t>
            </w:r>
          </w:p>
        </w:tc>
      </w:tr>
      <w:tr w:rsidR="00B832CB" w:rsidTr="00135AA1">
        <w:tc>
          <w:tcPr>
            <w:tcW w:w="3119" w:type="dxa"/>
          </w:tcPr>
          <w:p w:rsidR="00B832CB" w:rsidRDefault="00B832CB" w:rsidP="003B1283">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Specific gravity of flue gases, g/cm</w:t>
            </w:r>
            <w:r w:rsidRPr="000D4D47">
              <w:rPr>
                <w:rFonts w:ascii="Arial Narrow" w:hAnsi="Arial Narrow" w:cs="Times New Roman"/>
                <w:sz w:val="20"/>
                <w:szCs w:val="20"/>
                <w:vertAlign w:val="superscript"/>
                <w:lang w:eastAsia="bg-BG" w:bidi="ar-SA"/>
              </w:rPr>
              <w:t>3</w:t>
            </w:r>
          </w:p>
        </w:tc>
        <w:tc>
          <w:tcPr>
            <w:tcW w:w="708"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1.013</w:t>
            </w:r>
          </w:p>
        </w:tc>
        <w:tc>
          <w:tcPr>
            <w:tcW w:w="709"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1.307</w:t>
            </w:r>
          </w:p>
        </w:tc>
      </w:tr>
      <w:tr w:rsidR="00B832CB" w:rsidTr="00135AA1">
        <w:tc>
          <w:tcPr>
            <w:tcW w:w="3119" w:type="dxa"/>
          </w:tcPr>
          <w:p w:rsidR="00B832CB" w:rsidRPr="000D4D47" w:rsidRDefault="00B832CB" w:rsidP="003B1283">
            <w:pPr>
              <w:jc w:val="both"/>
              <w:rPr>
                <w:rFonts w:ascii="Arial Narrow" w:hAnsi="Arial Narrow" w:cs="Times New Roman"/>
                <w:sz w:val="20"/>
                <w:szCs w:val="20"/>
                <w:lang w:eastAsia="bg-BG" w:bidi="ar-SA"/>
              </w:rPr>
            </w:pPr>
            <w:r w:rsidRPr="000D4D47">
              <w:rPr>
                <w:rFonts w:ascii="Arial Narrow" w:hAnsi="Arial Narrow" w:cs="Times New Roman"/>
                <w:sz w:val="20"/>
                <w:szCs w:val="20"/>
                <w:lang w:eastAsia="bg-BG" w:bidi="ar-SA"/>
              </w:rPr>
              <w:t xml:space="preserve">Outlet </w:t>
            </w:r>
            <w:r>
              <w:rPr>
                <w:rFonts w:ascii="Arial Narrow" w:hAnsi="Arial Narrow" w:cs="Times New Roman"/>
                <w:sz w:val="20"/>
                <w:szCs w:val="20"/>
                <w:lang w:eastAsia="bg-BG" w:bidi="ar-SA"/>
              </w:rPr>
              <w:t xml:space="preserve">flue </w:t>
            </w:r>
            <w:r w:rsidRPr="000D4D47">
              <w:rPr>
                <w:rFonts w:ascii="Arial Narrow" w:hAnsi="Arial Narrow" w:cs="Times New Roman"/>
                <w:sz w:val="20"/>
                <w:szCs w:val="20"/>
                <w:lang w:eastAsia="bg-BG" w:bidi="ar-SA"/>
              </w:rPr>
              <w:t xml:space="preserve">gas volume, </w:t>
            </w:r>
            <w:r w:rsidRPr="000D4D47">
              <w:rPr>
                <w:rFonts w:ascii="Arial Narrow" w:hAnsi="Arial Narrow"/>
                <w:sz w:val="20"/>
                <w:szCs w:val="20"/>
              </w:rPr>
              <w:t>m</w:t>
            </w:r>
            <w:r w:rsidRPr="000D4D47">
              <w:rPr>
                <w:rFonts w:ascii="Arial Narrow" w:hAnsi="Arial Narrow"/>
                <w:sz w:val="20"/>
                <w:szCs w:val="20"/>
                <w:vertAlign w:val="superscript"/>
              </w:rPr>
              <w:t>3</w:t>
            </w:r>
            <w:r w:rsidRPr="000D4D47">
              <w:rPr>
                <w:rFonts w:ascii="Arial Narrow" w:hAnsi="Arial Narrow"/>
                <w:sz w:val="20"/>
                <w:szCs w:val="20"/>
              </w:rPr>
              <w:t>/ s</w:t>
            </w:r>
          </w:p>
        </w:tc>
        <w:tc>
          <w:tcPr>
            <w:tcW w:w="708"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1140</w:t>
            </w:r>
          </w:p>
        </w:tc>
        <w:tc>
          <w:tcPr>
            <w:tcW w:w="709"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1383</w:t>
            </w:r>
          </w:p>
        </w:tc>
      </w:tr>
      <w:tr w:rsidR="00B832CB" w:rsidTr="00135AA1">
        <w:tc>
          <w:tcPr>
            <w:tcW w:w="3119" w:type="dxa"/>
          </w:tcPr>
          <w:p w:rsidR="00B832CB" w:rsidRDefault="00B832CB" w:rsidP="003B1283">
            <w:pPr>
              <w:jc w:val="both"/>
              <w:rPr>
                <w:rFonts w:ascii="Arial Narrow" w:hAnsi="Arial Narrow" w:cs="Times New Roman"/>
                <w:sz w:val="20"/>
                <w:szCs w:val="20"/>
                <w:lang w:eastAsia="bg-BG" w:bidi="ar-SA"/>
              </w:rPr>
            </w:pPr>
            <w:r w:rsidRPr="000D4D47">
              <w:rPr>
                <w:rFonts w:ascii="Arial Narrow" w:hAnsi="Arial Narrow" w:cs="Times New Roman"/>
                <w:sz w:val="20"/>
                <w:szCs w:val="20"/>
                <w:lang w:eastAsia="bg-BG" w:bidi="ar-SA"/>
              </w:rPr>
              <w:t xml:space="preserve">Outlet </w:t>
            </w:r>
            <w:r>
              <w:rPr>
                <w:rFonts w:ascii="Arial Narrow" w:hAnsi="Arial Narrow" w:cs="Times New Roman"/>
                <w:sz w:val="20"/>
                <w:szCs w:val="20"/>
                <w:lang w:eastAsia="bg-BG" w:bidi="ar-SA"/>
              </w:rPr>
              <w:t xml:space="preserve">flue </w:t>
            </w:r>
            <w:r w:rsidRPr="000D4D47">
              <w:rPr>
                <w:rFonts w:ascii="Arial Narrow" w:hAnsi="Arial Narrow" w:cs="Times New Roman"/>
                <w:sz w:val="20"/>
                <w:szCs w:val="20"/>
                <w:lang w:eastAsia="bg-BG" w:bidi="ar-SA"/>
              </w:rPr>
              <w:t xml:space="preserve">gas, </w:t>
            </w:r>
            <w:r>
              <w:rPr>
                <w:rFonts w:ascii="Arial Narrow" w:hAnsi="Arial Narrow"/>
                <w:sz w:val="20"/>
                <w:szCs w:val="20"/>
              </w:rPr>
              <w:t>kg</w:t>
            </w:r>
            <w:r w:rsidRPr="000D4D47">
              <w:rPr>
                <w:rFonts w:ascii="Arial Narrow" w:hAnsi="Arial Narrow"/>
                <w:sz w:val="20"/>
                <w:szCs w:val="20"/>
              </w:rPr>
              <w:t>/ s</w:t>
            </w:r>
          </w:p>
        </w:tc>
        <w:tc>
          <w:tcPr>
            <w:tcW w:w="708"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1125</w:t>
            </w:r>
          </w:p>
        </w:tc>
        <w:tc>
          <w:tcPr>
            <w:tcW w:w="709" w:type="dxa"/>
            <w:vAlign w:val="center"/>
          </w:tcPr>
          <w:p w:rsidR="00B832CB" w:rsidRDefault="00B832C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1166</w:t>
            </w:r>
          </w:p>
        </w:tc>
      </w:tr>
      <w:tr w:rsidR="00B832CB" w:rsidTr="00135AA1">
        <w:tc>
          <w:tcPr>
            <w:tcW w:w="3119" w:type="dxa"/>
          </w:tcPr>
          <w:p w:rsidR="00B832CB" w:rsidRPr="00D54AA5" w:rsidRDefault="00B832CB" w:rsidP="003B1283">
            <w:pPr>
              <w:tabs>
                <w:tab w:val="left" w:pos="4111"/>
              </w:tabs>
              <w:rPr>
                <w:rFonts w:ascii="Arial Narrow" w:hAnsi="Arial Narrow"/>
                <w:sz w:val="20"/>
                <w:szCs w:val="20"/>
                <w:lang w:val="bg-BG"/>
              </w:rPr>
            </w:pPr>
            <w:r w:rsidRPr="00D54AA5">
              <w:rPr>
                <w:rFonts w:ascii="Arial Narrow" w:hAnsi="Arial Narrow"/>
                <w:sz w:val="20"/>
                <w:szCs w:val="20"/>
              </w:rPr>
              <w:t>Emission of SO</w:t>
            </w:r>
            <w:r w:rsidRPr="00D54AA5">
              <w:rPr>
                <w:rFonts w:ascii="Arial Narrow" w:hAnsi="Arial Narrow"/>
                <w:sz w:val="20"/>
                <w:szCs w:val="20"/>
                <w:vertAlign w:val="subscript"/>
              </w:rPr>
              <w:t>2</w:t>
            </w:r>
            <w:r w:rsidRPr="00D54AA5">
              <w:rPr>
                <w:rFonts w:ascii="Arial Narrow" w:hAnsi="Arial Narrow"/>
                <w:sz w:val="20"/>
                <w:szCs w:val="20"/>
                <w:lang w:val="bg-BG"/>
              </w:rPr>
              <w:t xml:space="preserve">, </w:t>
            </w:r>
            <w:r w:rsidRPr="00D54AA5">
              <w:rPr>
                <w:rFonts w:ascii="Arial Narrow" w:hAnsi="Arial Narrow"/>
                <w:sz w:val="20"/>
                <w:szCs w:val="20"/>
              </w:rPr>
              <w:t>kg/s</w:t>
            </w:r>
          </w:p>
        </w:tc>
        <w:tc>
          <w:tcPr>
            <w:tcW w:w="708" w:type="dxa"/>
          </w:tcPr>
          <w:p w:rsidR="00B832CB" w:rsidRPr="00D54AA5" w:rsidRDefault="00B832CB" w:rsidP="003B1283">
            <w:pPr>
              <w:tabs>
                <w:tab w:val="left" w:pos="4111"/>
              </w:tabs>
              <w:jc w:val="center"/>
              <w:rPr>
                <w:rFonts w:ascii="Arial Narrow" w:hAnsi="Arial Narrow"/>
                <w:sz w:val="20"/>
                <w:szCs w:val="20"/>
              </w:rPr>
            </w:pPr>
            <w:r w:rsidRPr="00D54AA5">
              <w:rPr>
                <w:rFonts w:ascii="Arial Narrow" w:hAnsi="Arial Narrow"/>
                <w:sz w:val="20"/>
                <w:szCs w:val="20"/>
              </w:rPr>
              <w:t>0.13</w:t>
            </w:r>
          </w:p>
        </w:tc>
        <w:tc>
          <w:tcPr>
            <w:tcW w:w="709" w:type="dxa"/>
          </w:tcPr>
          <w:p w:rsidR="00B832CB" w:rsidRPr="00D54AA5" w:rsidRDefault="00B832CB" w:rsidP="003B1283">
            <w:pPr>
              <w:tabs>
                <w:tab w:val="left" w:pos="4111"/>
              </w:tabs>
              <w:jc w:val="center"/>
              <w:rPr>
                <w:rFonts w:ascii="Arial Narrow" w:hAnsi="Arial Narrow"/>
                <w:sz w:val="20"/>
                <w:szCs w:val="20"/>
              </w:rPr>
            </w:pPr>
            <w:r w:rsidRPr="00D54AA5">
              <w:rPr>
                <w:rFonts w:ascii="Arial Narrow" w:hAnsi="Arial Narrow"/>
                <w:sz w:val="20"/>
                <w:szCs w:val="20"/>
              </w:rPr>
              <w:t xml:space="preserve">2.75 </w:t>
            </w:r>
          </w:p>
        </w:tc>
      </w:tr>
      <w:tr w:rsidR="00B832CB" w:rsidTr="00135AA1">
        <w:tc>
          <w:tcPr>
            <w:tcW w:w="3119" w:type="dxa"/>
          </w:tcPr>
          <w:p w:rsidR="00B832CB" w:rsidRPr="00D54AA5" w:rsidRDefault="00B832CB" w:rsidP="003B1283">
            <w:pPr>
              <w:tabs>
                <w:tab w:val="left" w:pos="4111"/>
              </w:tabs>
              <w:rPr>
                <w:rFonts w:ascii="Arial Narrow" w:hAnsi="Arial Narrow"/>
                <w:sz w:val="20"/>
                <w:szCs w:val="20"/>
                <w:lang w:val="bg-BG"/>
              </w:rPr>
            </w:pPr>
            <w:r w:rsidRPr="00D54AA5">
              <w:rPr>
                <w:rFonts w:ascii="Arial Narrow" w:hAnsi="Arial Narrow"/>
                <w:sz w:val="20"/>
                <w:szCs w:val="20"/>
              </w:rPr>
              <w:t>Rate of SO</w:t>
            </w:r>
            <w:r w:rsidRPr="00D54AA5">
              <w:rPr>
                <w:rFonts w:ascii="Arial Narrow" w:hAnsi="Arial Narrow"/>
                <w:sz w:val="20"/>
                <w:szCs w:val="20"/>
                <w:vertAlign w:val="subscript"/>
              </w:rPr>
              <w:t>2</w:t>
            </w:r>
            <w:r w:rsidRPr="00D54AA5">
              <w:rPr>
                <w:rFonts w:ascii="Arial Narrow" w:hAnsi="Arial Narrow"/>
                <w:sz w:val="20"/>
                <w:szCs w:val="20"/>
              </w:rPr>
              <w:t xml:space="preserve"> emission </w:t>
            </w:r>
            <w:proofErr w:type="spellStart"/>
            <w:r w:rsidRPr="00D54AA5">
              <w:rPr>
                <w:rFonts w:ascii="Arial Narrow" w:hAnsi="Arial Narrow"/>
                <w:sz w:val="20"/>
                <w:szCs w:val="20"/>
              </w:rPr>
              <w:t>generation,</w:t>
            </w:r>
            <w:r w:rsidRPr="00135AA1">
              <w:rPr>
                <w:rFonts w:ascii="Arial Narrow" w:hAnsi="Arial Narrow"/>
                <w:sz w:val="18"/>
                <w:szCs w:val="18"/>
              </w:rPr>
              <w:t>g</w:t>
            </w:r>
            <w:proofErr w:type="spellEnd"/>
            <w:r w:rsidRPr="00135AA1">
              <w:rPr>
                <w:rFonts w:ascii="Arial Narrow" w:hAnsi="Arial Narrow"/>
                <w:sz w:val="18"/>
                <w:szCs w:val="18"/>
              </w:rPr>
              <w:t>/m</w:t>
            </w:r>
            <w:r w:rsidRPr="00135AA1">
              <w:rPr>
                <w:rFonts w:ascii="Arial Narrow" w:hAnsi="Arial Narrow"/>
                <w:sz w:val="18"/>
                <w:szCs w:val="18"/>
                <w:vertAlign w:val="superscript"/>
              </w:rPr>
              <w:t>3</w:t>
            </w:r>
            <w:r w:rsidRPr="00135AA1">
              <w:rPr>
                <w:rFonts w:ascii="Arial Narrow" w:hAnsi="Arial Narrow"/>
                <w:sz w:val="18"/>
                <w:szCs w:val="18"/>
                <w:vertAlign w:val="subscript"/>
              </w:rPr>
              <w:t>N</w:t>
            </w:r>
            <w:r w:rsidRPr="00135AA1">
              <w:rPr>
                <w:rFonts w:ascii="Arial Narrow" w:hAnsi="Arial Narrow"/>
                <w:sz w:val="18"/>
                <w:szCs w:val="18"/>
              </w:rPr>
              <w:t>s</w:t>
            </w:r>
            <w:r w:rsidRPr="00D54AA5">
              <w:rPr>
                <w:rFonts w:ascii="Arial Narrow" w:hAnsi="Arial Narrow"/>
                <w:sz w:val="20"/>
                <w:szCs w:val="20"/>
                <w:lang w:val="bg-BG"/>
              </w:rPr>
              <w:t xml:space="preserve"> </w:t>
            </w:r>
          </w:p>
        </w:tc>
        <w:tc>
          <w:tcPr>
            <w:tcW w:w="708" w:type="dxa"/>
          </w:tcPr>
          <w:p w:rsidR="00B832CB" w:rsidRPr="00D54AA5" w:rsidRDefault="00B832CB" w:rsidP="003B1283">
            <w:pPr>
              <w:tabs>
                <w:tab w:val="left" w:pos="4111"/>
              </w:tabs>
              <w:jc w:val="center"/>
              <w:rPr>
                <w:rFonts w:ascii="Arial Narrow" w:hAnsi="Arial Narrow"/>
                <w:sz w:val="20"/>
                <w:szCs w:val="20"/>
              </w:rPr>
            </w:pPr>
            <w:r w:rsidRPr="00D54AA5">
              <w:rPr>
                <w:rFonts w:ascii="Arial Narrow" w:hAnsi="Arial Narrow"/>
                <w:sz w:val="20"/>
                <w:szCs w:val="20"/>
              </w:rPr>
              <w:t>0.17</w:t>
            </w:r>
          </w:p>
        </w:tc>
        <w:tc>
          <w:tcPr>
            <w:tcW w:w="709" w:type="dxa"/>
          </w:tcPr>
          <w:p w:rsidR="00B832CB" w:rsidRPr="00D54AA5" w:rsidRDefault="00B832CB" w:rsidP="003B1283">
            <w:pPr>
              <w:tabs>
                <w:tab w:val="left" w:pos="4111"/>
              </w:tabs>
              <w:jc w:val="center"/>
              <w:rPr>
                <w:rFonts w:ascii="Arial Narrow" w:hAnsi="Arial Narrow"/>
                <w:sz w:val="20"/>
                <w:szCs w:val="20"/>
              </w:rPr>
            </w:pPr>
            <w:r w:rsidRPr="00D54AA5">
              <w:rPr>
                <w:rFonts w:ascii="Arial Narrow" w:hAnsi="Arial Narrow"/>
                <w:sz w:val="20"/>
                <w:szCs w:val="20"/>
              </w:rPr>
              <w:t>3.57</w:t>
            </w:r>
          </w:p>
        </w:tc>
      </w:tr>
    </w:tbl>
    <w:p w:rsidR="000D4D47" w:rsidRDefault="000D4D47" w:rsidP="003B1283">
      <w:pPr>
        <w:jc w:val="both"/>
        <w:rPr>
          <w:rFonts w:ascii="Arial Narrow" w:hAnsi="Arial Narrow" w:cs="Times New Roman"/>
          <w:sz w:val="20"/>
          <w:szCs w:val="20"/>
          <w:lang w:eastAsia="bg-BG" w:bidi="ar-SA"/>
        </w:rPr>
      </w:pPr>
    </w:p>
    <w:p w:rsidR="00E10A9A" w:rsidRDefault="006470EE" w:rsidP="003B1283">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SO</w:t>
      </w:r>
      <w:r w:rsidRPr="00F07BE1">
        <w:rPr>
          <w:rFonts w:ascii="Arial Narrow" w:hAnsi="Arial Narrow" w:cs="Arial Narrow"/>
          <w:sz w:val="20"/>
          <w:szCs w:val="20"/>
          <w:vertAlign w:val="subscript"/>
          <w:lang w:eastAsia="bg-BG" w:bidi="ar-SA"/>
        </w:rPr>
        <w:t>2</w:t>
      </w:r>
      <w:r>
        <w:rPr>
          <w:rFonts w:ascii="Arial Narrow" w:hAnsi="Arial Narrow" w:cs="Arial Narrow"/>
          <w:sz w:val="20"/>
          <w:szCs w:val="20"/>
          <w:lang w:eastAsia="bg-BG" w:bidi="ar-SA"/>
        </w:rPr>
        <w:t xml:space="preserve"> emission generated during the burning of coal in TPP “</w:t>
      </w:r>
      <w:proofErr w:type="spellStart"/>
      <w:r>
        <w:rPr>
          <w:rFonts w:ascii="Arial Narrow" w:hAnsi="Arial Narrow" w:cs="Arial Narrow"/>
          <w:sz w:val="20"/>
          <w:szCs w:val="20"/>
          <w:lang w:eastAsia="bg-BG" w:bidi="ar-SA"/>
        </w:rPr>
        <w:t>Bobov</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dol</w:t>
      </w:r>
      <w:proofErr w:type="spellEnd"/>
      <w:r>
        <w:rPr>
          <w:rFonts w:ascii="Arial Narrow" w:hAnsi="Arial Narrow" w:cs="Arial Narrow"/>
          <w:sz w:val="20"/>
          <w:szCs w:val="20"/>
          <w:lang w:eastAsia="bg-BG" w:bidi="ar-SA"/>
        </w:rPr>
        <w:t xml:space="preserve">” was calculated by means of </w:t>
      </w:r>
      <w:proofErr w:type="spellStart"/>
      <w:r>
        <w:rPr>
          <w:rFonts w:ascii="Arial Narrow" w:hAnsi="Arial Narrow" w:cs="Arial Narrow"/>
          <w:sz w:val="20"/>
          <w:szCs w:val="20"/>
          <w:lang w:eastAsia="bg-BG" w:bidi="ar-SA"/>
        </w:rPr>
        <w:t>CorinAir</w:t>
      </w:r>
      <w:proofErr w:type="spellEnd"/>
      <w:r>
        <w:rPr>
          <w:rFonts w:ascii="Arial Narrow" w:hAnsi="Arial Narrow" w:cs="Arial Narrow"/>
          <w:sz w:val="20"/>
          <w:szCs w:val="20"/>
          <w:lang w:eastAsia="bg-BG" w:bidi="ar-SA"/>
        </w:rPr>
        <w:t xml:space="preserve"> methodology (EAE, 2007). Two million tons of coals were</w:t>
      </w:r>
      <w:r w:rsidR="00BF0BFB">
        <w:rPr>
          <w:rFonts w:ascii="Arial Narrow" w:hAnsi="Arial Narrow" w:cs="Arial Narrow"/>
          <w:sz w:val="20"/>
          <w:szCs w:val="20"/>
          <w:lang w:eastAsia="bg-BG" w:bidi="ar-SA"/>
        </w:rPr>
        <w:t xml:space="preserve"> </w:t>
      </w:r>
      <w:r w:rsidR="00B832CB">
        <w:rPr>
          <w:rFonts w:ascii="Arial Narrow" w:hAnsi="Arial Narrow" w:cs="Arial Narrow"/>
          <w:sz w:val="20"/>
          <w:szCs w:val="20"/>
          <w:lang w:eastAsia="bg-BG" w:bidi="ar-SA"/>
        </w:rPr>
        <w:t xml:space="preserve">accepted as the total amount </w:t>
      </w:r>
      <w:r w:rsidR="00E266A3">
        <w:rPr>
          <w:rFonts w:ascii="Arial Narrow" w:hAnsi="Arial Narrow" w:cs="Arial Narrow"/>
          <w:sz w:val="20"/>
          <w:szCs w:val="20"/>
          <w:lang w:eastAsia="bg-BG" w:bidi="ar-SA"/>
        </w:rPr>
        <w:t xml:space="preserve">of coals </w:t>
      </w:r>
      <w:r w:rsidR="00B832CB">
        <w:rPr>
          <w:rFonts w:ascii="Arial Narrow" w:hAnsi="Arial Narrow" w:cs="Arial Narrow"/>
          <w:sz w:val="20"/>
          <w:szCs w:val="20"/>
          <w:lang w:eastAsia="bg-BG" w:bidi="ar-SA"/>
        </w:rPr>
        <w:t xml:space="preserve">burnt at the </w:t>
      </w:r>
      <w:r w:rsidR="00FB2916">
        <w:rPr>
          <w:rFonts w:ascii="Arial Narrow" w:hAnsi="Arial Narrow" w:cs="Arial Narrow"/>
          <w:sz w:val="20"/>
          <w:szCs w:val="20"/>
          <w:lang w:eastAsia="bg-BG" w:bidi="ar-SA"/>
        </w:rPr>
        <w:t xml:space="preserve">power </w:t>
      </w:r>
      <w:r w:rsidR="00B832CB">
        <w:rPr>
          <w:rFonts w:ascii="Arial Narrow" w:hAnsi="Arial Narrow" w:cs="Arial Narrow"/>
          <w:sz w:val="20"/>
          <w:szCs w:val="20"/>
          <w:lang w:eastAsia="bg-BG" w:bidi="ar-SA"/>
        </w:rPr>
        <w:t xml:space="preserve">plant per year, and to simplify the </w:t>
      </w:r>
      <w:r w:rsidR="00FF21B6">
        <w:rPr>
          <w:rFonts w:ascii="Arial Narrow" w:hAnsi="Arial Narrow" w:cs="Arial Narrow"/>
          <w:sz w:val="20"/>
          <w:szCs w:val="20"/>
          <w:lang w:eastAsia="bg-BG" w:bidi="ar-SA"/>
        </w:rPr>
        <w:t xml:space="preserve">calculation it was accepted that 52 % </w:t>
      </w:r>
      <w:r w:rsidR="00BF0BFB">
        <w:rPr>
          <w:rFonts w:ascii="Arial Narrow" w:hAnsi="Arial Narrow" w:cs="Arial Narrow"/>
          <w:sz w:val="20"/>
          <w:szCs w:val="20"/>
          <w:lang w:eastAsia="bg-BG" w:bidi="ar-SA"/>
        </w:rPr>
        <w:t xml:space="preserve">and 48 % </w:t>
      </w:r>
      <w:r w:rsidR="004E5E04">
        <w:rPr>
          <w:rFonts w:ascii="Arial Narrow" w:hAnsi="Arial Narrow" w:cs="Arial Narrow"/>
          <w:sz w:val="20"/>
          <w:szCs w:val="20"/>
          <w:lang w:eastAsia="bg-BG" w:bidi="ar-SA"/>
        </w:rPr>
        <w:t xml:space="preserve">of that amount </w:t>
      </w:r>
      <w:r w:rsidR="00FF21B6">
        <w:rPr>
          <w:rFonts w:ascii="Arial Narrow" w:hAnsi="Arial Narrow" w:cs="Arial Narrow"/>
          <w:sz w:val="20"/>
          <w:szCs w:val="20"/>
          <w:lang w:eastAsia="bg-BG" w:bidi="ar-SA"/>
        </w:rPr>
        <w:t xml:space="preserve">was mined at </w:t>
      </w:r>
      <w:proofErr w:type="spellStart"/>
      <w:r w:rsidR="00FF21B6">
        <w:rPr>
          <w:rFonts w:ascii="Arial Narrow" w:hAnsi="Arial Narrow" w:cs="Arial Narrow"/>
          <w:sz w:val="20"/>
          <w:szCs w:val="20"/>
          <w:lang w:eastAsia="bg-BG" w:bidi="ar-SA"/>
        </w:rPr>
        <w:t>Bobov</w:t>
      </w:r>
      <w:proofErr w:type="spellEnd"/>
      <w:r w:rsidR="00FF21B6">
        <w:rPr>
          <w:rFonts w:ascii="Arial Narrow" w:hAnsi="Arial Narrow" w:cs="Arial Narrow"/>
          <w:sz w:val="20"/>
          <w:szCs w:val="20"/>
          <w:lang w:eastAsia="bg-BG" w:bidi="ar-SA"/>
        </w:rPr>
        <w:t xml:space="preserve"> </w:t>
      </w:r>
      <w:proofErr w:type="spellStart"/>
      <w:r w:rsidR="00FF21B6">
        <w:rPr>
          <w:rFonts w:ascii="Arial Narrow" w:hAnsi="Arial Narrow" w:cs="Arial Narrow"/>
          <w:sz w:val="20"/>
          <w:szCs w:val="20"/>
          <w:lang w:eastAsia="bg-BG" w:bidi="ar-SA"/>
        </w:rPr>
        <w:t>dol</w:t>
      </w:r>
      <w:proofErr w:type="spellEnd"/>
      <w:r w:rsidR="00FF21B6">
        <w:rPr>
          <w:rFonts w:ascii="Arial Narrow" w:hAnsi="Arial Narrow" w:cs="Arial Narrow"/>
          <w:sz w:val="20"/>
          <w:szCs w:val="20"/>
          <w:lang w:eastAsia="bg-BG" w:bidi="ar-SA"/>
        </w:rPr>
        <w:t xml:space="preserve"> </w:t>
      </w:r>
      <w:r w:rsidR="00BF0BFB">
        <w:rPr>
          <w:rFonts w:ascii="Arial Narrow" w:hAnsi="Arial Narrow" w:cs="Arial Narrow"/>
          <w:sz w:val="20"/>
          <w:szCs w:val="20"/>
          <w:lang w:eastAsia="bg-BG" w:bidi="ar-SA"/>
        </w:rPr>
        <w:t>and</w:t>
      </w:r>
      <w:r w:rsidR="00FF21B6">
        <w:rPr>
          <w:rFonts w:ascii="Arial Narrow" w:hAnsi="Arial Narrow" w:cs="Arial Narrow"/>
          <w:sz w:val="20"/>
          <w:szCs w:val="20"/>
          <w:lang w:eastAsia="bg-BG" w:bidi="ar-SA"/>
        </w:rPr>
        <w:t xml:space="preserve"> Mine </w:t>
      </w:r>
      <w:proofErr w:type="spellStart"/>
      <w:r w:rsidR="00FF21B6">
        <w:rPr>
          <w:rFonts w:ascii="Arial Narrow" w:hAnsi="Arial Narrow" w:cs="Arial Narrow"/>
          <w:sz w:val="20"/>
          <w:szCs w:val="20"/>
          <w:lang w:eastAsia="bg-BG" w:bidi="ar-SA"/>
        </w:rPr>
        <w:t>Pernik</w:t>
      </w:r>
      <w:proofErr w:type="spellEnd"/>
      <w:r w:rsidR="004E5E04">
        <w:rPr>
          <w:rFonts w:ascii="Arial Narrow" w:hAnsi="Arial Narrow" w:cs="Arial Narrow"/>
          <w:sz w:val="20"/>
          <w:szCs w:val="20"/>
          <w:lang w:eastAsia="bg-BG" w:bidi="ar-SA"/>
        </w:rPr>
        <w:t>, respectively</w:t>
      </w:r>
      <w:r w:rsidR="00FF21B6">
        <w:rPr>
          <w:rFonts w:ascii="Arial Narrow" w:hAnsi="Arial Narrow" w:cs="Arial Narrow"/>
          <w:sz w:val="20"/>
          <w:szCs w:val="20"/>
          <w:lang w:eastAsia="bg-BG" w:bidi="ar-SA"/>
        </w:rPr>
        <w:t xml:space="preserve">. </w:t>
      </w:r>
      <w:r w:rsidR="0018366C">
        <w:rPr>
          <w:rFonts w:ascii="Arial Narrow" w:hAnsi="Arial Narrow" w:cs="Arial Narrow"/>
          <w:sz w:val="20"/>
          <w:szCs w:val="20"/>
          <w:lang w:eastAsia="bg-BG" w:bidi="ar-SA"/>
        </w:rPr>
        <w:t>The data about t</w:t>
      </w:r>
      <w:r w:rsidR="001A0CA6">
        <w:rPr>
          <w:rFonts w:ascii="Arial Narrow" w:hAnsi="Arial Narrow" w:cs="Arial Narrow"/>
          <w:sz w:val="20"/>
          <w:szCs w:val="20"/>
          <w:lang w:eastAsia="bg-BG" w:bidi="ar-SA"/>
        </w:rPr>
        <w:t xml:space="preserve">he utilized </w:t>
      </w:r>
      <w:r w:rsidR="0018366C">
        <w:rPr>
          <w:rFonts w:ascii="Arial Narrow" w:hAnsi="Arial Narrow" w:cs="Arial Narrow"/>
          <w:sz w:val="20"/>
          <w:szCs w:val="20"/>
          <w:lang w:eastAsia="bg-BG" w:bidi="ar-SA"/>
        </w:rPr>
        <w:t xml:space="preserve">coals are presented in Table </w:t>
      </w:r>
      <w:r w:rsidR="00E8554B">
        <w:rPr>
          <w:rFonts w:ascii="Arial Narrow" w:hAnsi="Arial Narrow" w:cs="Arial Narrow"/>
          <w:sz w:val="20"/>
          <w:szCs w:val="20"/>
          <w:lang w:eastAsia="bg-BG" w:bidi="ar-SA"/>
        </w:rPr>
        <w:t>4 and 5</w:t>
      </w:r>
      <w:r w:rsidR="0018366C">
        <w:rPr>
          <w:rFonts w:ascii="Arial Narrow" w:hAnsi="Arial Narrow" w:cs="Arial Narrow"/>
          <w:sz w:val="20"/>
          <w:szCs w:val="20"/>
          <w:lang w:eastAsia="bg-BG" w:bidi="ar-SA"/>
        </w:rPr>
        <w:t xml:space="preserve">. </w:t>
      </w:r>
    </w:p>
    <w:p w:rsidR="005D754F" w:rsidRDefault="00522BA1" w:rsidP="003B1283">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main properties of flue gases and the emission rate of </w:t>
      </w:r>
      <w:r w:rsidR="00FF3F93">
        <w:rPr>
          <w:rFonts w:ascii="Arial Narrow" w:hAnsi="Arial Narrow" w:cs="Arial Narrow"/>
          <w:sz w:val="20"/>
          <w:szCs w:val="20"/>
          <w:lang w:eastAsia="bg-BG" w:bidi="ar-SA"/>
        </w:rPr>
        <w:t>SO</w:t>
      </w:r>
      <w:r w:rsidR="00FF3F93" w:rsidRPr="005D754F">
        <w:rPr>
          <w:rFonts w:ascii="Arial Narrow" w:hAnsi="Arial Narrow" w:cs="Arial Narrow"/>
          <w:sz w:val="20"/>
          <w:szCs w:val="20"/>
          <w:vertAlign w:val="subscript"/>
          <w:lang w:eastAsia="bg-BG" w:bidi="ar-SA"/>
        </w:rPr>
        <w:t>2</w:t>
      </w:r>
      <w:r w:rsidR="00FF3F93">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are presented in Table 2, </w:t>
      </w:r>
      <w:r w:rsidR="00FF3F93">
        <w:rPr>
          <w:rFonts w:ascii="Arial Narrow" w:hAnsi="Arial Narrow" w:cs="Arial Narrow"/>
          <w:sz w:val="20"/>
          <w:szCs w:val="20"/>
          <w:lang w:eastAsia="bg-BG" w:bidi="ar-SA"/>
        </w:rPr>
        <w:t xml:space="preserve">where </w:t>
      </w:r>
      <w:r>
        <w:rPr>
          <w:rFonts w:ascii="Arial Narrow" w:hAnsi="Arial Narrow" w:cs="Arial Narrow"/>
          <w:sz w:val="20"/>
          <w:szCs w:val="20"/>
          <w:lang w:eastAsia="bg-BG" w:bidi="ar-SA"/>
        </w:rPr>
        <w:t xml:space="preserve">two scenarios were </w:t>
      </w:r>
      <w:r w:rsidR="00BA6D14">
        <w:rPr>
          <w:rFonts w:ascii="Arial Narrow" w:hAnsi="Arial Narrow" w:cs="Arial Narrow"/>
          <w:sz w:val="20"/>
          <w:szCs w:val="20"/>
          <w:lang w:eastAsia="bg-BG" w:bidi="ar-SA"/>
        </w:rPr>
        <w:t>evaluated</w:t>
      </w:r>
      <w:r>
        <w:rPr>
          <w:rFonts w:ascii="Arial Narrow" w:hAnsi="Arial Narrow" w:cs="Arial Narrow"/>
          <w:sz w:val="20"/>
          <w:szCs w:val="20"/>
          <w:lang w:eastAsia="bg-BG" w:bidi="ar-SA"/>
        </w:rPr>
        <w:t>. Scenario 1 considered the dominating situation whe</w:t>
      </w:r>
      <w:r w:rsidR="00E55000">
        <w:rPr>
          <w:rFonts w:ascii="Arial Narrow" w:hAnsi="Arial Narrow" w:cs="Arial Narrow"/>
          <w:sz w:val="20"/>
          <w:szCs w:val="20"/>
          <w:lang w:eastAsia="bg-BG" w:bidi="ar-SA"/>
        </w:rPr>
        <w:t xml:space="preserve">re </w:t>
      </w:r>
      <w:r w:rsidR="00BA6D14">
        <w:rPr>
          <w:rFonts w:ascii="Arial Narrow" w:hAnsi="Arial Narrow" w:cs="Arial Narrow"/>
          <w:sz w:val="20"/>
          <w:szCs w:val="20"/>
          <w:lang w:eastAsia="bg-BG" w:bidi="ar-SA"/>
        </w:rPr>
        <w:t xml:space="preserve">the </w:t>
      </w:r>
      <w:r w:rsidR="00FF3F93">
        <w:rPr>
          <w:rFonts w:ascii="Arial Narrow" w:hAnsi="Arial Narrow" w:cs="Arial Narrow"/>
          <w:sz w:val="20"/>
          <w:szCs w:val="20"/>
          <w:lang w:eastAsia="bg-BG" w:bidi="ar-SA"/>
        </w:rPr>
        <w:t xml:space="preserve">flue gas desulfurization </w:t>
      </w:r>
      <w:r w:rsidR="00E55000">
        <w:rPr>
          <w:rFonts w:ascii="Arial Narrow" w:hAnsi="Arial Narrow" w:cs="Arial Narrow"/>
          <w:sz w:val="20"/>
          <w:szCs w:val="20"/>
          <w:lang w:eastAsia="bg-BG" w:bidi="ar-SA"/>
        </w:rPr>
        <w:t>unit</w:t>
      </w:r>
      <w:r w:rsidR="00FF3F93">
        <w:rPr>
          <w:rFonts w:ascii="Arial Narrow" w:hAnsi="Arial Narrow" w:cs="Arial Narrow"/>
          <w:sz w:val="20"/>
          <w:szCs w:val="20"/>
          <w:lang w:eastAsia="bg-BG" w:bidi="ar-SA"/>
        </w:rPr>
        <w:t xml:space="preserve"> works properly</w:t>
      </w:r>
      <w:r w:rsidR="00E55000">
        <w:rPr>
          <w:rFonts w:ascii="Arial Narrow" w:hAnsi="Arial Narrow" w:cs="Arial Narrow"/>
          <w:sz w:val="20"/>
          <w:szCs w:val="20"/>
          <w:lang w:eastAsia="bg-BG" w:bidi="ar-SA"/>
        </w:rPr>
        <w:t xml:space="preserve"> and 95 percent of</w:t>
      </w:r>
      <w:r w:rsidR="00D70E92">
        <w:rPr>
          <w:rFonts w:ascii="Arial Narrow" w:hAnsi="Arial Narrow" w:cs="Arial Narrow"/>
          <w:sz w:val="20"/>
          <w:szCs w:val="20"/>
          <w:lang w:val="bg-BG" w:eastAsia="bg-BG" w:bidi="ar-SA"/>
        </w:rPr>
        <w:t xml:space="preserve"> </w:t>
      </w:r>
      <w:r w:rsidR="00D70E92">
        <w:rPr>
          <w:rFonts w:ascii="Arial Narrow" w:hAnsi="Arial Narrow" w:cs="Arial Narrow"/>
          <w:sz w:val="20"/>
          <w:szCs w:val="20"/>
          <w:lang w:eastAsia="bg-BG" w:bidi="ar-SA"/>
        </w:rPr>
        <w:t>the generated</w:t>
      </w:r>
      <w:r w:rsidR="00E55000">
        <w:rPr>
          <w:rFonts w:ascii="Arial Narrow" w:hAnsi="Arial Narrow" w:cs="Arial Narrow"/>
          <w:sz w:val="20"/>
          <w:szCs w:val="20"/>
          <w:lang w:eastAsia="bg-BG" w:bidi="ar-SA"/>
        </w:rPr>
        <w:t xml:space="preserve"> sulfur dioxide </w:t>
      </w:r>
      <w:r w:rsidR="008A4316">
        <w:rPr>
          <w:rFonts w:ascii="Arial Narrow" w:hAnsi="Arial Narrow" w:cs="Arial Narrow"/>
          <w:sz w:val="20"/>
          <w:szCs w:val="20"/>
          <w:lang w:eastAsia="bg-BG" w:bidi="ar-SA"/>
        </w:rPr>
        <w:t>is</w:t>
      </w:r>
      <w:r w:rsidR="00E55000">
        <w:rPr>
          <w:rFonts w:ascii="Arial Narrow" w:hAnsi="Arial Narrow" w:cs="Arial Narrow"/>
          <w:sz w:val="20"/>
          <w:szCs w:val="20"/>
          <w:lang w:eastAsia="bg-BG" w:bidi="ar-SA"/>
        </w:rPr>
        <w:t xml:space="preserve"> removed</w:t>
      </w:r>
      <w:r w:rsidR="00135AA1">
        <w:rPr>
          <w:rFonts w:ascii="Arial Narrow" w:hAnsi="Arial Narrow" w:cs="Arial Narrow"/>
          <w:sz w:val="20"/>
          <w:szCs w:val="20"/>
          <w:lang w:val="bg-BG" w:eastAsia="bg-BG" w:bidi="ar-SA"/>
        </w:rPr>
        <w:t xml:space="preserve"> </w:t>
      </w:r>
      <w:r w:rsidR="00135AA1">
        <w:rPr>
          <w:rFonts w:ascii="Arial Narrow" w:hAnsi="Arial Narrow" w:cs="Arial Narrow"/>
          <w:sz w:val="20"/>
          <w:szCs w:val="20"/>
          <w:lang w:eastAsia="bg-BG" w:bidi="ar-SA"/>
        </w:rPr>
        <w:t>efficiently</w:t>
      </w:r>
      <w:r w:rsidR="00BA6D14">
        <w:rPr>
          <w:rFonts w:ascii="Arial Narrow" w:hAnsi="Arial Narrow" w:cs="Arial Narrow"/>
          <w:sz w:val="20"/>
          <w:szCs w:val="20"/>
          <w:lang w:eastAsia="bg-BG" w:bidi="ar-SA"/>
        </w:rPr>
        <w:t xml:space="preserve">. </w:t>
      </w:r>
      <w:r w:rsidR="00E55000">
        <w:rPr>
          <w:rFonts w:ascii="Arial Narrow" w:hAnsi="Arial Narrow" w:cs="Arial Narrow"/>
          <w:sz w:val="20"/>
          <w:szCs w:val="20"/>
          <w:lang w:eastAsia="bg-BG" w:bidi="ar-SA"/>
        </w:rPr>
        <w:t>S</w:t>
      </w:r>
      <w:r w:rsidR="00FF3F93">
        <w:rPr>
          <w:rFonts w:ascii="Arial Narrow" w:hAnsi="Arial Narrow" w:cs="Arial Narrow"/>
          <w:sz w:val="20"/>
          <w:szCs w:val="20"/>
          <w:lang w:eastAsia="bg-BG" w:bidi="ar-SA"/>
        </w:rPr>
        <w:t xml:space="preserve">cenario 2 considered the accidental release </w:t>
      </w:r>
      <w:r w:rsidR="002D4AAF">
        <w:rPr>
          <w:rFonts w:ascii="Arial Narrow" w:hAnsi="Arial Narrow" w:cs="Arial Narrow"/>
          <w:sz w:val="20"/>
          <w:szCs w:val="20"/>
          <w:lang w:eastAsia="bg-BG" w:bidi="ar-SA"/>
        </w:rPr>
        <w:t xml:space="preserve">of non-treated flue gases </w:t>
      </w:r>
      <w:r w:rsidR="00D70E92">
        <w:rPr>
          <w:rFonts w:ascii="Arial Narrow" w:hAnsi="Arial Narrow" w:cs="Arial Narrow"/>
          <w:sz w:val="20"/>
          <w:szCs w:val="20"/>
          <w:lang w:eastAsia="bg-BG" w:bidi="ar-SA"/>
        </w:rPr>
        <w:t>in</w:t>
      </w:r>
      <w:r w:rsidR="00FF3F93">
        <w:rPr>
          <w:rFonts w:ascii="Arial Narrow" w:hAnsi="Arial Narrow" w:cs="Arial Narrow"/>
          <w:sz w:val="20"/>
          <w:szCs w:val="20"/>
          <w:lang w:eastAsia="bg-BG" w:bidi="ar-SA"/>
        </w:rPr>
        <w:t xml:space="preserve"> </w:t>
      </w:r>
      <w:r w:rsidR="002D4AAF">
        <w:rPr>
          <w:rFonts w:ascii="Arial Narrow" w:hAnsi="Arial Narrow" w:cs="Arial Narrow"/>
          <w:sz w:val="20"/>
          <w:szCs w:val="20"/>
          <w:lang w:eastAsia="bg-BG" w:bidi="ar-SA"/>
        </w:rPr>
        <w:t xml:space="preserve">the </w:t>
      </w:r>
      <w:r w:rsidR="00FF3F93">
        <w:rPr>
          <w:rFonts w:ascii="Arial Narrow" w:hAnsi="Arial Narrow" w:cs="Arial Narrow"/>
          <w:sz w:val="20"/>
          <w:szCs w:val="20"/>
          <w:lang w:eastAsia="bg-BG" w:bidi="ar-SA"/>
        </w:rPr>
        <w:t>atmosphere.</w:t>
      </w:r>
      <w:r w:rsidR="005D754F">
        <w:rPr>
          <w:rFonts w:ascii="Arial Narrow" w:hAnsi="Arial Narrow" w:cs="Arial Narrow"/>
          <w:sz w:val="20"/>
          <w:szCs w:val="20"/>
          <w:lang w:eastAsia="bg-BG" w:bidi="ar-SA"/>
        </w:rPr>
        <w:t xml:space="preserve"> </w:t>
      </w:r>
    </w:p>
    <w:p w:rsidR="00397B91" w:rsidRDefault="005D754F" w:rsidP="003B1283">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SO</w:t>
      </w:r>
      <w:r w:rsidRPr="005D754F">
        <w:rPr>
          <w:rFonts w:ascii="Arial Narrow" w:hAnsi="Arial Narrow" w:cs="Arial Narrow"/>
          <w:sz w:val="20"/>
          <w:szCs w:val="20"/>
          <w:vertAlign w:val="subscript"/>
          <w:lang w:eastAsia="bg-BG" w:bidi="ar-SA"/>
        </w:rPr>
        <w:t>2</w:t>
      </w:r>
      <w:r>
        <w:rPr>
          <w:rFonts w:ascii="Arial Narrow" w:hAnsi="Arial Narrow" w:cs="Arial Narrow"/>
          <w:sz w:val="20"/>
          <w:szCs w:val="20"/>
          <w:vertAlign w:val="subscript"/>
          <w:lang w:eastAsia="bg-BG" w:bidi="ar-SA"/>
        </w:rPr>
        <w:t xml:space="preserve"> </w:t>
      </w:r>
      <w:r>
        <w:rPr>
          <w:rFonts w:ascii="Arial Narrow" w:hAnsi="Arial Narrow" w:cs="Arial Narrow"/>
          <w:sz w:val="20"/>
          <w:szCs w:val="20"/>
          <w:lang w:eastAsia="bg-BG" w:bidi="ar-SA"/>
        </w:rPr>
        <w:t xml:space="preserve">modeling in the atmosphere was </w:t>
      </w:r>
      <w:r w:rsidR="00B71764">
        <w:rPr>
          <w:rFonts w:ascii="Arial Narrow" w:hAnsi="Arial Narrow" w:cs="Arial Narrow"/>
          <w:sz w:val="20"/>
          <w:szCs w:val="20"/>
          <w:lang w:eastAsia="bg-BG" w:bidi="ar-SA"/>
        </w:rPr>
        <w:t xml:space="preserve">carried out by means </w:t>
      </w:r>
      <w:r w:rsidR="00397B91" w:rsidRPr="00B71764">
        <w:rPr>
          <w:rFonts w:ascii="Arial Narrow" w:hAnsi="Arial Narrow"/>
          <w:sz w:val="20"/>
          <w:szCs w:val="20"/>
        </w:rPr>
        <w:t>METI-LIS Dispersion Model</w:t>
      </w:r>
      <w:r w:rsidR="00397B91">
        <w:rPr>
          <w:rFonts w:ascii="Arial Narrow" w:hAnsi="Arial Narrow"/>
          <w:sz w:val="20"/>
          <w:szCs w:val="20"/>
        </w:rPr>
        <w:t xml:space="preserve"> (</w:t>
      </w:r>
      <w:proofErr w:type="spellStart"/>
      <w:r w:rsidR="00397B91">
        <w:rPr>
          <w:rFonts w:ascii="Arial Narrow" w:hAnsi="Arial Narrow"/>
          <w:sz w:val="20"/>
          <w:szCs w:val="20"/>
        </w:rPr>
        <w:t>Kouchi</w:t>
      </w:r>
      <w:proofErr w:type="spellEnd"/>
      <w:r w:rsidR="00397B91">
        <w:rPr>
          <w:rFonts w:ascii="Arial Narrow" w:hAnsi="Arial Narrow"/>
          <w:sz w:val="20"/>
          <w:szCs w:val="20"/>
        </w:rPr>
        <w:t xml:space="preserve"> et al., 2004)</w:t>
      </w:r>
      <w:r w:rsidR="00397B91">
        <w:rPr>
          <w:rFonts w:ascii="Arial Narrow" w:hAnsi="Arial Narrow" w:cs="Arial Narrow"/>
          <w:sz w:val="20"/>
          <w:szCs w:val="20"/>
          <w:lang w:eastAsia="bg-BG" w:bidi="ar-SA"/>
        </w:rPr>
        <w:t>. It was based on the following hypothesis:</w:t>
      </w:r>
    </w:p>
    <w:p w:rsidR="00397B91" w:rsidRDefault="00397B91" w:rsidP="003B1283">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emission rate of sulfur dioxide to the atmosphere was constant;</w:t>
      </w:r>
    </w:p>
    <w:p w:rsidR="00397B91" w:rsidRDefault="00397B91" w:rsidP="003B1283">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w</w:t>
      </w:r>
      <w:r w:rsidRPr="005D754F">
        <w:rPr>
          <w:rFonts w:ascii="Arial Narrow" w:hAnsi="Arial Narrow" w:cs="Arial Narrow"/>
          <w:sz w:val="20"/>
          <w:szCs w:val="20"/>
          <w:lang w:eastAsia="bg-BG" w:bidi="ar-SA"/>
        </w:rPr>
        <w:t xml:space="preserve">ind direction and wind speed </w:t>
      </w:r>
      <w:r>
        <w:rPr>
          <w:rFonts w:ascii="Arial Narrow" w:hAnsi="Arial Narrow" w:cs="Arial Narrow"/>
          <w:sz w:val="20"/>
          <w:szCs w:val="20"/>
          <w:lang w:eastAsia="bg-BG" w:bidi="ar-SA"/>
        </w:rPr>
        <w:t>were</w:t>
      </w:r>
      <w:r w:rsidRPr="005D754F">
        <w:rPr>
          <w:rFonts w:ascii="Arial Narrow" w:hAnsi="Arial Narrow" w:cs="Arial Narrow"/>
          <w:sz w:val="20"/>
          <w:szCs w:val="20"/>
          <w:lang w:eastAsia="bg-BG" w:bidi="ar-SA"/>
        </w:rPr>
        <w:t xml:space="preserve"> constant at the relevant climatic conditions;</w:t>
      </w:r>
    </w:p>
    <w:p w:rsidR="00397B91" w:rsidRDefault="00397B91" w:rsidP="003B1283">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pollutant dispersion was carried out in horizontal direction mainly;</w:t>
      </w:r>
    </w:p>
    <w:p w:rsidR="00397B91" w:rsidRDefault="00397B91" w:rsidP="003B1283">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SO</w:t>
      </w:r>
      <w:r w:rsidRPr="00031254">
        <w:rPr>
          <w:rFonts w:ascii="Arial Narrow" w:hAnsi="Arial Narrow" w:cs="Arial Narrow"/>
          <w:sz w:val="20"/>
          <w:szCs w:val="20"/>
          <w:vertAlign w:val="subscript"/>
          <w:lang w:eastAsia="bg-BG" w:bidi="ar-SA"/>
        </w:rPr>
        <w:t>2</w:t>
      </w:r>
      <w:r>
        <w:rPr>
          <w:rFonts w:ascii="Arial Narrow" w:hAnsi="Arial Narrow" w:cs="Arial Narrow"/>
          <w:sz w:val="20"/>
          <w:szCs w:val="20"/>
          <w:lang w:eastAsia="bg-BG" w:bidi="ar-SA"/>
        </w:rPr>
        <w:t xml:space="preserve"> didn`t undergo any transformation in atmosphere at a distance up to 30 km in relation to the point source of pollution;</w:t>
      </w:r>
    </w:p>
    <w:p w:rsidR="00397B91" w:rsidRPr="005D754F" w:rsidRDefault="00397B91" w:rsidP="003B1283">
      <w:pPr>
        <w:numPr>
          <w:ilvl w:val="0"/>
          <w:numId w:val="4"/>
        </w:numPr>
        <w:ind w:left="284"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Wind speed was </w:t>
      </w:r>
      <w:r>
        <w:rPr>
          <w:rFonts w:cs="Times New Roman"/>
          <w:sz w:val="20"/>
          <w:szCs w:val="20"/>
          <w:lang w:eastAsia="bg-BG" w:bidi="ar-SA"/>
        </w:rPr>
        <w:t>≥</w:t>
      </w:r>
      <w:r>
        <w:rPr>
          <w:rFonts w:ascii="Arial Narrow" w:hAnsi="Arial Narrow" w:cs="Arial Narrow"/>
          <w:sz w:val="20"/>
          <w:szCs w:val="20"/>
          <w:lang w:eastAsia="bg-BG" w:bidi="ar-SA"/>
        </w:rPr>
        <w:t xml:space="preserve"> 0.9 m/s.</w:t>
      </w:r>
    </w:p>
    <w:p w:rsidR="00D35161" w:rsidRDefault="00D35161" w:rsidP="003B1283">
      <w:pPr>
        <w:jc w:val="both"/>
        <w:rPr>
          <w:rFonts w:ascii="Arial Narrow" w:hAnsi="Arial Narrow" w:cs="Arial Narrow"/>
          <w:sz w:val="20"/>
          <w:szCs w:val="20"/>
          <w:lang w:eastAsia="bg-BG" w:bidi="ar-SA"/>
        </w:rPr>
        <w:sectPr w:rsidR="00D35161" w:rsidSect="003B1283">
          <w:type w:val="continuous"/>
          <w:pgSz w:w="11906" w:h="16838" w:code="9"/>
          <w:pgMar w:top="1021" w:right="1134" w:bottom="1247" w:left="1134" w:header="720" w:footer="794" w:gutter="0"/>
          <w:cols w:num="2" w:space="454"/>
          <w:docGrid w:linePitch="240"/>
        </w:sectPr>
      </w:pPr>
    </w:p>
    <w:p w:rsidR="00D35161" w:rsidRDefault="00D35161" w:rsidP="003B1283">
      <w:pPr>
        <w:jc w:val="both"/>
        <w:rPr>
          <w:rFonts w:ascii="Arial Narrow" w:hAnsi="Arial Narrow" w:cs="Arial Narrow"/>
          <w:sz w:val="20"/>
          <w:szCs w:val="20"/>
          <w:lang w:eastAsia="bg-BG" w:bidi="ar-SA"/>
        </w:rPr>
      </w:pPr>
    </w:p>
    <w:p w:rsidR="00D35161" w:rsidRDefault="00D35161" w:rsidP="003B1283">
      <w:pPr>
        <w:jc w:val="both"/>
        <w:rPr>
          <w:rFonts w:ascii="Arial Narrow" w:hAnsi="Arial Narrow" w:cs="Arial Narrow"/>
          <w:sz w:val="20"/>
          <w:szCs w:val="20"/>
          <w:lang w:eastAsia="bg-BG" w:bidi="ar-SA"/>
        </w:rPr>
      </w:pPr>
    </w:p>
    <w:p w:rsidR="00D35161" w:rsidRDefault="00D35161" w:rsidP="003B1283">
      <w:pPr>
        <w:jc w:val="both"/>
        <w:rPr>
          <w:rFonts w:ascii="Arial Narrow" w:hAnsi="Arial Narrow" w:cs="Arial Narrow"/>
          <w:sz w:val="20"/>
          <w:szCs w:val="20"/>
          <w:lang w:eastAsia="bg-BG" w:bidi="ar-SA"/>
        </w:rPr>
      </w:pPr>
    </w:p>
    <w:p w:rsidR="00D35161" w:rsidRDefault="00D35161" w:rsidP="003B1283">
      <w:pPr>
        <w:jc w:val="both"/>
        <w:rPr>
          <w:rFonts w:ascii="Arial Narrow" w:hAnsi="Arial Narrow" w:cs="Arial Narrow"/>
          <w:sz w:val="20"/>
          <w:szCs w:val="20"/>
          <w:lang w:eastAsia="bg-BG" w:bidi="ar-SA"/>
        </w:rPr>
      </w:pPr>
    </w:p>
    <w:p w:rsidR="002C5CDF" w:rsidRDefault="005C7D70" w:rsidP="003B1283">
      <w:pPr>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lastRenderedPageBreak/>
        <w:t>Table 3.</w:t>
      </w:r>
      <w:proofErr w:type="gramEnd"/>
    </w:p>
    <w:p w:rsidR="005C7D70" w:rsidRPr="005C7D70" w:rsidRDefault="005C7D70" w:rsidP="003B1283">
      <w:pPr>
        <w:jc w:val="both"/>
        <w:rPr>
          <w:rFonts w:ascii="Arial Narrow" w:hAnsi="Arial Narrow" w:cs="Arial Narrow"/>
          <w:i/>
          <w:sz w:val="20"/>
          <w:szCs w:val="20"/>
          <w:lang w:eastAsia="bg-BG" w:bidi="ar-SA"/>
        </w:rPr>
      </w:pPr>
      <w:r w:rsidRPr="005C7D70">
        <w:rPr>
          <w:rFonts w:ascii="Arial Narrow" w:hAnsi="Arial Narrow" w:cs="Arial Narrow"/>
          <w:i/>
          <w:sz w:val="20"/>
          <w:szCs w:val="20"/>
          <w:lang w:eastAsia="bg-BG" w:bidi="ar-SA"/>
        </w:rPr>
        <w:t xml:space="preserve">Atmospheric stability categories according </w:t>
      </w:r>
      <w:proofErr w:type="spellStart"/>
      <w:r w:rsidRPr="005C7D70">
        <w:rPr>
          <w:rFonts w:ascii="Arial Narrow" w:hAnsi="Arial Narrow" w:cs="Arial Narrow"/>
          <w:i/>
          <w:sz w:val="20"/>
          <w:szCs w:val="20"/>
          <w:lang w:eastAsia="bg-BG" w:bidi="ar-SA"/>
        </w:rPr>
        <w:t>Pasquill</w:t>
      </w:r>
      <w:proofErr w:type="spellEnd"/>
    </w:p>
    <w:tbl>
      <w:tblPr>
        <w:tblStyle w:val="TableGrid"/>
        <w:tblW w:w="0" w:type="auto"/>
        <w:tblInd w:w="108" w:type="dxa"/>
        <w:tblLayout w:type="fixed"/>
        <w:tblLook w:val="04A0" w:firstRow="1" w:lastRow="0" w:firstColumn="1" w:lastColumn="0" w:noHBand="0" w:noVBand="1"/>
      </w:tblPr>
      <w:tblGrid>
        <w:gridCol w:w="851"/>
        <w:gridCol w:w="673"/>
        <w:gridCol w:w="673"/>
        <w:gridCol w:w="673"/>
        <w:gridCol w:w="674"/>
        <w:gridCol w:w="992"/>
      </w:tblGrid>
      <w:tr w:rsidR="002C5CDF" w:rsidTr="002C5CDF">
        <w:trPr>
          <w:trHeight w:val="334"/>
        </w:trPr>
        <w:tc>
          <w:tcPr>
            <w:tcW w:w="851" w:type="dxa"/>
            <w:vMerge w:val="restart"/>
          </w:tcPr>
          <w:p w:rsidR="002C5CDF" w:rsidRPr="002C5CDF" w:rsidRDefault="002C5CDF"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Wind speed at ground levels, m/s</w:t>
            </w:r>
          </w:p>
        </w:tc>
        <w:tc>
          <w:tcPr>
            <w:tcW w:w="2693" w:type="dxa"/>
            <w:gridSpan w:val="4"/>
          </w:tcPr>
          <w:p w:rsidR="002C5CDF" w:rsidRPr="002C5CDF" w:rsidRDefault="002C5CDF"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Daytime</w:t>
            </w:r>
          </w:p>
        </w:tc>
        <w:tc>
          <w:tcPr>
            <w:tcW w:w="992" w:type="dxa"/>
            <w:vMerge w:val="restart"/>
          </w:tcPr>
          <w:p w:rsidR="002C5CDF" w:rsidRPr="002C5CDF" w:rsidRDefault="002C5CDF"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Nighttime </w:t>
            </w:r>
          </w:p>
        </w:tc>
      </w:tr>
      <w:tr w:rsidR="002C5CDF" w:rsidTr="002C5CDF">
        <w:tc>
          <w:tcPr>
            <w:tcW w:w="851" w:type="dxa"/>
            <w:vMerge/>
          </w:tcPr>
          <w:p w:rsidR="002C5CDF" w:rsidRDefault="002C5CDF" w:rsidP="003B1283">
            <w:pPr>
              <w:jc w:val="both"/>
              <w:rPr>
                <w:rFonts w:ascii="Arial Narrow" w:hAnsi="Arial Narrow" w:cs="Arial Narrow"/>
                <w:sz w:val="20"/>
                <w:szCs w:val="20"/>
                <w:lang w:eastAsia="bg-BG" w:bidi="ar-SA"/>
              </w:rPr>
            </w:pPr>
          </w:p>
        </w:tc>
        <w:tc>
          <w:tcPr>
            <w:tcW w:w="2693" w:type="dxa"/>
            <w:gridSpan w:val="4"/>
          </w:tcPr>
          <w:p w:rsidR="002C5CDF" w:rsidRPr="002C5CDF" w:rsidRDefault="002C5CDF"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Solar radiation Q (x 0.01 kW/ m</w:t>
            </w:r>
            <w:r w:rsidRPr="002C5CDF">
              <w:rPr>
                <w:rFonts w:ascii="Arial Narrow" w:hAnsi="Arial Narrow" w:cs="Arial Narrow"/>
                <w:sz w:val="20"/>
                <w:szCs w:val="20"/>
                <w:vertAlign w:val="superscript"/>
                <w:lang w:eastAsia="bg-BG" w:bidi="ar-SA"/>
              </w:rPr>
              <w:t>2</w:t>
            </w:r>
            <w:r>
              <w:rPr>
                <w:rFonts w:ascii="Arial Narrow" w:hAnsi="Arial Narrow" w:cs="Arial Narrow"/>
                <w:sz w:val="20"/>
                <w:szCs w:val="20"/>
                <w:lang w:eastAsia="bg-BG" w:bidi="ar-SA"/>
              </w:rPr>
              <w:t>)</w:t>
            </w:r>
          </w:p>
        </w:tc>
        <w:tc>
          <w:tcPr>
            <w:tcW w:w="992" w:type="dxa"/>
            <w:vMerge/>
          </w:tcPr>
          <w:p w:rsidR="002C5CDF" w:rsidRDefault="002C5CDF" w:rsidP="003B1283">
            <w:pPr>
              <w:jc w:val="center"/>
              <w:rPr>
                <w:rFonts w:ascii="Arial Narrow" w:hAnsi="Arial Narrow" w:cs="Arial Narrow"/>
                <w:sz w:val="20"/>
                <w:szCs w:val="20"/>
                <w:lang w:val="bg-BG" w:eastAsia="bg-BG" w:bidi="ar-SA"/>
              </w:rPr>
            </w:pPr>
          </w:p>
        </w:tc>
      </w:tr>
      <w:tr w:rsidR="002C5CDF" w:rsidTr="002C5CDF">
        <w:tc>
          <w:tcPr>
            <w:tcW w:w="851" w:type="dxa"/>
            <w:vMerge/>
          </w:tcPr>
          <w:p w:rsidR="002C5CDF" w:rsidRDefault="002C5CDF" w:rsidP="003B1283">
            <w:pPr>
              <w:jc w:val="both"/>
              <w:rPr>
                <w:rFonts w:ascii="Arial Narrow" w:hAnsi="Arial Narrow" w:cs="Arial Narrow"/>
                <w:sz w:val="20"/>
                <w:szCs w:val="20"/>
                <w:lang w:eastAsia="bg-BG" w:bidi="ar-SA"/>
              </w:rPr>
            </w:pPr>
          </w:p>
        </w:tc>
        <w:tc>
          <w:tcPr>
            <w:tcW w:w="673" w:type="dxa"/>
          </w:tcPr>
          <w:p w:rsidR="002C5CDF" w:rsidRPr="002C5CDF" w:rsidRDefault="002C5CDF"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60&lt;</w:t>
            </w:r>
          </w:p>
        </w:tc>
        <w:tc>
          <w:tcPr>
            <w:tcW w:w="673" w:type="dxa"/>
          </w:tcPr>
          <w:p w:rsidR="002C5CDF" w:rsidRPr="002C5CDF" w:rsidRDefault="002C5CDF"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30-59</w:t>
            </w:r>
          </w:p>
        </w:tc>
        <w:tc>
          <w:tcPr>
            <w:tcW w:w="673" w:type="dxa"/>
          </w:tcPr>
          <w:p w:rsidR="002C5CDF" w:rsidRPr="002C5CDF" w:rsidRDefault="002C5CDF"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15-29</w:t>
            </w:r>
          </w:p>
        </w:tc>
        <w:tc>
          <w:tcPr>
            <w:tcW w:w="674" w:type="dxa"/>
          </w:tcPr>
          <w:p w:rsidR="002C5CDF" w:rsidRPr="002C5CDF" w:rsidRDefault="002C5CDF"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1-14</w:t>
            </w:r>
          </w:p>
        </w:tc>
        <w:tc>
          <w:tcPr>
            <w:tcW w:w="992" w:type="dxa"/>
            <w:vMerge/>
          </w:tcPr>
          <w:p w:rsidR="002C5CDF" w:rsidRDefault="002C5CDF" w:rsidP="003B1283">
            <w:pPr>
              <w:jc w:val="center"/>
              <w:rPr>
                <w:rFonts w:ascii="Arial Narrow" w:hAnsi="Arial Narrow" w:cs="Arial Narrow"/>
                <w:sz w:val="20"/>
                <w:szCs w:val="20"/>
                <w:lang w:val="bg-BG" w:eastAsia="bg-BG" w:bidi="ar-SA"/>
              </w:rPr>
            </w:pPr>
          </w:p>
        </w:tc>
      </w:tr>
      <w:tr w:rsidR="002C5CDF" w:rsidTr="002C5CDF">
        <w:tc>
          <w:tcPr>
            <w:tcW w:w="851" w:type="dxa"/>
          </w:tcPr>
          <w:p w:rsidR="002C5CDF" w:rsidRPr="002C5CDF" w:rsidRDefault="002C5CDF"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&lt; 2.0</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A</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A-B</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w:t>
            </w:r>
          </w:p>
        </w:tc>
        <w:tc>
          <w:tcPr>
            <w:tcW w:w="674"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F</w:t>
            </w:r>
          </w:p>
        </w:tc>
      </w:tr>
      <w:tr w:rsidR="002C5CDF" w:rsidTr="002C5CDF">
        <w:tc>
          <w:tcPr>
            <w:tcW w:w="851" w:type="dxa"/>
          </w:tcPr>
          <w:p w:rsidR="002C5CDF" w:rsidRPr="002C5CDF" w:rsidRDefault="002C5CDF"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2-2.9</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A-B</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4"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E</w:t>
            </w:r>
          </w:p>
        </w:tc>
      </w:tr>
      <w:tr w:rsidR="002C5CDF" w:rsidTr="002C5CDF">
        <w:tc>
          <w:tcPr>
            <w:tcW w:w="851" w:type="dxa"/>
          </w:tcPr>
          <w:p w:rsidR="002C5CDF" w:rsidRPr="002C5CDF" w:rsidRDefault="002C5CDF"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3-3.9</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B-C</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4"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r>
      <w:tr w:rsidR="002C5CDF" w:rsidTr="002C5CDF">
        <w:tc>
          <w:tcPr>
            <w:tcW w:w="851" w:type="dxa"/>
          </w:tcPr>
          <w:p w:rsidR="002C5CDF" w:rsidRPr="002C5CDF" w:rsidRDefault="002C5CDF"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4-5.9</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C-D</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674"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r>
      <w:tr w:rsidR="002C5CDF" w:rsidTr="002C5CDF">
        <w:tc>
          <w:tcPr>
            <w:tcW w:w="851" w:type="dxa"/>
          </w:tcPr>
          <w:p w:rsidR="002C5CDF" w:rsidRPr="002C5CDF" w:rsidRDefault="002C5CDF"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&gt; 6.0</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C</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673"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674"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c>
          <w:tcPr>
            <w:tcW w:w="992" w:type="dxa"/>
          </w:tcPr>
          <w:p w:rsidR="002C5CDF" w:rsidRPr="005C7D70" w:rsidRDefault="005C7D70"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w:t>
            </w:r>
          </w:p>
        </w:tc>
      </w:tr>
    </w:tbl>
    <w:p w:rsidR="002C5CDF" w:rsidRDefault="002C5CDF" w:rsidP="003B1283">
      <w:pPr>
        <w:ind w:firstLine="168"/>
        <w:jc w:val="both"/>
        <w:rPr>
          <w:rFonts w:ascii="Arial Narrow" w:hAnsi="Arial Narrow" w:cs="Arial Narrow"/>
          <w:sz w:val="20"/>
          <w:szCs w:val="20"/>
          <w:lang w:eastAsia="bg-BG" w:bidi="ar-SA"/>
        </w:rPr>
      </w:pPr>
    </w:p>
    <w:p w:rsidR="00F00070" w:rsidRDefault="00F00070" w:rsidP="003B1283">
      <w:pPr>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 xml:space="preserve">Table </w:t>
      </w:r>
      <w:r w:rsidR="00075E89">
        <w:rPr>
          <w:rFonts w:ascii="Arial Narrow" w:hAnsi="Arial Narrow" w:cs="Arial Narrow"/>
          <w:sz w:val="20"/>
          <w:szCs w:val="20"/>
          <w:lang w:eastAsia="bg-BG" w:bidi="ar-SA"/>
        </w:rPr>
        <w:t>4</w:t>
      </w:r>
      <w:r>
        <w:rPr>
          <w:rFonts w:ascii="Arial Narrow" w:hAnsi="Arial Narrow" w:cs="Arial Narrow"/>
          <w:sz w:val="20"/>
          <w:szCs w:val="20"/>
          <w:lang w:eastAsia="bg-BG" w:bidi="ar-SA"/>
        </w:rPr>
        <w:t>.</w:t>
      </w:r>
      <w:proofErr w:type="gramEnd"/>
    </w:p>
    <w:p w:rsidR="00F00070" w:rsidRPr="005C7D70" w:rsidRDefault="00F00070" w:rsidP="003B1283">
      <w:pPr>
        <w:jc w:val="both"/>
        <w:rPr>
          <w:rFonts w:ascii="Arial Narrow" w:hAnsi="Arial Narrow" w:cs="Arial Narrow"/>
          <w:i/>
          <w:sz w:val="20"/>
          <w:szCs w:val="20"/>
          <w:lang w:eastAsia="bg-BG" w:bidi="ar-SA"/>
        </w:rPr>
      </w:pPr>
      <w:r w:rsidRPr="005C7D70">
        <w:rPr>
          <w:rFonts w:ascii="Arial Narrow" w:hAnsi="Arial Narrow" w:cs="Arial Narrow"/>
          <w:i/>
          <w:sz w:val="20"/>
          <w:szCs w:val="20"/>
          <w:lang w:eastAsia="bg-BG" w:bidi="ar-SA"/>
        </w:rPr>
        <w:t xml:space="preserve">Atmospheric </w:t>
      </w:r>
      <w:r w:rsidR="009F431C">
        <w:rPr>
          <w:rFonts w:ascii="Arial Narrow" w:hAnsi="Arial Narrow" w:cs="Arial Narrow"/>
          <w:i/>
          <w:sz w:val="20"/>
          <w:szCs w:val="20"/>
          <w:lang w:eastAsia="bg-BG" w:bidi="ar-SA"/>
        </w:rPr>
        <w:t>conditions at TPP “</w:t>
      </w:r>
      <w:proofErr w:type="spellStart"/>
      <w:r w:rsidR="009F431C">
        <w:rPr>
          <w:rFonts w:ascii="Arial Narrow" w:hAnsi="Arial Narrow" w:cs="Arial Narrow"/>
          <w:i/>
          <w:sz w:val="20"/>
          <w:szCs w:val="20"/>
          <w:lang w:eastAsia="bg-BG" w:bidi="ar-SA"/>
        </w:rPr>
        <w:t>Bobov</w:t>
      </w:r>
      <w:proofErr w:type="spellEnd"/>
      <w:r w:rsidR="009F431C">
        <w:rPr>
          <w:rFonts w:ascii="Arial Narrow" w:hAnsi="Arial Narrow" w:cs="Arial Narrow"/>
          <w:i/>
          <w:sz w:val="20"/>
          <w:szCs w:val="20"/>
          <w:lang w:eastAsia="bg-BG" w:bidi="ar-SA"/>
        </w:rPr>
        <w:t xml:space="preserve"> </w:t>
      </w:r>
      <w:proofErr w:type="spellStart"/>
      <w:r w:rsidR="009F431C">
        <w:rPr>
          <w:rFonts w:ascii="Arial Narrow" w:hAnsi="Arial Narrow" w:cs="Arial Narrow"/>
          <w:i/>
          <w:sz w:val="20"/>
          <w:szCs w:val="20"/>
          <w:lang w:eastAsia="bg-BG" w:bidi="ar-SA"/>
        </w:rPr>
        <w:t>dol</w:t>
      </w:r>
      <w:proofErr w:type="spellEnd"/>
      <w:r w:rsidR="009F431C">
        <w:rPr>
          <w:rFonts w:ascii="Arial Narrow" w:hAnsi="Arial Narrow" w:cs="Arial Narrow"/>
          <w:i/>
          <w:sz w:val="20"/>
          <w:szCs w:val="20"/>
          <w:lang w:eastAsia="bg-BG" w:bidi="ar-SA"/>
        </w:rPr>
        <w:t xml:space="preserve">” during the day for the </w:t>
      </w:r>
      <w:r w:rsidR="00D06870">
        <w:rPr>
          <w:rFonts w:ascii="Arial Narrow" w:hAnsi="Arial Narrow" w:cs="Arial Narrow"/>
          <w:i/>
          <w:sz w:val="20"/>
          <w:szCs w:val="20"/>
          <w:lang w:eastAsia="bg-BG" w:bidi="ar-SA"/>
        </w:rPr>
        <w:t>period of observation</w:t>
      </w:r>
    </w:p>
    <w:tbl>
      <w:tblPr>
        <w:tblStyle w:val="TableGrid"/>
        <w:tblW w:w="4536" w:type="dxa"/>
        <w:tblInd w:w="108" w:type="dxa"/>
        <w:tblLayout w:type="fixed"/>
        <w:tblLook w:val="04A0" w:firstRow="1" w:lastRow="0" w:firstColumn="1" w:lastColumn="0" w:noHBand="0" w:noVBand="1"/>
      </w:tblPr>
      <w:tblGrid>
        <w:gridCol w:w="781"/>
        <w:gridCol w:w="649"/>
        <w:gridCol w:w="650"/>
        <w:gridCol w:w="649"/>
        <w:gridCol w:w="650"/>
        <w:gridCol w:w="578"/>
        <w:gridCol w:w="579"/>
      </w:tblGrid>
      <w:tr w:rsidR="00F4037A" w:rsidTr="0065113C">
        <w:tc>
          <w:tcPr>
            <w:tcW w:w="781" w:type="dxa"/>
            <w:vMerge w:val="restart"/>
          </w:tcPr>
          <w:p w:rsidR="00F4037A" w:rsidRDefault="00F4037A"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Index </w:t>
            </w:r>
          </w:p>
        </w:tc>
        <w:tc>
          <w:tcPr>
            <w:tcW w:w="3755" w:type="dxa"/>
            <w:gridSpan w:val="6"/>
          </w:tcPr>
          <w:p w:rsidR="00F4037A" w:rsidRDefault="00F4037A" w:rsidP="003B1283">
            <w:pPr>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Month/ Wind speed (m/s)</w:t>
            </w:r>
          </w:p>
        </w:tc>
      </w:tr>
      <w:tr w:rsidR="00F4037A" w:rsidTr="0065113C">
        <w:tc>
          <w:tcPr>
            <w:tcW w:w="781" w:type="dxa"/>
            <w:vMerge/>
          </w:tcPr>
          <w:p w:rsidR="00F4037A" w:rsidRDefault="00F4037A" w:rsidP="003B1283">
            <w:pPr>
              <w:jc w:val="both"/>
              <w:rPr>
                <w:rFonts w:ascii="Arial Narrow" w:hAnsi="Arial Narrow" w:cs="Arial Narrow"/>
                <w:sz w:val="20"/>
                <w:szCs w:val="20"/>
                <w:lang w:eastAsia="bg-BG" w:bidi="ar-SA"/>
              </w:rPr>
            </w:pPr>
          </w:p>
        </w:tc>
        <w:tc>
          <w:tcPr>
            <w:tcW w:w="1299" w:type="dxa"/>
            <w:gridSpan w:val="2"/>
          </w:tcPr>
          <w:p w:rsidR="00F4037A" w:rsidRDefault="00F4037A"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November</w:t>
            </w:r>
          </w:p>
        </w:tc>
        <w:tc>
          <w:tcPr>
            <w:tcW w:w="1299" w:type="dxa"/>
            <w:gridSpan w:val="2"/>
          </w:tcPr>
          <w:p w:rsidR="00F4037A" w:rsidRDefault="00F4037A"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December</w:t>
            </w:r>
          </w:p>
        </w:tc>
        <w:tc>
          <w:tcPr>
            <w:tcW w:w="1157" w:type="dxa"/>
            <w:gridSpan w:val="2"/>
          </w:tcPr>
          <w:p w:rsidR="00F4037A" w:rsidRDefault="00F4037A"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January</w:t>
            </w:r>
          </w:p>
        </w:tc>
      </w:tr>
      <w:tr w:rsidR="0017686B" w:rsidTr="0065113C">
        <w:tc>
          <w:tcPr>
            <w:tcW w:w="781" w:type="dxa"/>
            <w:vMerge/>
          </w:tcPr>
          <w:p w:rsidR="0017686B" w:rsidRDefault="0017686B" w:rsidP="003B1283">
            <w:pPr>
              <w:jc w:val="both"/>
              <w:rPr>
                <w:rFonts w:ascii="Arial Narrow" w:hAnsi="Arial Narrow" w:cs="Arial Narrow"/>
                <w:sz w:val="20"/>
                <w:szCs w:val="20"/>
                <w:lang w:eastAsia="bg-BG" w:bidi="ar-SA"/>
              </w:rPr>
            </w:pPr>
          </w:p>
        </w:tc>
        <w:tc>
          <w:tcPr>
            <w:tcW w:w="649" w:type="dxa"/>
          </w:tcPr>
          <w:p w:rsidR="0017686B" w:rsidRDefault="0017686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17686B" w:rsidRDefault="0017686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649" w:type="dxa"/>
          </w:tcPr>
          <w:p w:rsidR="0017686B" w:rsidRDefault="0017686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17686B" w:rsidRDefault="0017686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578" w:type="dxa"/>
          </w:tcPr>
          <w:p w:rsidR="0017686B" w:rsidRDefault="0017686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579" w:type="dxa"/>
          </w:tcPr>
          <w:p w:rsidR="0017686B" w:rsidRDefault="0017686B"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r>
      <w:tr w:rsidR="00F4037A" w:rsidTr="0065113C">
        <w:tc>
          <w:tcPr>
            <w:tcW w:w="4536" w:type="dxa"/>
            <w:gridSpan w:val="7"/>
          </w:tcPr>
          <w:p w:rsidR="00F4037A" w:rsidRDefault="00F4037A" w:rsidP="003B1283">
            <w:pPr>
              <w:rPr>
                <w:rFonts w:ascii="Arial Narrow" w:hAnsi="Arial Narrow" w:cs="Times New Roman"/>
                <w:sz w:val="20"/>
                <w:szCs w:val="20"/>
                <w:lang w:eastAsia="bg-BG" w:bidi="ar-SA"/>
              </w:rPr>
            </w:pPr>
            <w:r>
              <w:rPr>
                <w:rFonts w:ascii="Arial Narrow" w:hAnsi="Arial Narrow" w:cs="Arial Narrow"/>
                <w:sz w:val="20"/>
                <w:szCs w:val="20"/>
                <w:lang w:eastAsia="bg-BG" w:bidi="ar-SA"/>
              </w:rPr>
              <w:t>Northeast direction</w:t>
            </w:r>
          </w:p>
        </w:tc>
      </w:tr>
      <w:tr w:rsidR="0017686B" w:rsidTr="0065113C">
        <w:tc>
          <w:tcPr>
            <w:tcW w:w="781" w:type="dxa"/>
          </w:tcPr>
          <w:p w:rsidR="0017686B" w:rsidRDefault="0017686B" w:rsidP="003B1283">
            <w:pPr>
              <w:jc w:val="both"/>
              <w:rPr>
                <w:rFonts w:ascii="Arial Narrow" w:hAnsi="Arial Narrow" w:cs="Times New Roman"/>
                <w:sz w:val="20"/>
                <w:szCs w:val="20"/>
                <w:lan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17686B" w:rsidRPr="0017686B" w:rsidRDefault="0017686B" w:rsidP="003B1283">
            <w:pPr>
              <w:jc w:val="center"/>
              <w:rPr>
                <w:rFonts w:ascii="Arial Narrow" w:hAnsi="Arial Narrow"/>
                <w:sz w:val="20"/>
                <w:szCs w:val="20"/>
              </w:rPr>
            </w:pPr>
            <w:r w:rsidRPr="0017686B">
              <w:rPr>
                <w:rFonts w:ascii="Arial Narrow" w:hAnsi="Arial Narrow"/>
                <w:sz w:val="20"/>
                <w:szCs w:val="20"/>
              </w:rPr>
              <w:t>4-11</w:t>
            </w:r>
          </w:p>
        </w:tc>
        <w:tc>
          <w:tcPr>
            <w:tcW w:w="650" w:type="dxa"/>
            <w:vAlign w:val="center"/>
          </w:tcPr>
          <w:p w:rsidR="0017686B" w:rsidRPr="0017686B" w:rsidRDefault="0017686B" w:rsidP="003B1283">
            <w:pPr>
              <w:jc w:val="center"/>
              <w:rPr>
                <w:rFonts w:ascii="Arial Narrow" w:hAnsi="Arial Narrow"/>
                <w:sz w:val="20"/>
                <w:szCs w:val="20"/>
              </w:rPr>
            </w:pPr>
            <w:r>
              <w:rPr>
                <w:rFonts w:ascii="Arial Narrow" w:hAnsi="Arial Narrow"/>
                <w:sz w:val="20"/>
                <w:szCs w:val="20"/>
              </w:rPr>
              <w:t>12.7</w:t>
            </w:r>
          </w:p>
        </w:tc>
        <w:tc>
          <w:tcPr>
            <w:tcW w:w="649" w:type="dxa"/>
            <w:vAlign w:val="center"/>
          </w:tcPr>
          <w:p w:rsidR="0017686B" w:rsidRPr="0017686B" w:rsidRDefault="0017686B" w:rsidP="003B1283">
            <w:pPr>
              <w:jc w:val="center"/>
              <w:rPr>
                <w:rFonts w:ascii="Arial Narrow" w:hAnsi="Arial Narrow"/>
                <w:sz w:val="20"/>
                <w:szCs w:val="20"/>
              </w:rPr>
            </w:pPr>
            <w:r>
              <w:rPr>
                <w:rFonts w:ascii="Arial Narrow" w:hAnsi="Arial Narrow"/>
                <w:sz w:val="20"/>
                <w:szCs w:val="20"/>
              </w:rPr>
              <w:t>-</w:t>
            </w:r>
          </w:p>
        </w:tc>
        <w:tc>
          <w:tcPr>
            <w:tcW w:w="650" w:type="dxa"/>
            <w:vAlign w:val="center"/>
          </w:tcPr>
          <w:p w:rsidR="0017686B" w:rsidRPr="0017686B" w:rsidRDefault="0017686B" w:rsidP="003B1283">
            <w:pPr>
              <w:jc w:val="center"/>
              <w:rPr>
                <w:rFonts w:ascii="Arial Narrow" w:hAnsi="Arial Narrow"/>
                <w:sz w:val="20"/>
                <w:szCs w:val="20"/>
              </w:rPr>
            </w:pPr>
            <w:r>
              <w:rPr>
                <w:rFonts w:ascii="Arial Narrow" w:hAnsi="Arial Narrow"/>
                <w:sz w:val="20"/>
                <w:szCs w:val="20"/>
              </w:rPr>
              <w:t>-</w:t>
            </w:r>
          </w:p>
        </w:tc>
        <w:tc>
          <w:tcPr>
            <w:tcW w:w="578" w:type="dxa"/>
            <w:vAlign w:val="center"/>
          </w:tcPr>
          <w:p w:rsidR="0017686B" w:rsidRPr="0017686B" w:rsidRDefault="0017686B" w:rsidP="003B1283">
            <w:pPr>
              <w:jc w:val="center"/>
              <w:rPr>
                <w:rFonts w:ascii="Arial Narrow" w:hAnsi="Arial Narrow"/>
                <w:sz w:val="20"/>
                <w:szCs w:val="20"/>
              </w:rPr>
            </w:pPr>
            <w:r>
              <w:rPr>
                <w:rFonts w:ascii="Arial Narrow" w:hAnsi="Arial Narrow"/>
                <w:sz w:val="20"/>
                <w:szCs w:val="20"/>
              </w:rPr>
              <w:t>-</w:t>
            </w:r>
          </w:p>
        </w:tc>
        <w:tc>
          <w:tcPr>
            <w:tcW w:w="579" w:type="dxa"/>
            <w:vAlign w:val="center"/>
          </w:tcPr>
          <w:p w:rsidR="0017686B" w:rsidRPr="0017686B" w:rsidRDefault="0017686B" w:rsidP="003B1283">
            <w:pPr>
              <w:jc w:val="center"/>
              <w:rPr>
                <w:rFonts w:ascii="Arial Narrow" w:hAnsi="Arial Narrow"/>
                <w:sz w:val="20"/>
                <w:szCs w:val="20"/>
              </w:rPr>
            </w:pPr>
            <w:r>
              <w:rPr>
                <w:rFonts w:ascii="Arial Narrow" w:hAnsi="Arial Narrow"/>
                <w:sz w:val="20"/>
                <w:szCs w:val="20"/>
              </w:rPr>
              <w:t>-</w:t>
            </w:r>
          </w:p>
        </w:tc>
      </w:tr>
      <w:tr w:rsidR="0017686B" w:rsidTr="0065113C">
        <w:tc>
          <w:tcPr>
            <w:tcW w:w="781" w:type="dxa"/>
          </w:tcPr>
          <w:p w:rsidR="0017686B" w:rsidRPr="002B7218" w:rsidRDefault="0017686B" w:rsidP="003B1283">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17686B" w:rsidRPr="0017686B" w:rsidRDefault="0017686B" w:rsidP="003B1283">
            <w:pPr>
              <w:jc w:val="center"/>
              <w:rPr>
                <w:rFonts w:ascii="Arial Narrow" w:hAnsi="Arial Narrow"/>
                <w:sz w:val="18"/>
                <w:szCs w:val="18"/>
              </w:rPr>
            </w:pPr>
            <w:r w:rsidRPr="0017686B">
              <w:rPr>
                <w:rFonts w:ascii="Arial Narrow" w:hAnsi="Arial Narrow"/>
                <w:sz w:val="18"/>
                <w:szCs w:val="18"/>
              </w:rPr>
              <w:t>A-B/ B</w:t>
            </w:r>
          </w:p>
        </w:tc>
        <w:tc>
          <w:tcPr>
            <w:tcW w:w="650" w:type="dxa"/>
            <w:vAlign w:val="center"/>
          </w:tcPr>
          <w:p w:rsidR="0017686B" w:rsidRPr="0017686B" w:rsidRDefault="0017686B" w:rsidP="003B1283">
            <w:pPr>
              <w:jc w:val="center"/>
              <w:rPr>
                <w:rFonts w:ascii="Arial Narrow" w:hAnsi="Arial Narrow"/>
                <w:sz w:val="18"/>
                <w:szCs w:val="18"/>
              </w:rPr>
            </w:pPr>
            <w:r>
              <w:rPr>
                <w:rFonts w:ascii="Arial Narrow" w:hAnsi="Arial Narrow"/>
                <w:sz w:val="18"/>
                <w:szCs w:val="18"/>
              </w:rPr>
              <w:t>C</w:t>
            </w:r>
          </w:p>
        </w:tc>
        <w:tc>
          <w:tcPr>
            <w:tcW w:w="649" w:type="dxa"/>
            <w:vAlign w:val="center"/>
          </w:tcPr>
          <w:p w:rsidR="0017686B" w:rsidRPr="0017686B" w:rsidRDefault="0017686B" w:rsidP="003B1283">
            <w:pPr>
              <w:jc w:val="center"/>
              <w:rPr>
                <w:rFonts w:ascii="Arial Narrow" w:hAnsi="Arial Narrow"/>
                <w:sz w:val="18"/>
                <w:szCs w:val="18"/>
              </w:rPr>
            </w:pPr>
            <w:r>
              <w:rPr>
                <w:rFonts w:ascii="Arial Narrow" w:hAnsi="Arial Narrow"/>
                <w:sz w:val="18"/>
                <w:szCs w:val="18"/>
              </w:rPr>
              <w:t>-</w:t>
            </w:r>
          </w:p>
        </w:tc>
        <w:tc>
          <w:tcPr>
            <w:tcW w:w="650" w:type="dxa"/>
            <w:vAlign w:val="center"/>
          </w:tcPr>
          <w:p w:rsidR="0017686B" w:rsidRPr="0017686B" w:rsidRDefault="0017686B" w:rsidP="003B1283">
            <w:pPr>
              <w:jc w:val="center"/>
              <w:rPr>
                <w:rFonts w:ascii="Arial Narrow" w:hAnsi="Arial Narrow"/>
                <w:sz w:val="18"/>
                <w:szCs w:val="18"/>
              </w:rPr>
            </w:pPr>
            <w:r>
              <w:rPr>
                <w:rFonts w:ascii="Arial Narrow" w:hAnsi="Arial Narrow"/>
                <w:sz w:val="18"/>
                <w:szCs w:val="18"/>
              </w:rPr>
              <w:t>-</w:t>
            </w:r>
          </w:p>
        </w:tc>
        <w:tc>
          <w:tcPr>
            <w:tcW w:w="578" w:type="dxa"/>
            <w:vAlign w:val="center"/>
          </w:tcPr>
          <w:p w:rsidR="0017686B" w:rsidRPr="0017686B" w:rsidRDefault="0017686B" w:rsidP="003B1283">
            <w:pPr>
              <w:jc w:val="center"/>
              <w:rPr>
                <w:rFonts w:ascii="Arial Narrow" w:hAnsi="Arial Narrow"/>
                <w:sz w:val="18"/>
                <w:szCs w:val="18"/>
              </w:rPr>
            </w:pPr>
            <w:r>
              <w:rPr>
                <w:rFonts w:ascii="Arial Narrow" w:hAnsi="Arial Narrow"/>
                <w:sz w:val="18"/>
                <w:szCs w:val="18"/>
              </w:rPr>
              <w:t>-</w:t>
            </w:r>
          </w:p>
        </w:tc>
        <w:tc>
          <w:tcPr>
            <w:tcW w:w="579" w:type="dxa"/>
            <w:vAlign w:val="center"/>
          </w:tcPr>
          <w:p w:rsidR="0017686B" w:rsidRPr="0017686B" w:rsidRDefault="0017686B" w:rsidP="003B1283">
            <w:pPr>
              <w:jc w:val="center"/>
              <w:rPr>
                <w:rFonts w:ascii="Arial Narrow" w:hAnsi="Arial Narrow"/>
                <w:sz w:val="18"/>
                <w:szCs w:val="18"/>
              </w:rPr>
            </w:pPr>
            <w:r>
              <w:rPr>
                <w:rFonts w:ascii="Arial Narrow" w:hAnsi="Arial Narrow"/>
                <w:sz w:val="18"/>
                <w:szCs w:val="18"/>
              </w:rPr>
              <w:t>-</w:t>
            </w:r>
          </w:p>
        </w:tc>
      </w:tr>
      <w:tr w:rsidR="00F4037A" w:rsidTr="0065113C">
        <w:tc>
          <w:tcPr>
            <w:tcW w:w="4536" w:type="dxa"/>
            <w:gridSpan w:val="7"/>
          </w:tcPr>
          <w:p w:rsidR="00F4037A" w:rsidRPr="00E47966" w:rsidRDefault="00F4037A" w:rsidP="003B1283">
            <w:pPr>
              <w:rPr>
                <w:rFonts w:ascii="Arial Narrow" w:hAnsi="Arial Narrow" w:cs="Times New Roman"/>
                <w:sz w:val="20"/>
                <w:szCs w:val="20"/>
                <w:lang w:val="bg-BG" w:eastAsia="bg-BG" w:bidi="ar-SA"/>
              </w:rPr>
            </w:pPr>
            <w:r>
              <w:rPr>
                <w:rFonts w:ascii="Arial Narrow" w:hAnsi="Arial Narrow" w:cs="Arial Narrow"/>
                <w:sz w:val="20"/>
                <w:szCs w:val="20"/>
                <w:lang w:eastAsia="bg-BG" w:bidi="ar-SA"/>
              </w:rPr>
              <w:t>Southeast direction</w:t>
            </w:r>
          </w:p>
        </w:tc>
      </w:tr>
      <w:tr w:rsidR="00ED1DBA" w:rsidTr="0065113C">
        <w:tc>
          <w:tcPr>
            <w:tcW w:w="781" w:type="dxa"/>
          </w:tcPr>
          <w:p w:rsidR="00ED1DBA" w:rsidRPr="00E47966" w:rsidRDefault="00ED1DBA" w:rsidP="003B1283">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ED1DBA" w:rsidRPr="00ED1DBA" w:rsidRDefault="00ED1DBA" w:rsidP="003B1283">
            <w:pPr>
              <w:jc w:val="center"/>
              <w:rPr>
                <w:rFonts w:ascii="Arial Narrow" w:hAnsi="Arial Narrow"/>
                <w:sz w:val="20"/>
                <w:szCs w:val="20"/>
              </w:rPr>
            </w:pPr>
            <w:r>
              <w:rPr>
                <w:rFonts w:ascii="Arial Narrow" w:hAnsi="Arial Narrow"/>
                <w:sz w:val="20"/>
                <w:szCs w:val="20"/>
              </w:rPr>
              <w:t>6-8</w:t>
            </w:r>
          </w:p>
        </w:tc>
        <w:tc>
          <w:tcPr>
            <w:tcW w:w="650" w:type="dxa"/>
            <w:vAlign w:val="center"/>
          </w:tcPr>
          <w:p w:rsidR="00ED1DBA" w:rsidRPr="0017686B" w:rsidRDefault="00ED1DBA" w:rsidP="003B1283">
            <w:pPr>
              <w:jc w:val="center"/>
              <w:rPr>
                <w:rFonts w:ascii="Arial Narrow" w:hAnsi="Arial Narrow"/>
                <w:sz w:val="20"/>
                <w:szCs w:val="20"/>
              </w:rPr>
            </w:pPr>
            <w:r>
              <w:rPr>
                <w:rFonts w:ascii="Arial Narrow" w:hAnsi="Arial Narrow"/>
                <w:sz w:val="20"/>
                <w:szCs w:val="20"/>
              </w:rPr>
              <w:t>-</w:t>
            </w:r>
          </w:p>
        </w:tc>
        <w:tc>
          <w:tcPr>
            <w:tcW w:w="649" w:type="dxa"/>
            <w:vAlign w:val="center"/>
          </w:tcPr>
          <w:p w:rsidR="00ED1DBA" w:rsidRPr="0017686B" w:rsidRDefault="00ED1DBA" w:rsidP="003B1283">
            <w:pPr>
              <w:jc w:val="center"/>
              <w:rPr>
                <w:rFonts w:ascii="Arial Narrow" w:hAnsi="Arial Narrow"/>
                <w:sz w:val="20"/>
                <w:szCs w:val="20"/>
              </w:rPr>
            </w:pPr>
            <w:r>
              <w:rPr>
                <w:rFonts w:ascii="Arial Narrow" w:hAnsi="Arial Narrow"/>
                <w:sz w:val="20"/>
                <w:szCs w:val="20"/>
              </w:rPr>
              <w:t>-</w:t>
            </w:r>
          </w:p>
        </w:tc>
        <w:tc>
          <w:tcPr>
            <w:tcW w:w="650" w:type="dxa"/>
            <w:vAlign w:val="center"/>
          </w:tcPr>
          <w:p w:rsidR="00ED1DBA" w:rsidRPr="0017686B" w:rsidRDefault="00ED1DBA" w:rsidP="003B1283">
            <w:pPr>
              <w:jc w:val="center"/>
              <w:rPr>
                <w:rFonts w:ascii="Arial Narrow" w:hAnsi="Arial Narrow"/>
                <w:sz w:val="20"/>
                <w:szCs w:val="20"/>
              </w:rPr>
            </w:pPr>
            <w:r>
              <w:rPr>
                <w:rFonts w:ascii="Arial Narrow" w:hAnsi="Arial Narrow"/>
                <w:sz w:val="20"/>
                <w:szCs w:val="20"/>
              </w:rPr>
              <w:t>-</w:t>
            </w:r>
          </w:p>
        </w:tc>
        <w:tc>
          <w:tcPr>
            <w:tcW w:w="578" w:type="dxa"/>
            <w:vAlign w:val="center"/>
          </w:tcPr>
          <w:p w:rsidR="00ED1DBA" w:rsidRPr="0017686B" w:rsidRDefault="00ED1DBA" w:rsidP="003B1283">
            <w:pPr>
              <w:jc w:val="center"/>
              <w:rPr>
                <w:rFonts w:ascii="Arial Narrow" w:hAnsi="Arial Narrow"/>
                <w:sz w:val="20"/>
                <w:szCs w:val="20"/>
              </w:rPr>
            </w:pPr>
            <w:r>
              <w:rPr>
                <w:rFonts w:ascii="Arial Narrow" w:hAnsi="Arial Narrow"/>
                <w:sz w:val="20"/>
                <w:szCs w:val="20"/>
              </w:rPr>
              <w:t>-</w:t>
            </w:r>
          </w:p>
        </w:tc>
        <w:tc>
          <w:tcPr>
            <w:tcW w:w="579" w:type="dxa"/>
            <w:vAlign w:val="center"/>
          </w:tcPr>
          <w:p w:rsidR="00ED1DBA" w:rsidRPr="0017686B" w:rsidRDefault="00ED1DBA" w:rsidP="003B1283">
            <w:pPr>
              <w:jc w:val="center"/>
              <w:rPr>
                <w:rFonts w:ascii="Arial Narrow" w:hAnsi="Arial Narrow"/>
                <w:sz w:val="20"/>
                <w:szCs w:val="20"/>
              </w:rPr>
            </w:pPr>
            <w:r>
              <w:rPr>
                <w:rFonts w:ascii="Arial Narrow" w:hAnsi="Arial Narrow"/>
                <w:sz w:val="20"/>
                <w:szCs w:val="20"/>
              </w:rPr>
              <w:t>-</w:t>
            </w:r>
          </w:p>
        </w:tc>
      </w:tr>
      <w:tr w:rsidR="00ED1DBA" w:rsidTr="0065113C">
        <w:tc>
          <w:tcPr>
            <w:tcW w:w="781" w:type="dxa"/>
          </w:tcPr>
          <w:p w:rsidR="00ED1DBA" w:rsidRPr="00E47966" w:rsidRDefault="00ED1DBA" w:rsidP="003B1283">
            <w:pPr>
              <w:jc w:val="both"/>
              <w:rPr>
                <w:rFonts w:ascii="Arial Narrow" w:hAnsi="Arial Narrow" w:cs="Times New Roman"/>
                <w:sz w:val="20"/>
                <w:szCs w:val="20"/>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ED1DBA" w:rsidRPr="0017686B" w:rsidRDefault="00ED1DBA" w:rsidP="003B1283">
            <w:pPr>
              <w:jc w:val="center"/>
              <w:rPr>
                <w:rFonts w:ascii="Arial Narrow" w:hAnsi="Arial Narrow"/>
                <w:sz w:val="18"/>
                <w:szCs w:val="18"/>
              </w:rPr>
            </w:pPr>
            <w:r w:rsidRPr="0017686B">
              <w:rPr>
                <w:rFonts w:ascii="Arial Narrow" w:hAnsi="Arial Narrow"/>
                <w:sz w:val="18"/>
                <w:szCs w:val="18"/>
              </w:rPr>
              <w:t>A-B/ B</w:t>
            </w:r>
          </w:p>
        </w:tc>
        <w:tc>
          <w:tcPr>
            <w:tcW w:w="650" w:type="dxa"/>
            <w:vAlign w:val="center"/>
          </w:tcPr>
          <w:p w:rsidR="00ED1DBA" w:rsidRPr="0017686B" w:rsidRDefault="00ED1DBA" w:rsidP="003B1283">
            <w:pPr>
              <w:jc w:val="center"/>
              <w:rPr>
                <w:rFonts w:ascii="Arial Narrow" w:hAnsi="Arial Narrow"/>
                <w:sz w:val="18"/>
                <w:szCs w:val="18"/>
              </w:rPr>
            </w:pPr>
            <w:r>
              <w:rPr>
                <w:rFonts w:ascii="Arial Narrow" w:hAnsi="Arial Narrow"/>
                <w:sz w:val="18"/>
                <w:szCs w:val="18"/>
              </w:rPr>
              <w:t>-</w:t>
            </w:r>
          </w:p>
        </w:tc>
        <w:tc>
          <w:tcPr>
            <w:tcW w:w="649" w:type="dxa"/>
            <w:vAlign w:val="center"/>
          </w:tcPr>
          <w:p w:rsidR="00ED1DBA" w:rsidRPr="0017686B" w:rsidRDefault="00ED1DBA" w:rsidP="003B1283">
            <w:pPr>
              <w:jc w:val="center"/>
              <w:rPr>
                <w:rFonts w:ascii="Arial Narrow" w:hAnsi="Arial Narrow"/>
                <w:sz w:val="18"/>
                <w:szCs w:val="18"/>
              </w:rPr>
            </w:pPr>
            <w:r>
              <w:rPr>
                <w:rFonts w:ascii="Arial Narrow" w:hAnsi="Arial Narrow"/>
                <w:sz w:val="18"/>
                <w:szCs w:val="18"/>
              </w:rPr>
              <w:t>-</w:t>
            </w:r>
          </w:p>
        </w:tc>
        <w:tc>
          <w:tcPr>
            <w:tcW w:w="650" w:type="dxa"/>
            <w:vAlign w:val="center"/>
          </w:tcPr>
          <w:p w:rsidR="00ED1DBA" w:rsidRPr="0017686B" w:rsidRDefault="00ED1DBA" w:rsidP="003B1283">
            <w:pPr>
              <w:jc w:val="center"/>
              <w:rPr>
                <w:rFonts w:ascii="Arial Narrow" w:hAnsi="Arial Narrow"/>
                <w:sz w:val="18"/>
                <w:szCs w:val="18"/>
              </w:rPr>
            </w:pPr>
            <w:r>
              <w:rPr>
                <w:rFonts w:ascii="Arial Narrow" w:hAnsi="Arial Narrow"/>
                <w:sz w:val="18"/>
                <w:szCs w:val="18"/>
              </w:rPr>
              <w:t>-</w:t>
            </w:r>
          </w:p>
        </w:tc>
        <w:tc>
          <w:tcPr>
            <w:tcW w:w="578" w:type="dxa"/>
            <w:vAlign w:val="center"/>
          </w:tcPr>
          <w:p w:rsidR="00ED1DBA" w:rsidRPr="0017686B" w:rsidRDefault="00ED1DBA" w:rsidP="003B1283">
            <w:pPr>
              <w:jc w:val="center"/>
              <w:rPr>
                <w:rFonts w:ascii="Arial Narrow" w:hAnsi="Arial Narrow"/>
                <w:sz w:val="18"/>
                <w:szCs w:val="18"/>
              </w:rPr>
            </w:pPr>
            <w:r>
              <w:rPr>
                <w:rFonts w:ascii="Arial Narrow" w:hAnsi="Arial Narrow"/>
                <w:sz w:val="18"/>
                <w:szCs w:val="18"/>
              </w:rPr>
              <w:t>-</w:t>
            </w:r>
          </w:p>
        </w:tc>
        <w:tc>
          <w:tcPr>
            <w:tcW w:w="579" w:type="dxa"/>
            <w:vAlign w:val="center"/>
          </w:tcPr>
          <w:p w:rsidR="00ED1DBA" w:rsidRPr="0017686B" w:rsidRDefault="00ED1DBA" w:rsidP="003B1283">
            <w:pPr>
              <w:jc w:val="center"/>
              <w:rPr>
                <w:rFonts w:ascii="Arial Narrow" w:hAnsi="Arial Narrow"/>
                <w:sz w:val="18"/>
                <w:szCs w:val="18"/>
              </w:rPr>
            </w:pPr>
            <w:r>
              <w:rPr>
                <w:rFonts w:ascii="Arial Narrow" w:hAnsi="Arial Narrow"/>
                <w:sz w:val="18"/>
                <w:szCs w:val="18"/>
              </w:rPr>
              <w:t>-</w:t>
            </w:r>
          </w:p>
        </w:tc>
      </w:tr>
      <w:tr w:rsidR="00ED1DBA" w:rsidTr="0065113C">
        <w:tc>
          <w:tcPr>
            <w:tcW w:w="4536" w:type="dxa"/>
            <w:gridSpan w:val="7"/>
          </w:tcPr>
          <w:p w:rsidR="00ED1DBA" w:rsidRDefault="00ED1DBA" w:rsidP="003B1283">
            <w:pPr>
              <w:rPr>
                <w:rFonts w:ascii="Arial Narrow" w:hAnsi="Arial Narrow" w:cs="Times New Roman"/>
                <w:sz w:val="20"/>
                <w:szCs w:val="20"/>
                <w:lang w:eastAsia="bg-BG" w:bidi="ar-SA"/>
              </w:rPr>
            </w:pPr>
            <w:r>
              <w:rPr>
                <w:rFonts w:ascii="Arial Narrow" w:hAnsi="Arial Narrow" w:cs="Arial Narrow"/>
                <w:sz w:val="20"/>
                <w:szCs w:val="20"/>
                <w:lang w:eastAsia="bg-BG" w:bidi="ar-SA"/>
              </w:rPr>
              <w:t>South direction</w:t>
            </w:r>
          </w:p>
        </w:tc>
      </w:tr>
      <w:tr w:rsidR="00ED1DBA" w:rsidTr="0065113C">
        <w:tc>
          <w:tcPr>
            <w:tcW w:w="781" w:type="dxa"/>
          </w:tcPr>
          <w:p w:rsidR="00ED1DBA" w:rsidRPr="00E47966" w:rsidRDefault="00ED1DBA" w:rsidP="003B1283">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ED1DBA" w:rsidRPr="00272AB5" w:rsidRDefault="00272AB5" w:rsidP="003B1283">
            <w:pPr>
              <w:jc w:val="center"/>
              <w:rPr>
                <w:rFonts w:ascii="Arial Narrow" w:hAnsi="Arial Narrow"/>
                <w:sz w:val="20"/>
                <w:szCs w:val="20"/>
              </w:rPr>
            </w:pPr>
            <w:r>
              <w:rPr>
                <w:rFonts w:ascii="Arial Narrow" w:hAnsi="Arial Narrow"/>
                <w:sz w:val="20"/>
                <w:szCs w:val="20"/>
              </w:rPr>
              <w:t>5-9</w:t>
            </w:r>
          </w:p>
        </w:tc>
        <w:tc>
          <w:tcPr>
            <w:tcW w:w="650" w:type="dxa"/>
            <w:vAlign w:val="center"/>
          </w:tcPr>
          <w:p w:rsidR="00ED1DBA" w:rsidRPr="00272AB5" w:rsidRDefault="00272AB5" w:rsidP="003B1283">
            <w:pPr>
              <w:jc w:val="center"/>
              <w:rPr>
                <w:rFonts w:ascii="Arial Narrow" w:hAnsi="Arial Narrow"/>
                <w:sz w:val="20"/>
                <w:szCs w:val="20"/>
              </w:rPr>
            </w:pPr>
            <w:r>
              <w:rPr>
                <w:rFonts w:ascii="Arial Narrow" w:hAnsi="Arial Narrow"/>
                <w:sz w:val="20"/>
                <w:szCs w:val="20"/>
              </w:rPr>
              <w:t>10-11</w:t>
            </w:r>
          </w:p>
        </w:tc>
        <w:tc>
          <w:tcPr>
            <w:tcW w:w="649" w:type="dxa"/>
            <w:vAlign w:val="center"/>
          </w:tcPr>
          <w:p w:rsidR="00ED1DBA" w:rsidRPr="0017686B" w:rsidRDefault="00272AB5" w:rsidP="003B1283">
            <w:pPr>
              <w:jc w:val="center"/>
              <w:rPr>
                <w:rFonts w:ascii="Arial Narrow" w:hAnsi="Arial Narrow"/>
                <w:sz w:val="20"/>
                <w:szCs w:val="20"/>
              </w:rPr>
            </w:pPr>
            <w:r>
              <w:rPr>
                <w:rFonts w:ascii="Arial Narrow" w:hAnsi="Arial Narrow"/>
                <w:sz w:val="20"/>
                <w:szCs w:val="20"/>
              </w:rPr>
              <w:t>4-5</w:t>
            </w:r>
          </w:p>
        </w:tc>
        <w:tc>
          <w:tcPr>
            <w:tcW w:w="650" w:type="dxa"/>
            <w:vAlign w:val="center"/>
          </w:tcPr>
          <w:p w:rsidR="00ED1DBA" w:rsidRPr="00272AB5" w:rsidRDefault="00272AB5" w:rsidP="003B1283">
            <w:pPr>
              <w:jc w:val="center"/>
              <w:rPr>
                <w:rFonts w:ascii="Arial Narrow" w:hAnsi="Arial Narrow"/>
                <w:sz w:val="20"/>
                <w:szCs w:val="20"/>
              </w:rPr>
            </w:pPr>
            <w:r w:rsidRPr="00272AB5">
              <w:rPr>
                <w:rFonts w:ascii="Arial Narrow" w:hAnsi="Arial Narrow"/>
                <w:sz w:val="20"/>
                <w:szCs w:val="20"/>
              </w:rPr>
              <w:t>2-3</w:t>
            </w:r>
          </w:p>
        </w:tc>
        <w:tc>
          <w:tcPr>
            <w:tcW w:w="578" w:type="dxa"/>
            <w:vAlign w:val="center"/>
          </w:tcPr>
          <w:p w:rsidR="00ED1DBA" w:rsidRPr="0017686B" w:rsidRDefault="00D306DA" w:rsidP="003B1283">
            <w:pPr>
              <w:jc w:val="center"/>
              <w:rPr>
                <w:rFonts w:ascii="Arial Narrow" w:hAnsi="Arial Narrow"/>
                <w:sz w:val="20"/>
                <w:szCs w:val="20"/>
              </w:rPr>
            </w:pPr>
            <w:r>
              <w:rPr>
                <w:rFonts w:ascii="Arial Narrow" w:hAnsi="Arial Narrow"/>
                <w:sz w:val="20"/>
                <w:szCs w:val="20"/>
              </w:rPr>
              <w:t>2-5</w:t>
            </w:r>
          </w:p>
        </w:tc>
        <w:tc>
          <w:tcPr>
            <w:tcW w:w="579" w:type="dxa"/>
            <w:vAlign w:val="center"/>
          </w:tcPr>
          <w:p w:rsidR="00ED1DBA" w:rsidRPr="0017686B" w:rsidRDefault="00D306DA" w:rsidP="003B1283">
            <w:pPr>
              <w:tabs>
                <w:tab w:val="left" w:pos="4111"/>
              </w:tabs>
              <w:jc w:val="center"/>
              <w:rPr>
                <w:rFonts w:ascii="Arial Narrow" w:hAnsi="Arial Narrow"/>
                <w:sz w:val="20"/>
                <w:szCs w:val="20"/>
              </w:rPr>
            </w:pPr>
            <w:r>
              <w:rPr>
                <w:rFonts w:ascii="Arial Narrow" w:hAnsi="Arial Narrow"/>
                <w:sz w:val="20"/>
                <w:szCs w:val="20"/>
              </w:rPr>
              <w:t>2-4</w:t>
            </w:r>
          </w:p>
        </w:tc>
      </w:tr>
      <w:tr w:rsidR="00565001" w:rsidTr="0065113C">
        <w:tc>
          <w:tcPr>
            <w:tcW w:w="781" w:type="dxa"/>
          </w:tcPr>
          <w:p w:rsidR="00565001" w:rsidRPr="002B7218" w:rsidRDefault="00565001" w:rsidP="003B1283">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565001" w:rsidRPr="0017686B" w:rsidRDefault="00565001" w:rsidP="003B1283">
            <w:pPr>
              <w:jc w:val="center"/>
              <w:rPr>
                <w:rFonts w:ascii="Arial Narrow" w:hAnsi="Arial Narrow"/>
                <w:sz w:val="18"/>
                <w:szCs w:val="18"/>
              </w:rPr>
            </w:pPr>
            <w:r w:rsidRPr="0017686B">
              <w:rPr>
                <w:rFonts w:ascii="Arial Narrow" w:hAnsi="Arial Narrow"/>
                <w:sz w:val="18"/>
                <w:szCs w:val="18"/>
              </w:rPr>
              <w:t>A-B/ B</w:t>
            </w:r>
          </w:p>
        </w:tc>
        <w:tc>
          <w:tcPr>
            <w:tcW w:w="650" w:type="dxa"/>
            <w:vAlign w:val="center"/>
          </w:tcPr>
          <w:p w:rsidR="00565001" w:rsidRPr="00272AB5" w:rsidRDefault="00565001" w:rsidP="003B1283">
            <w:pPr>
              <w:jc w:val="center"/>
              <w:rPr>
                <w:rFonts w:ascii="Arial Narrow" w:hAnsi="Arial Narrow"/>
                <w:sz w:val="20"/>
                <w:szCs w:val="20"/>
              </w:rPr>
            </w:pPr>
            <w:r w:rsidRPr="00272AB5">
              <w:rPr>
                <w:rFonts w:ascii="Arial Narrow" w:hAnsi="Arial Narrow"/>
                <w:sz w:val="20"/>
                <w:szCs w:val="20"/>
              </w:rPr>
              <w:t>B/ C</w:t>
            </w:r>
          </w:p>
        </w:tc>
        <w:tc>
          <w:tcPr>
            <w:tcW w:w="649" w:type="dxa"/>
            <w:vAlign w:val="center"/>
          </w:tcPr>
          <w:p w:rsidR="00565001" w:rsidRPr="0017686B" w:rsidRDefault="00565001" w:rsidP="003B1283">
            <w:pPr>
              <w:jc w:val="center"/>
              <w:rPr>
                <w:rFonts w:ascii="Arial Narrow" w:hAnsi="Arial Narrow"/>
                <w:b/>
                <w:sz w:val="20"/>
                <w:szCs w:val="20"/>
              </w:rPr>
            </w:pPr>
            <w:r w:rsidRPr="0017686B">
              <w:rPr>
                <w:rFonts w:ascii="Arial Narrow" w:hAnsi="Arial Narrow"/>
                <w:sz w:val="18"/>
                <w:szCs w:val="18"/>
              </w:rPr>
              <w:t>A-B/ B</w:t>
            </w:r>
          </w:p>
        </w:tc>
        <w:tc>
          <w:tcPr>
            <w:tcW w:w="650" w:type="dxa"/>
            <w:vAlign w:val="center"/>
          </w:tcPr>
          <w:p w:rsidR="00565001" w:rsidRPr="00D306DA" w:rsidRDefault="00565001" w:rsidP="003B1283">
            <w:pPr>
              <w:jc w:val="center"/>
              <w:rPr>
                <w:rFonts w:ascii="Arial Narrow" w:hAnsi="Arial Narrow"/>
                <w:sz w:val="20"/>
                <w:szCs w:val="20"/>
              </w:rPr>
            </w:pPr>
            <w:r w:rsidRPr="00D306DA">
              <w:rPr>
                <w:rFonts w:ascii="Arial Narrow" w:hAnsi="Arial Narrow"/>
                <w:sz w:val="20"/>
                <w:szCs w:val="20"/>
              </w:rPr>
              <w:t>B/ C</w:t>
            </w:r>
          </w:p>
        </w:tc>
        <w:tc>
          <w:tcPr>
            <w:tcW w:w="578" w:type="dxa"/>
            <w:vAlign w:val="center"/>
          </w:tcPr>
          <w:p w:rsidR="00565001" w:rsidRPr="0065113C" w:rsidRDefault="00565001" w:rsidP="003B1283">
            <w:pPr>
              <w:jc w:val="center"/>
              <w:rPr>
                <w:rFonts w:ascii="Arial Narrow" w:hAnsi="Arial Narrow"/>
                <w:sz w:val="16"/>
                <w:szCs w:val="16"/>
              </w:rPr>
            </w:pPr>
            <w:r w:rsidRPr="0065113C">
              <w:rPr>
                <w:rFonts w:ascii="Arial Narrow" w:hAnsi="Arial Narrow"/>
                <w:sz w:val="16"/>
                <w:szCs w:val="16"/>
              </w:rPr>
              <w:t>A-B/ B</w:t>
            </w:r>
          </w:p>
        </w:tc>
        <w:tc>
          <w:tcPr>
            <w:tcW w:w="579" w:type="dxa"/>
            <w:vAlign w:val="center"/>
          </w:tcPr>
          <w:p w:rsidR="00565001" w:rsidRPr="0017686B" w:rsidRDefault="00565001" w:rsidP="003B1283">
            <w:pPr>
              <w:jc w:val="center"/>
              <w:rPr>
                <w:rFonts w:ascii="Arial Narrow" w:hAnsi="Arial Narrow"/>
                <w:b/>
                <w:sz w:val="20"/>
                <w:szCs w:val="20"/>
              </w:rPr>
            </w:pPr>
            <w:r w:rsidRPr="00D306DA">
              <w:rPr>
                <w:rFonts w:ascii="Arial Narrow" w:hAnsi="Arial Narrow"/>
                <w:sz w:val="20"/>
                <w:szCs w:val="20"/>
              </w:rPr>
              <w:t>B/ C</w:t>
            </w:r>
          </w:p>
        </w:tc>
      </w:tr>
      <w:tr w:rsidR="00565001" w:rsidTr="0065113C">
        <w:tc>
          <w:tcPr>
            <w:tcW w:w="4536" w:type="dxa"/>
            <w:gridSpan w:val="7"/>
          </w:tcPr>
          <w:p w:rsidR="00565001" w:rsidRPr="00E47966" w:rsidRDefault="00565001" w:rsidP="003B1283">
            <w:pPr>
              <w:rPr>
                <w:rFonts w:ascii="Arial Narrow" w:hAnsi="Arial Narrow" w:cs="Times New Roman"/>
                <w:sz w:val="20"/>
                <w:szCs w:val="20"/>
                <w:lang w:val="bg-BG" w:eastAsia="bg-BG" w:bidi="ar-SA"/>
              </w:rPr>
            </w:pPr>
            <w:r>
              <w:rPr>
                <w:rFonts w:ascii="Arial Narrow" w:hAnsi="Arial Narrow" w:cs="Arial Narrow"/>
                <w:sz w:val="20"/>
                <w:szCs w:val="20"/>
                <w:lang w:eastAsia="bg-BG" w:bidi="ar-SA"/>
              </w:rPr>
              <w:t>Southwest direction</w:t>
            </w:r>
          </w:p>
        </w:tc>
      </w:tr>
      <w:tr w:rsidR="00565001" w:rsidTr="0065113C">
        <w:tc>
          <w:tcPr>
            <w:tcW w:w="781" w:type="dxa"/>
          </w:tcPr>
          <w:p w:rsidR="00565001" w:rsidRPr="00E47966" w:rsidRDefault="00565001" w:rsidP="003B1283">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565001" w:rsidRPr="0017686B" w:rsidRDefault="00565001" w:rsidP="003B1283">
            <w:pPr>
              <w:jc w:val="center"/>
              <w:rPr>
                <w:rFonts w:ascii="Arial Narrow" w:hAnsi="Arial Narrow"/>
                <w:sz w:val="20"/>
                <w:szCs w:val="20"/>
              </w:rPr>
            </w:pPr>
            <w:r>
              <w:rPr>
                <w:rFonts w:ascii="Arial Narrow" w:hAnsi="Arial Narrow"/>
                <w:sz w:val="20"/>
                <w:szCs w:val="20"/>
              </w:rPr>
              <w:t>-</w:t>
            </w:r>
          </w:p>
        </w:tc>
        <w:tc>
          <w:tcPr>
            <w:tcW w:w="650" w:type="dxa"/>
            <w:vAlign w:val="center"/>
          </w:tcPr>
          <w:p w:rsidR="00565001" w:rsidRPr="0017686B" w:rsidRDefault="00565001" w:rsidP="003B1283">
            <w:pPr>
              <w:jc w:val="center"/>
              <w:rPr>
                <w:rFonts w:ascii="Arial Narrow" w:hAnsi="Arial Narrow"/>
                <w:sz w:val="20"/>
                <w:szCs w:val="20"/>
              </w:rPr>
            </w:pPr>
            <w:r>
              <w:rPr>
                <w:rFonts w:ascii="Arial Narrow" w:hAnsi="Arial Narrow"/>
                <w:sz w:val="20"/>
                <w:szCs w:val="20"/>
              </w:rPr>
              <w:t>-</w:t>
            </w:r>
          </w:p>
        </w:tc>
        <w:tc>
          <w:tcPr>
            <w:tcW w:w="649" w:type="dxa"/>
            <w:vAlign w:val="center"/>
          </w:tcPr>
          <w:p w:rsidR="00565001" w:rsidRPr="00565001" w:rsidRDefault="00565001" w:rsidP="003B1283">
            <w:pPr>
              <w:jc w:val="center"/>
              <w:rPr>
                <w:rFonts w:ascii="Arial Narrow" w:hAnsi="Arial Narrow"/>
                <w:sz w:val="20"/>
                <w:szCs w:val="20"/>
              </w:rPr>
            </w:pPr>
            <w:r>
              <w:rPr>
                <w:rFonts w:ascii="Arial Narrow" w:hAnsi="Arial Narrow"/>
                <w:sz w:val="20"/>
                <w:szCs w:val="20"/>
              </w:rPr>
              <w:t>5-7</w:t>
            </w:r>
          </w:p>
        </w:tc>
        <w:tc>
          <w:tcPr>
            <w:tcW w:w="650" w:type="dxa"/>
            <w:vAlign w:val="center"/>
          </w:tcPr>
          <w:p w:rsidR="00565001" w:rsidRPr="0017686B" w:rsidRDefault="00565001" w:rsidP="003B1283">
            <w:pPr>
              <w:jc w:val="center"/>
              <w:rPr>
                <w:rFonts w:ascii="Arial Narrow" w:hAnsi="Arial Narrow"/>
                <w:sz w:val="20"/>
                <w:szCs w:val="20"/>
              </w:rPr>
            </w:pPr>
            <w:r>
              <w:rPr>
                <w:rFonts w:ascii="Arial Narrow" w:hAnsi="Arial Narrow"/>
                <w:sz w:val="20"/>
                <w:szCs w:val="20"/>
              </w:rPr>
              <w:t>-</w:t>
            </w:r>
          </w:p>
        </w:tc>
        <w:tc>
          <w:tcPr>
            <w:tcW w:w="578" w:type="dxa"/>
            <w:vAlign w:val="center"/>
          </w:tcPr>
          <w:p w:rsidR="00565001" w:rsidRPr="0017686B" w:rsidRDefault="00565001" w:rsidP="003B1283">
            <w:pPr>
              <w:jc w:val="center"/>
              <w:rPr>
                <w:rFonts w:ascii="Arial Narrow" w:hAnsi="Arial Narrow"/>
                <w:sz w:val="20"/>
                <w:szCs w:val="20"/>
              </w:rPr>
            </w:pPr>
            <w:r>
              <w:rPr>
                <w:rFonts w:ascii="Arial Narrow" w:hAnsi="Arial Narrow"/>
                <w:sz w:val="20"/>
                <w:szCs w:val="20"/>
              </w:rPr>
              <w:t>-</w:t>
            </w:r>
          </w:p>
        </w:tc>
        <w:tc>
          <w:tcPr>
            <w:tcW w:w="579" w:type="dxa"/>
            <w:vAlign w:val="center"/>
          </w:tcPr>
          <w:p w:rsidR="00565001" w:rsidRPr="0017686B" w:rsidRDefault="00565001" w:rsidP="003B1283">
            <w:pPr>
              <w:jc w:val="center"/>
              <w:rPr>
                <w:rFonts w:ascii="Arial Narrow" w:hAnsi="Arial Narrow"/>
                <w:sz w:val="20"/>
                <w:szCs w:val="20"/>
              </w:rPr>
            </w:pPr>
            <w:r>
              <w:rPr>
                <w:rFonts w:ascii="Arial Narrow" w:hAnsi="Arial Narrow"/>
                <w:sz w:val="20"/>
                <w:szCs w:val="20"/>
              </w:rPr>
              <w:t>-</w:t>
            </w:r>
          </w:p>
        </w:tc>
      </w:tr>
      <w:tr w:rsidR="00565001" w:rsidTr="0065113C">
        <w:tc>
          <w:tcPr>
            <w:tcW w:w="781" w:type="dxa"/>
          </w:tcPr>
          <w:p w:rsidR="00565001" w:rsidRPr="002B7218" w:rsidRDefault="00565001" w:rsidP="003B1283">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565001" w:rsidRPr="0017686B" w:rsidRDefault="00565001" w:rsidP="003B1283">
            <w:pPr>
              <w:jc w:val="center"/>
              <w:rPr>
                <w:rFonts w:ascii="Arial Narrow" w:hAnsi="Arial Narrow"/>
                <w:sz w:val="18"/>
                <w:szCs w:val="18"/>
              </w:rPr>
            </w:pPr>
            <w:r>
              <w:rPr>
                <w:rFonts w:ascii="Arial Narrow" w:hAnsi="Arial Narrow"/>
                <w:sz w:val="18"/>
                <w:szCs w:val="18"/>
              </w:rPr>
              <w:t>-</w:t>
            </w:r>
          </w:p>
        </w:tc>
        <w:tc>
          <w:tcPr>
            <w:tcW w:w="650" w:type="dxa"/>
            <w:vAlign w:val="center"/>
          </w:tcPr>
          <w:p w:rsidR="00565001" w:rsidRPr="0017686B" w:rsidRDefault="00565001" w:rsidP="003B1283">
            <w:pPr>
              <w:jc w:val="center"/>
              <w:rPr>
                <w:rFonts w:ascii="Arial Narrow" w:hAnsi="Arial Narrow"/>
                <w:sz w:val="18"/>
                <w:szCs w:val="18"/>
              </w:rPr>
            </w:pPr>
            <w:r>
              <w:rPr>
                <w:rFonts w:ascii="Arial Narrow" w:hAnsi="Arial Narrow"/>
                <w:sz w:val="18"/>
                <w:szCs w:val="18"/>
              </w:rPr>
              <w:t>-</w:t>
            </w:r>
          </w:p>
        </w:tc>
        <w:tc>
          <w:tcPr>
            <w:tcW w:w="649" w:type="dxa"/>
            <w:vAlign w:val="center"/>
          </w:tcPr>
          <w:p w:rsidR="00565001" w:rsidRPr="0017686B" w:rsidRDefault="00565001" w:rsidP="003B1283">
            <w:pPr>
              <w:jc w:val="center"/>
              <w:rPr>
                <w:rFonts w:ascii="Arial Narrow" w:hAnsi="Arial Narrow"/>
                <w:b/>
                <w:sz w:val="20"/>
                <w:szCs w:val="20"/>
              </w:rPr>
            </w:pPr>
            <w:r w:rsidRPr="0017686B">
              <w:rPr>
                <w:rFonts w:ascii="Arial Narrow" w:hAnsi="Arial Narrow"/>
                <w:sz w:val="18"/>
                <w:szCs w:val="18"/>
              </w:rPr>
              <w:t>A-B/ B</w:t>
            </w:r>
          </w:p>
        </w:tc>
        <w:tc>
          <w:tcPr>
            <w:tcW w:w="650" w:type="dxa"/>
            <w:vAlign w:val="center"/>
          </w:tcPr>
          <w:p w:rsidR="00565001" w:rsidRPr="0017686B" w:rsidRDefault="00565001" w:rsidP="003B1283">
            <w:pPr>
              <w:jc w:val="center"/>
              <w:rPr>
                <w:rFonts w:ascii="Arial Narrow" w:hAnsi="Arial Narrow"/>
                <w:sz w:val="18"/>
                <w:szCs w:val="18"/>
              </w:rPr>
            </w:pPr>
            <w:r>
              <w:rPr>
                <w:rFonts w:ascii="Arial Narrow" w:hAnsi="Arial Narrow"/>
                <w:sz w:val="18"/>
                <w:szCs w:val="18"/>
              </w:rPr>
              <w:t>-</w:t>
            </w:r>
          </w:p>
        </w:tc>
        <w:tc>
          <w:tcPr>
            <w:tcW w:w="578" w:type="dxa"/>
            <w:vAlign w:val="center"/>
          </w:tcPr>
          <w:p w:rsidR="00565001" w:rsidRPr="0017686B" w:rsidRDefault="00565001" w:rsidP="003B1283">
            <w:pPr>
              <w:jc w:val="center"/>
              <w:rPr>
                <w:rFonts w:ascii="Arial Narrow" w:hAnsi="Arial Narrow"/>
                <w:sz w:val="18"/>
                <w:szCs w:val="18"/>
              </w:rPr>
            </w:pPr>
            <w:r>
              <w:rPr>
                <w:rFonts w:ascii="Arial Narrow" w:hAnsi="Arial Narrow"/>
                <w:sz w:val="18"/>
                <w:szCs w:val="18"/>
              </w:rPr>
              <w:t>-</w:t>
            </w:r>
          </w:p>
        </w:tc>
        <w:tc>
          <w:tcPr>
            <w:tcW w:w="579" w:type="dxa"/>
            <w:vAlign w:val="center"/>
          </w:tcPr>
          <w:p w:rsidR="00565001" w:rsidRPr="0017686B" w:rsidRDefault="00565001" w:rsidP="003B1283">
            <w:pPr>
              <w:jc w:val="center"/>
              <w:rPr>
                <w:rFonts w:ascii="Arial Narrow" w:hAnsi="Arial Narrow"/>
                <w:sz w:val="18"/>
                <w:szCs w:val="18"/>
              </w:rPr>
            </w:pPr>
            <w:r>
              <w:rPr>
                <w:rFonts w:ascii="Arial Narrow" w:hAnsi="Arial Narrow"/>
                <w:sz w:val="18"/>
                <w:szCs w:val="18"/>
              </w:rPr>
              <w:t>-</w:t>
            </w:r>
          </w:p>
        </w:tc>
      </w:tr>
    </w:tbl>
    <w:p w:rsidR="006470EE" w:rsidRDefault="006470EE" w:rsidP="003B1283">
      <w:pPr>
        <w:spacing w:before="120"/>
        <w:ind w:firstLine="170"/>
        <w:jc w:val="both"/>
        <w:rPr>
          <w:rFonts w:ascii="Arial Narrow" w:hAnsi="Arial Narrow" w:cs="Arial Narrow"/>
          <w:noProof/>
          <w:sz w:val="20"/>
          <w:szCs w:val="20"/>
          <w:lang w:eastAsia="en-US" w:bidi="ar-SA"/>
        </w:rPr>
      </w:pPr>
      <w:r>
        <w:rPr>
          <w:rFonts w:ascii="Arial Narrow" w:hAnsi="Arial Narrow" w:cs="Arial Narrow"/>
          <w:sz w:val="20"/>
          <w:szCs w:val="20"/>
          <w:lang w:eastAsia="bg-BG" w:bidi="ar-SA"/>
        </w:rPr>
        <w:t>The pollutant dispersion in atmosphere was calculated by Gaussian dispersion equation (</w:t>
      </w:r>
      <w:proofErr w:type="spellStart"/>
      <w:r>
        <w:rPr>
          <w:rFonts w:ascii="Arial Narrow" w:hAnsi="Arial Narrow" w:cs="Arial Narrow"/>
          <w:sz w:val="20"/>
          <w:szCs w:val="20"/>
          <w:lang w:eastAsia="bg-BG" w:bidi="ar-SA"/>
        </w:rPr>
        <w:t>Beychok</w:t>
      </w:r>
      <w:proofErr w:type="spellEnd"/>
      <w:r>
        <w:rPr>
          <w:rFonts w:ascii="Arial Narrow" w:hAnsi="Arial Narrow" w:cs="Arial Narrow"/>
          <w:sz w:val="20"/>
          <w:szCs w:val="20"/>
          <w:lang w:eastAsia="bg-BG" w:bidi="ar-SA"/>
        </w:rPr>
        <w:t xml:space="preserve">, 2005) having in mind the relevant climatic conditions and the effective plume rise height (he). The latter was determined by the Briggs equation (Briggs, 1965). </w:t>
      </w:r>
      <w:r w:rsidRPr="00D70E92">
        <w:rPr>
          <w:rFonts w:ascii="Arial Narrow" w:hAnsi="Arial Narrow" w:cs="Arial Narrow"/>
          <w:sz w:val="20"/>
          <w:szCs w:val="20"/>
          <w:lang w:eastAsia="bg-BG" w:bidi="ar-SA"/>
        </w:rPr>
        <w:t>The</w:t>
      </w:r>
      <w:r>
        <w:rPr>
          <w:rFonts w:ascii="Arial Narrow" w:hAnsi="Arial Narrow" w:cs="Arial Narrow"/>
          <w:sz w:val="20"/>
          <w:szCs w:val="20"/>
          <w:lang w:eastAsia="bg-BG" w:bidi="ar-SA"/>
        </w:rPr>
        <w:t xml:space="preserve"> correction of wind-speed elevation at 200 m height was adjusted by the wind power law (Peterson &amp; Hennessey, 1978).</w:t>
      </w:r>
    </w:p>
    <w:p w:rsidR="00F4037A" w:rsidRDefault="00F4037A" w:rsidP="003B1283">
      <w:pPr>
        <w:jc w:val="both"/>
        <w:rPr>
          <w:rFonts w:ascii="Arial Narrow" w:hAnsi="Arial Narrow"/>
          <w:sz w:val="20"/>
          <w:szCs w:val="20"/>
        </w:rPr>
      </w:pPr>
    </w:p>
    <w:p w:rsidR="00EB20AB" w:rsidRDefault="00EB20AB" w:rsidP="003B1283">
      <w:pPr>
        <w:jc w:val="both"/>
        <w:rPr>
          <w:rFonts w:ascii="Arial Narrow" w:hAnsi="Arial Narrow"/>
          <w:sz w:val="20"/>
          <w:szCs w:val="20"/>
        </w:rPr>
      </w:pPr>
    </w:p>
    <w:p w:rsidR="005217D1" w:rsidRDefault="005217D1" w:rsidP="003B1283">
      <w:pPr>
        <w:jc w:val="both"/>
        <w:rPr>
          <w:rFonts w:cs="Times New Roman"/>
          <w:b/>
          <w:lang w:eastAsia="bg-BG" w:bidi="ar-SA"/>
        </w:rPr>
      </w:pPr>
      <w:r>
        <w:rPr>
          <w:rFonts w:ascii="Arial Narrow" w:hAnsi="Arial Narrow" w:cs="Arial Narrow"/>
          <w:b/>
          <w:bCs/>
          <w:lang w:val="bg-BG" w:eastAsia="bg-BG" w:bidi="ar-SA"/>
        </w:rPr>
        <w:t>RESULTS AND DISCUSSION</w:t>
      </w:r>
    </w:p>
    <w:p w:rsidR="00397B91" w:rsidRDefault="0012647A" w:rsidP="003B1283">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TPP “</w:t>
      </w:r>
      <w:proofErr w:type="spellStart"/>
      <w:r>
        <w:rPr>
          <w:rFonts w:ascii="Arial Narrow" w:hAnsi="Arial Narrow" w:cs="Arial Narrow"/>
          <w:sz w:val="20"/>
          <w:szCs w:val="20"/>
          <w:lang w:eastAsia="bg-BG" w:bidi="ar-SA"/>
        </w:rPr>
        <w:t>Bobov</w:t>
      </w:r>
      <w:proofErr w:type="spellEnd"/>
      <w:r>
        <w:rPr>
          <w:rFonts w:ascii="Arial Narrow" w:hAnsi="Arial Narrow" w:cs="Arial Narrow"/>
          <w:sz w:val="20"/>
          <w:szCs w:val="20"/>
          <w:lang w:eastAsia="bg-BG" w:bidi="ar-SA"/>
        </w:rPr>
        <w:t xml:space="preserve"> </w:t>
      </w:r>
      <w:proofErr w:type="spellStart"/>
      <w:r>
        <w:rPr>
          <w:rFonts w:ascii="Arial Narrow" w:hAnsi="Arial Narrow" w:cs="Arial Narrow"/>
          <w:sz w:val="20"/>
          <w:szCs w:val="20"/>
          <w:lang w:eastAsia="bg-BG" w:bidi="ar-SA"/>
        </w:rPr>
        <w:t>dol</w:t>
      </w:r>
      <w:proofErr w:type="spellEnd"/>
      <w:r>
        <w:rPr>
          <w:rFonts w:ascii="Arial Narrow" w:hAnsi="Arial Narrow" w:cs="Arial Narrow"/>
          <w:sz w:val="20"/>
          <w:szCs w:val="20"/>
          <w:lang w:eastAsia="bg-BG" w:bidi="ar-SA"/>
        </w:rPr>
        <w:t>” is situated at a</w:t>
      </w:r>
      <w:r w:rsidR="001D3F3A">
        <w:rPr>
          <w:rFonts w:ascii="Arial Narrow" w:hAnsi="Arial Narrow" w:cs="Arial Narrow"/>
          <w:sz w:val="20"/>
          <w:szCs w:val="20"/>
          <w:lang w:eastAsia="bg-BG" w:bidi="ar-SA"/>
        </w:rPr>
        <w:t>l</w:t>
      </w:r>
      <w:r>
        <w:rPr>
          <w:rFonts w:ascii="Arial Narrow" w:hAnsi="Arial Narrow" w:cs="Arial Narrow"/>
          <w:sz w:val="20"/>
          <w:szCs w:val="20"/>
          <w:lang w:eastAsia="bg-BG" w:bidi="ar-SA"/>
        </w:rPr>
        <w:t xml:space="preserve">titude of approximately 690 m and it is surrounded by the </w:t>
      </w:r>
      <w:proofErr w:type="spellStart"/>
      <w:r>
        <w:rPr>
          <w:rFonts w:ascii="Arial Narrow" w:hAnsi="Arial Narrow" w:cs="Arial Narrow"/>
          <w:sz w:val="20"/>
          <w:szCs w:val="20"/>
          <w:lang w:eastAsia="bg-BG" w:bidi="ar-SA"/>
        </w:rPr>
        <w:t>Konyavska</w:t>
      </w:r>
      <w:proofErr w:type="spellEnd"/>
      <w:r>
        <w:rPr>
          <w:rFonts w:ascii="Arial Narrow" w:hAnsi="Arial Narrow" w:cs="Arial Narrow"/>
          <w:sz w:val="20"/>
          <w:szCs w:val="20"/>
          <w:lang w:eastAsia="bg-BG" w:bidi="ar-SA"/>
        </w:rPr>
        <w:t xml:space="preserve"> </w:t>
      </w:r>
      <w:r w:rsidR="00D84B25">
        <w:rPr>
          <w:rFonts w:ascii="Arial Narrow" w:hAnsi="Arial Narrow" w:cs="Arial Narrow"/>
          <w:sz w:val="20"/>
          <w:szCs w:val="20"/>
          <w:lang w:eastAsia="bg-BG" w:bidi="ar-SA"/>
        </w:rPr>
        <w:t>Mountain.</w:t>
      </w:r>
      <w:r w:rsidR="00397B91">
        <w:rPr>
          <w:rFonts w:ascii="Arial Narrow" w:hAnsi="Arial Narrow" w:cs="Arial Narrow"/>
          <w:sz w:val="20"/>
          <w:szCs w:val="20"/>
          <w:lang w:eastAsia="bg-BG" w:bidi="ar-SA"/>
        </w:rPr>
        <w:t xml:space="preserve"> In north direction at a distance of 20 km by air is situated </w:t>
      </w:r>
      <w:proofErr w:type="spellStart"/>
      <w:r w:rsidR="00397B91">
        <w:rPr>
          <w:rFonts w:ascii="Arial Narrow" w:hAnsi="Arial Narrow" w:cs="Arial Narrow"/>
          <w:sz w:val="20"/>
          <w:szCs w:val="20"/>
          <w:lang w:eastAsia="bg-BG" w:bidi="ar-SA"/>
        </w:rPr>
        <w:t>Radomir</w:t>
      </w:r>
      <w:proofErr w:type="spellEnd"/>
      <w:r w:rsidR="00397B91">
        <w:rPr>
          <w:rFonts w:ascii="Arial Narrow" w:hAnsi="Arial Narrow" w:cs="Arial Narrow"/>
          <w:sz w:val="20"/>
          <w:szCs w:val="20"/>
          <w:lang w:eastAsia="bg-BG" w:bidi="ar-SA"/>
        </w:rPr>
        <w:t xml:space="preserve"> town, which population is within the range of </w:t>
      </w:r>
      <w:r w:rsidR="00397B91">
        <w:rPr>
          <w:rFonts w:ascii="Arial Narrow" w:hAnsi="Arial Narrow" w:cs="Arial Narrow"/>
          <w:sz w:val="20"/>
          <w:szCs w:val="20"/>
          <w:lang w:val="bg-BG" w:eastAsia="bg-BG" w:bidi="ar-SA"/>
        </w:rPr>
        <w:t xml:space="preserve">14 000 </w:t>
      </w:r>
      <w:r w:rsidR="00397B91">
        <w:rPr>
          <w:rFonts w:ascii="Arial Narrow" w:hAnsi="Arial Narrow" w:cs="Arial Narrow"/>
          <w:sz w:val="20"/>
          <w:szCs w:val="20"/>
          <w:lang w:eastAsia="bg-BG" w:bidi="ar-SA"/>
        </w:rPr>
        <w:t xml:space="preserve">people. In southeast and southwest direction at a distance of </w:t>
      </w:r>
      <w:r w:rsidR="00397B91">
        <w:rPr>
          <w:rFonts w:ascii="Arial Narrow" w:hAnsi="Arial Narrow" w:cs="Arial Narrow"/>
          <w:sz w:val="20"/>
          <w:szCs w:val="20"/>
          <w:lang w:val="bg-BG" w:eastAsia="bg-BG" w:bidi="ar-SA"/>
        </w:rPr>
        <w:t>14</w:t>
      </w:r>
      <w:r w:rsidR="00397B91">
        <w:rPr>
          <w:rFonts w:ascii="Arial Narrow" w:hAnsi="Arial Narrow" w:cs="Arial Narrow"/>
          <w:sz w:val="20"/>
          <w:szCs w:val="20"/>
          <w:lang w:eastAsia="bg-BG" w:bidi="ar-SA"/>
        </w:rPr>
        <w:t xml:space="preserve">.5 and </w:t>
      </w:r>
      <w:r w:rsidR="00397B91">
        <w:rPr>
          <w:rFonts w:ascii="Arial Narrow" w:hAnsi="Arial Narrow" w:cs="Arial Narrow"/>
          <w:sz w:val="20"/>
          <w:szCs w:val="20"/>
          <w:lang w:val="bg-BG" w:eastAsia="bg-BG" w:bidi="ar-SA"/>
        </w:rPr>
        <w:t>27</w:t>
      </w:r>
      <w:r w:rsidR="00397B91">
        <w:rPr>
          <w:rFonts w:ascii="Arial Narrow" w:hAnsi="Arial Narrow" w:cs="Arial Narrow"/>
          <w:sz w:val="20"/>
          <w:szCs w:val="20"/>
          <w:lang w:eastAsia="bg-BG" w:bidi="ar-SA"/>
        </w:rPr>
        <w:t>.</w:t>
      </w:r>
      <w:r w:rsidR="00397B91">
        <w:rPr>
          <w:rFonts w:ascii="Arial Narrow" w:hAnsi="Arial Narrow" w:cs="Arial Narrow"/>
          <w:sz w:val="20"/>
          <w:szCs w:val="20"/>
          <w:lang w:val="bg-BG" w:eastAsia="bg-BG" w:bidi="ar-SA"/>
        </w:rPr>
        <w:t>0</w:t>
      </w:r>
      <w:r w:rsidR="00397B91">
        <w:rPr>
          <w:rFonts w:ascii="Arial Narrow" w:hAnsi="Arial Narrow" w:cs="Arial Narrow"/>
          <w:sz w:val="20"/>
          <w:szCs w:val="20"/>
          <w:lang w:eastAsia="bg-BG" w:bidi="ar-SA"/>
        </w:rPr>
        <w:t xml:space="preserve"> km by air are situated </w:t>
      </w:r>
      <w:proofErr w:type="spellStart"/>
      <w:r w:rsidR="00397B91">
        <w:rPr>
          <w:rFonts w:ascii="Arial Narrow" w:hAnsi="Arial Narrow" w:cs="Arial Narrow"/>
          <w:sz w:val="20"/>
          <w:szCs w:val="20"/>
          <w:lang w:eastAsia="bg-BG" w:bidi="ar-SA"/>
        </w:rPr>
        <w:t>Dupnitza</w:t>
      </w:r>
      <w:proofErr w:type="spellEnd"/>
      <w:r w:rsidR="00397B91">
        <w:rPr>
          <w:rFonts w:ascii="Arial Narrow" w:hAnsi="Arial Narrow" w:cs="Arial Narrow"/>
          <w:sz w:val="20"/>
          <w:szCs w:val="20"/>
          <w:lang w:eastAsia="bg-BG" w:bidi="ar-SA"/>
        </w:rPr>
        <w:t xml:space="preserve"> and </w:t>
      </w:r>
      <w:proofErr w:type="spellStart"/>
      <w:r w:rsidR="00397B91">
        <w:rPr>
          <w:rFonts w:ascii="Arial Narrow" w:hAnsi="Arial Narrow" w:cs="Arial Narrow"/>
          <w:sz w:val="20"/>
          <w:szCs w:val="20"/>
          <w:lang w:eastAsia="bg-BG" w:bidi="ar-SA"/>
        </w:rPr>
        <w:t>Kyustendil</w:t>
      </w:r>
      <w:proofErr w:type="spellEnd"/>
      <w:r w:rsidR="00397B91">
        <w:rPr>
          <w:rFonts w:ascii="Arial Narrow" w:hAnsi="Arial Narrow" w:cs="Arial Narrow"/>
          <w:sz w:val="20"/>
          <w:szCs w:val="20"/>
          <w:lang w:eastAsia="bg-BG" w:bidi="ar-SA"/>
        </w:rPr>
        <w:t xml:space="preserve"> towns with 37 000 and 47 500 inhabitants, respectively.</w:t>
      </w:r>
    </w:p>
    <w:p w:rsidR="0078054D" w:rsidRDefault="00397B91" w:rsidP="00D35161">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The studied period</w:t>
      </w:r>
      <w:r w:rsidRPr="00B12B2A">
        <w:rPr>
          <w:rFonts w:ascii="Arial Narrow" w:hAnsi="Arial Narrow" w:cs="Arial Narrow"/>
          <w:lang w:eastAsia="bg-BG" w:bidi="ar-SA"/>
        </w:rPr>
        <w:t xml:space="preserve">, </w:t>
      </w:r>
      <w:r w:rsidRPr="00B12B2A">
        <w:rPr>
          <w:rFonts w:ascii="Arial Narrow" w:hAnsi="Arial Narrow"/>
          <w:sz w:val="20"/>
          <w:szCs w:val="20"/>
        </w:rPr>
        <w:t>November 2014-February 2015</w:t>
      </w:r>
      <w:r>
        <w:rPr>
          <w:rFonts w:ascii="Arial Narrow" w:hAnsi="Arial Narrow"/>
          <w:sz w:val="20"/>
          <w:szCs w:val="20"/>
        </w:rPr>
        <w:t>, covered approximately the second part of the autumn and the first part of the winter, when TPP “</w:t>
      </w:r>
      <w:proofErr w:type="spellStart"/>
      <w:r>
        <w:rPr>
          <w:rFonts w:ascii="Arial Narrow" w:hAnsi="Arial Narrow"/>
          <w:sz w:val="20"/>
          <w:szCs w:val="20"/>
        </w:rPr>
        <w:t>Bobov</w:t>
      </w:r>
      <w:proofErr w:type="spellEnd"/>
      <w:r>
        <w:rPr>
          <w:rFonts w:ascii="Arial Narrow" w:hAnsi="Arial Narrow"/>
          <w:sz w:val="20"/>
          <w:szCs w:val="20"/>
        </w:rPr>
        <w:t xml:space="preserve"> </w:t>
      </w:r>
      <w:proofErr w:type="spellStart"/>
      <w:r>
        <w:rPr>
          <w:rFonts w:ascii="Arial Narrow" w:hAnsi="Arial Narrow"/>
          <w:sz w:val="20"/>
          <w:szCs w:val="20"/>
        </w:rPr>
        <w:t>dol</w:t>
      </w:r>
      <w:proofErr w:type="spellEnd"/>
      <w:r>
        <w:rPr>
          <w:rFonts w:ascii="Arial Narrow" w:hAnsi="Arial Narrow"/>
          <w:sz w:val="20"/>
          <w:szCs w:val="20"/>
        </w:rPr>
        <w:t xml:space="preserve">” worked continuously because of the higher demand of energy. During the day (08-18 h), the </w:t>
      </w:r>
      <w:r w:rsidR="00565559">
        <w:rPr>
          <w:rFonts w:ascii="Arial Narrow" w:hAnsi="Arial Narrow"/>
          <w:sz w:val="20"/>
          <w:szCs w:val="20"/>
        </w:rPr>
        <w:t xml:space="preserve">south </w:t>
      </w:r>
      <w:r>
        <w:rPr>
          <w:rFonts w:ascii="Arial Narrow" w:hAnsi="Arial Narrow"/>
          <w:sz w:val="20"/>
          <w:szCs w:val="20"/>
        </w:rPr>
        <w:t xml:space="preserve">wind was dominated </w:t>
      </w:r>
      <w:r w:rsidR="00565559">
        <w:rPr>
          <w:rFonts w:ascii="Arial Narrow" w:hAnsi="Arial Narrow"/>
          <w:sz w:val="20"/>
          <w:szCs w:val="20"/>
        </w:rPr>
        <w:t xml:space="preserve">distinctively </w:t>
      </w:r>
      <w:r>
        <w:rPr>
          <w:rFonts w:ascii="Arial Narrow" w:hAnsi="Arial Narrow"/>
          <w:sz w:val="20"/>
          <w:szCs w:val="20"/>
        </w:rPr>
        <w:t>which determined the positive daily air temperature even during December and January (Table 4). The incoming solar radiation steadily decreased and for that reason, the ration A-B: B: C stability classes of atmosphere</w:t>
      </w:r>
      <w:r w:rsidR="00D35161">
        <w:rPr>
          <w:rFonts w:ascii="Arial Narrow" w:hAnsi="Arial Narrow"/>
          <w:sz w:val="20"/>
          <w:szCs w:val="20"/>
        </w:rPr>
        <w:t xml:space="preserve"> changed</w:t>
      </w:r>
      <w:r>
        <w:rPr>
          <w:rFonts w:ascii="Arial Narrow" w:hAnsi="Arial Narrow"/>
          <w:sz w:val="20"/>
          <w:szCs w:val="20"/>
        </w:rPr>
        <w:t xml:space="preserve"> </w:t>
      </w:r>
      <w:r w:rsidR="00D35161">
        <w:rPr>
          <w:rFonts w:ascii="Arial Narrow" w:hAnsi="Arial Narrow"/>
          <w:sz w:val="20"/>
          <w:szCs w:val="20"/>
        </w:rPr>
        <w:t xml:space="preserve">from </w:t>
      </w:r>
      <w:r w:rsidR="001D3F3A">
        <w:rPr>
          <w:rFonts w:ascii="Arial Narrow" w:hAnsi="Arial Narrow"/>
          <w:sz w:val="20"/>
          <w:szCs w:val="20"/>
        </w:rPr>
        <w:br w:type="column"/>
      </w:r>
      <w:r w:rsidR="0078054D" w:rsidRPr="0078054D">
        <w:rPr>
          <w:rFonts w:ascii="Arial Narrow" w:hAnsi="Arial Narrow" w:cs="Arial Narrow"/>
          <w:noProof/>
          <w:sz w:val="20"/>
          <w:szCs w:val="20"/>
          <w:lang w:val="bg-BG" w:eastAsia="bg-BG" w:bidi="ar-SA"/>
        </w:rPr>
        <w:lastRenderedPageBreak/>
        <w:drawing>
          <wp:inline distT="0" distB="0" distL="0" distR="0" wp14:anchorId="319391AB" wp14:editId="054825D7">
            <wp:extent cx="2915920" cy="2388112"/>
            <wp:effectExtent l="0" t="0" r="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36BB" w:rsidRPr="00EA36BB" w:rsidRDefault="00EA36BB" w:rsidP="003B1283">
      <w:pPr>
        <w:jc w:val="both"/>
        <w:rPr>
          <w:rFonts w:ascii="Arial Narrow" w:hAnsi="Arial Narrow" w:cs="Arial Narrow"/>
          <w:sz w:val="20"/>
          <w:szCs w:val="20"/>
          <w:lang w:eastAsia="bg-BG" w:bidi="ar-SA"/>
        </w:rPr>
      </w:pPr>
    </w:p>
    <w:p w:rsidR="0078054D" w:rsidRPr="00D35161" w:rsidRDefault="0078054D" w:rsidP="003B1283">
      <w:pPr>
        <w:jc w:val="both"/>
        <w:rPr>
          <w:rFonts w:ascii="Arial Narrow" w:hAnsi="Arial Narrow" w:cs="Times New Roman"/>
          <w:sz w:val="16"/>
          <w:szCs w:val="16"/>
          <w:lang w:eastAsia="bg-BG" w:bidi="ar-SA"/>
        </w:rPr>
      </w:pPr>
      <w:proofErr w:type="gramStart"/>
      <w:r w:rsidRPr="00D35161">
        <w:rPr>
          <w:rFonts w:ascii="Arial Narrow" w:hAnsi="Arial Narrow" w:cs="Arial Narrow"/>
          <w:b/>
          <w:sz w:val="16"/>
          <w:szCs w:val="16"/>
          <w:lang w:eastAsia="bg-BG" w:bidi="ar-SA"/>
        </w:rPr>
        <w:t>Fig.</w:t>
      </w:r>
      <w:r w:rsidR="00900989" w:rsidRPr="00D35161">
        <w:rPr>
          <w:rFonts w:ascii="Arial Narrow" w:hAnsi="Arial Narrow" w:cs="Arial Narrow"/>
          <w:b/>
          <w:sz w:val="16"/>
          <w:szCs w:val="16"/>
          <w:lang w:eastAsia="bg-BG" w:bidi="ar-SA"/>
        </w:rPr>
        <w:t xml:space="preserve"> 1</w:t>
      </w:r>
      <w:r w:rsidRPr="00D35161">
        <w:rPr>
          <w:rFonts w:ascii="Arial Narrow" w:hAnsi="Arial Narrow" w:cs="Arial Narrow"/>
          <w:b/>
          <w:sz w:val="16"/>
          <w:szCs w:val="16"/>
          <w:lang w:eastAsia="bg-BG" w:bidi="ar-SA"/>
        </w:rPr>
        <w:t>.</w:t>
      </w:r>
      <w:proofErr w:type="gramEnd"/>
      <w:r w:rsidRPr="00D35161">
        <w:rPr>
          <w:rFonts w:ascii="Arial Narrow" w:hAnsi="Arial Narrow" w:cs="Arial Narrow"/>
          <w:b/>
          <w:sz w:val="16"/>
          <w:szCs w:val="16"/>
          <w:lang w:eastAsia="bg-BG" w:bidi="ar-SA"/>
        </w:rPr>
        <w:t xml:space="preserve"> </w:t>
      </w:r>
      <w:r w:rsidR="0038267B" w:rsidRPr="00D35161">
        <w:rPr>
          <w:rFonts w:ascii="Arial Narrow" w:hAnsi="Arial Narrow" w:cs="Arial Narrow"/>
          <w:b/>
          <w:sz w:val="16"/>
          <w:szCs w:val="16"/>
          <w:lang w:eastAsia="bg-BG" w:bidi="ar-SA"/>
        </w:rPr>
        <w:t xml:space="preserve">The wind rose </w:t>
      </w:r>
      <w:r w:rsidR="00954DC9" w:rsidRPr="00D35161">
        <w:rPr>
          <w:rFonts w:ascii="Arial Narrow" w:hAnsi="Arial Narrow" w:cs="Arial Narrow"/>
          <w:b/>
          <w:sz w:val="16"/>
          <w:szCs w:val="16"/>
          <w:lang w:eastAsia="bg-BG" w:bidi="ar-SA"/>
        </w:rPr>
        <w:t xml:space="preserve">of </w:t>
      </w:r>
      <w:r w:rsidR="0038267B" w:rsidRPr="00D35161">
        <w:rPr>
          <w:rFonts w:ascii="Arial Narrow" w:hAnsi="Arial Narrow" w:cs="Arial Narrow"/>
          <w:b/>
          <w:sz w:val="16"/>
          <w:szCs w:val="16"/>
          <w:lang w:eastAsia="bg-BG" w:bidi="ar-SA"/>
        </w:rPr>
        <w:t>the area around TPP ‘’</w:t>
      </w:r>
      <w:proofErr w:type="spellStart"/>
      <w:r w:rsidR="0038267B" w:rsidRPr="00D35161">
        <w:rPr>
          <w:rFonts w:ascii="Arial Narrow" w:hAnsi="Arial Narrow" w:cs="Arial Narrow"/>
          <w:b/>
          <w:sz w:val="16"/>
          <w:szCs w:val="16"/>
          <w:lang w:eastAsia="bg-BG" w:bidi="ar-SA"/>
        </w:rPr>
        <w:t>Bobov</w:t>
      </w:r>
      <w:proofErr w:type="spellEnd"/>
      <w:r w:rsidR="0038267B" w:rsidRPr="00D35161">
        <w:rPr>
          <w:rFonts w:ascii="Arial Narrow" w:hAnsi="Arial Narrow" w:cs="Arial Narrow"/>
          <w:b/>
          <w:sz w:val="16"/>
          <w:szCs w:val="16"/>
          <w:lang w:eastAsia="bg-BG" w:bidi="ar-SA"/>
        </w:rPr>
        <w:t xml:space="preserve"> </w:t>
      </w:r>
      <w:proofErr w:type="spellStart"/>
      <w:r w:rsidR="0038267B" w:rsidRPr="00D35161">
        <w:rPr>
          <w:rFonts w:ascii="Arial Narrow" w:hAnsi="Arial Narrow" w:cs="Arial Narrow"/>
          <w:b/>
          <w:sz w:val="16"/>
          <w:szCs w:val="16"/>
          <w:lang w:eastAsia="bg-BG" w:bidi="ar-SA"/>
        </w:rPr>
        <w:t>dol</w:t>
      </w:r>
      <w:proofErr w:type="spellEnd"/>
      <w:r w:rsidR="0038267B" w:rsidRPr="00D35161">
        <w:rPr>
          <w:rFonts w:ascii="Arial Narrow" w:hAnsi="Arial Narrow" w:cs="Arial Narrow"/>
          <w:b/>
          <w:sz w:val="16"/>
          <w:szCs w:val="16"/>
          <w:lang w:eastAsia="bg-BG" w:bidi="ar-SA"/>
        </w:rPr>
        <w:t>” for the day (08-18 h)</w:t>
      </w:r>
    </w:p>
    <w:p w:rsidR="00397B91" w:rsidRDefault="00397B91" w:rsidP="003B1283">
      <w:pPr>
        <w:ind w:firstLine="284"/>
        <w:jc w:val="both"/>
        <w:rPr>
          <w:rFonts w:ascii="Arial Narrow" w:hAnsi="Arial Narrow" w:cs="Times New Roman"/>
          <w:sz w:val="20"/>
          <w:szCs w:val="20"/>
        </w:rPr>
      </w:pPr>
    </w:p>
    <w:p w:rsidR="00EC619C" w:rsidRDefault="006470EE" w:rsidP="003B1283">
      <w:pPr>
        <w:jc w:val="both"/>
        <w:rPr>
          <w:rFonts w:ascii="Arial Narrow" w:hAnsi="Arial Narrow" w:cs="Times New Roman"/>
          <w:sz w:val="20"/>
          <w:szCs w:val="20"/>
        </w:rPr>
      </w:pPr>
      <w:proofErr w:type="gramStart"/>
      <w:r>
        <w:rPr>
          <w:rFonts w:ascii="Arial Narrow" w:hAnsi="Arial Narrow"/>
          <w:sz w:val="20"/>
          <w:szCs w:val="20"/>
        </w:rPr>
        <w:t>almost</w:t>
      </w:r>
      <w:proofErr w:type="gramEnd"/>
      <w:r>
        <w:rPr>
          <w:rFonts w:ascii="Arial Narrow" w:hAnsi="Arial Narrow"/>
          <w:sz w:val="20"/>
          <w:szCs w:val="20"/>
        </w:rPr>
        <w:t xml:space="preserve"> equal for November to the sole domination of classes B and C for January. In the same way, the averaged air temperature changed from +10 - +11 </w:t>
      </w:r>
      <w:r>
        <w:rPr>
          <w:rFonts w:cs="Times New Roman"/>
          <w:sz w:val="20"/>
          <w:szCs w:val="20"/>
        </w:rPr>
        <w:t>°</w:t>
      </w:r>
      <w:r>
        <w:rPr>
          <w:rFonts w:ascii="Arial Narrow" w:hAnsi="Arial Narrow"/>
          <w:sz w:val="20"/>
          <w:szCs w:val="20"/>
        </w:rPr>
        <w:t xml:space="preserve">C for November to +2.8 - + 4.8 </w:t>
      </w:r>
      <w:r>
        <w:rPr>
          <w:rFonts w:cs="Times New Roman"/>
          <w:sz w:val="20"/>
          <w:szCs w:val="20"/>
        </w:rPr>
        <w:t xml:space="preserve">°C. </w:t>
      </w:r>
      <w:r w:rsidRPr="00186259">
        <w:rPr>
          <w:rFonts w:ascii="Arial Narrow" w:hAnsi="Arial Narrow" w:cs="Times New Roman"/>
          <w:sz w:val="20"/>
          <w:szCs w:val="20"/>
        </w:rPr>
        <w:t>Regardless</w:t>
      </w:r>
      <w:r>
        <w:rPr>
          <w:rFonts w:ascii="Arial Narrow" w:hAnsi="Arial Narrow" w:cs="Times New Roman"/>
          <w:sz w:val="20"/>
          <w:szCs w:val="20"/>
        </w:rPr>
        <w:t xml:space="preserve"> of the month during the studied period, the dominant speed of south wind was in the range of 0-2 m/s, as lower incoming solar radiation was as higher was the wind speed. In January, there was uncommon period in which the lower incoming solar radiation was </w:t>
      </w:r>
      <w:r w:rsidR="001D1CC3">
        <w:rPr>
          <w:rFonts w:ascii="Arial Narrow" w:hAnsi="Arial Narrow" w:cs="Times New Roman"/>
          <w:sz w:val="20"/>
          <w:szCs w:val="20"/>
        </w:rPr>
        <w:t xml:space="preserve">combined with </w:t>
      </w:r>
      <w:r w:rsidR="00186259">
        <w:rPr>
          <w:rFonts w:ascii="Arial Narrow" w:hAnsi="Arial Narrow" w:cs="Times New Roman"/>
          <w:sz w:val="20"/>
          <w:szCs w:val="20"/>
        </w:rPr>
        <w:t xml:space="preserve">south wind with speed higher </w:t>
      </w:r>
      <w:r w:rsidR="00EC619C">
        <w:rPr>
          <w:rFonts w:ascii="Arial Narrow" w:hAnsi="Arial Narrow" w:cs="Times New Roman"/>
          <w:sz w:val="20"/>
          <w:szCs w:val="20"/>
        </w:rPr>
        <w:t>than</w:t>
      </w:r>
      <w:r w:rsidR="00186259">
        <w:rPr>
          <w:rFonts w:ascii="Arial Narrow" w:hAnsi="Arial Narrow" w:cs="Times New Roman"/>
          <w:sz w:val="20"/>
          <w:szCs w:val="20"/>
        </w:rPr>
        <w:t xml:space="preserve"> 6.5 m/s</w:t>
      </w:r>
      <w:r w:rsidR="001D1CC3">
        <w:rPr>
          <w:rFonts w:ascii="Arial Narrow" w:hAnsi="Arial Narrow" w:cs="Times New Roman"/>
          <w:sz w:val="20"/>
          <w:szCs w:val="20"/>
        </w:rPr>
        <w:t xml:space="preserve">. That combination </w:t>
      </w:r>
      <w:r w:rsidR="00EC619C">
        <w:rPr>
          <w:rFonts w:ascii="Arial Narrow" w:hAnsi="Arial Narrow" w:cs="Times New Roman"/>
          <w:sz w:val="20"/>
          <w:szCs w:val="20"/>
        </w:rPr>
        <w:t>determined Class D of atmospher</w:t>
      </w:r>
      <w:r w:rsidR="00FE1221">
        <w:rPr>
          <w:rFonts w:ascii="Arial Narrow" w:hAnsi="Arial Narrow" w:cs="Times New Roman"/>
          <w:sz w:val="20"/>
          <w:szCs w:val="20"/>
        </w:rPr>
        <w:t xml:space="preserve">e </w:t>
      </w:r>
      <w:r w:rsidR="00EC619C">
        <w:rPr>
          <w:rFonts w:ascii="Arial Narrow" w:hAnsi="Arial Narrow" w:cs="Times New Roman"/>
          <w:sz w:val="20"/>
          <w:szCs w:val="20"/>
        </w:rPr>
        <w:t>stability.</w:t>
      </w:r>
    </w:p>
    <w:p w:rsidR="0084017A" w:rsidRDefault="00EC619C" w:rsidP="003B1283">
      <w:pPr>
        <w:spacing w:before="120"/>
        <w:ind w:firstLine="170"/>
        <w:jc w:val="both"/>
        <w:rPr>
          <w:rFonts w:ascii="Arial Narrow" w:hAnsi="Arial Narrow" w:cs="Times New Roman"/>
          <w:sz w:val="20"/>
          <w:szCs w:val="20"/>
        </w:rPr>
      </w:pPr>
      <w:r>
        <w:rPr>
          <w:rFonts w:ascii="Arial Narrow" w:hAnsi="Arial Narrow" w:cs="Times New Roman"/>
          <w:sz w:val="20"/>
          <w:szCs w:val="20"/>
        </w:rPr>
        <w:t>During the day</w:t>
      </w:r>
      <w:r w:rsidR="00F91230">
        <w:rPr>
          <w:rFonts w:ascii="Arial Narrow" w:hAnsi="Arial Narrow" w:cs="Times New Roman"/>
          <w:sz w:val="20"/>
          <w:szCs w:val="20"/>
        </w:rPr>
        <w:t>,</w:t>
      </w:r>
      <w:r>
        <w:rPr>
          <w:rFonts w:ascii="Arial Narrow" w:hAnsi="Arial Narrow" w:cs="Times New Roman"/>
          <w:sz w:val="20"/>
          <w:szCs w:val="20"/>
        </w:rPr>
        <w:t xml:space="preserve"> winds with northeast, southwest and southeast direction was also detected and Classes A-B and B were the sole stability classes</w:t>
      </w:r>
      <w:r w:rsidR="00F91230">
        <w:rPr>
          <w:rFonts w:ascii="Arial Narrow" w:hAnsi="Arial Narrow" w:cs="Times New Roman"/>
          <w:sz w:val="20"/>
          <w:szCs w:val="20"/>
        </w:rPr>
        <w:t xml:space="preserve"> </w:t>
      </w:r>
      <w:r w:rsidR="002E0FCA">
        <w:rPr>
          <w:rFonts w:ascii="Arial Narrow" w:hAnsi="Arial Narrow" w:cs="Times New Roman"/>
          <w:sz w:val="20"/>
          <w:szCs w:val="20"/>
        </w:rPr>
        <w:t xml:space="preserve">which they </w:t>
      </w:r>
      <w:r w:rsidR="00930869">
        <w:rPr>
          <w:rFonts w:ascii="Arial Narrow" w:hAnsi="Arial Narrow" w:cs="Times New Roman"/>
          <w:sz w:val="20"/>
          <w:szCs w:val="20"/>
        </w:rPr>
        <w:t xml:space="preserve">determined </w:t>
      </w:r>
      <w:r w:rsidR="00F91230">
        <w:rPr>
          <w:rFonts w:ascii="Arial Narrow" w:hAnsi="Arial Narrow" w:cs="Times New Roman"/>
          <w:sz w:val="20"/>
          <w:szCs w:val="20"/>
        </w:rPr>
        <w:t>(Figure 1)</w:t>
      </w:r>
      <w:r>
        <w:rPr>
          <w:rFonts w:ascii="Arial Narrow" w:hAnsi="Arial Narrow" w:cs="Times New Roman"/>
          <w:sz w:val="20"/>
          <w:szCs w:val="20"/>
        </w:rPr>
        <w:t xml:space="preserve">. </w:t>
      </w:r>
      <w:r w:rsidR="0074633B">
        <w:rPr>
          <w:rFonts w:ascii="Arial Narrow" w:hAnsi="Arial Narrow" w:cs="Times New Roman"/>
          <w:sz w:val="20"/>
          <w:szCs w:val="20"/>
        </w:rPr>
        <w:t>By means of southwest and southeast winds the air temperature was higher than the air temperature</w:t>
      </w:r>
      <w:r w:rsidR="002F1B9E">
        <w:rPr>
          <w:rFonts w:ascii="Arial Narrow" w:hAnsi="Arial Narrow" w:cs="Times New Roman"/>
          <w:sz w:val="20"/>
          <w:szCs w:val="20"/>
        </w:rPr>
        <w:t xml:space="preserve"> </w:t>
      </w:r>
      <w:r w:rsidR="0074633B">
        <w:rPr>
          <w:rFonts w:ascii="Arial Narrow" w:hAnsi="Arial Narrow" w:cs="Times New Roman"/>
          <w:sz w:val="20"/>
          <w:szCs w:val="20"/>
        </w:rPr>
        <w:t xml:space="preserve">measured when the south wind prevailed. However, the wind speed in both cases was lower than the speed of </w:t>
      </w:r>
      <w:r w:rsidR="005C5D14">
        <w:rPr>
          <w:rFonts w:ascii="Arial Narrow" w:hAnsi="Arial Narrow" w:cs="Times New Roman"/>
          <w:sz w:val="20"/>
          <w:szCs w:val="20"/>
        </w:rPr>
        <w:t>south wind.</w:t>
      </w:r>
    </w:p>
    <w:p w:rsidR="00C8537A" w:rsidRDefault="00B640FA" w:rsidP="003B1283">
      <w:pPr>
        <w:spacing w:before="120"/>
        <w:ind w:firstLine="170"/>
        <w:jc w:val="both"/>
        <w:rPr>
          <w:rFonts w:ascii="Arial Narrow" w:hAnsi="Arial Narrow" w:cs="Times New Roman"/>
          <w:sz w:val="20"/>
          <w:szCs w:val="20"/>
        </w:rPr>
      </w:pPr>
      <w:r>
        <w:rPr>
          <w:rFonts w:ascii="Arial Narrow" w:hAnsi="Arial Narrow"/>
          <w:sz w:val="20"/>
          <w:szCs w:val="20"/>
        </w:rPr>
        <w:t>The south wind was also dominating d</w:t>
      </w:r>
      <w:r w:rsidR="006A34E7">
        <w:rPr>
          <w:rFonts w:ascii="Arial Narrow" w:hAnsi="Arial Narrow"/>
          <w:sz w:val="20"/>
          <w:szCs w:val="20"/>
        </w:rPr>
        <w:t>uring the night (19-07 h)</w:t>
      </w:r>
      <w:r>
        <w:rPr>
          <w:rFonts w:ascii="Arial Narrow" w:hAnsi="Arial Narrow"/>
          <w:sz w:val="20"/>
          <w:szCs w:val="20"/>
        </w:rPr>
        <w:t xml:space="preserve"> </w:t>
      </w:r>
      <w:r w:rsidR="0000331F">
        <w:rPr>
          <w:rFonts w:ascii="Arial Narrow" w:hAnsi="Arial Narrow"/>
          <w:sz w:val="20"/>
          <w:szCs w:val="20"/>
        </w:rPr>
        <w:t xml:space="preserve">and </w:t>
      </w:r>
      <w:r w:rsidR="00F677CA">
        <w:rPr>
          <w:rFonts w:ascii="Arial Narrow" w:hAnsi="Arial Narrow"/>
          <w:sz w:val="20"/>
          <w:szCs w:val="20"/>
        </w:rPr>
        <w:t xml:space="preserve">its prevalence reached up to 50 % for December. Understandingly, the </w:t>
      </w:r>
      <w:r w:rsidR="00C0562D">
        <w:rPr>
          <w:rFonts w:ascii="Arial Narrow" w:hAnsi="Arial Narrow"/>
          <w:sz w:val="20"/>
          <w:szCs w:val="20"/>
        </w:rPr>
        <w:t>mean</w:t>
      </w:r>
      <w:r w:rsidR="00F677CA">
        <w:rPr>
          <w:rFonts w:ascii="Arial Narrow" w:hAnsi="Arial Narrow"/>
          <w:sz w:val="20"/>
          <w:szCs w:val="20"/>
        </w:rPr>
        <w:t xml:space="preserve"> air temperature during the night was lower in comparison to the air temperature measured </w:t>
      </w:r>
      <w:r w:rsidR="00930869">
        <w:rPr>
          <w:rFonts w:ascii="Arial Narrow" w:hAnsi="Arial Narrow"/>
          <w:sz w:val="20"/>
          <w:szCs w:val="20"/>
        </w:rPr>
        <w:t>during the days fo</w:t>
      </w:r>
      <w:r w:rsidR="00F677CA">
        <w:rPr>
          <w:rFonts w:ascii="Arial Narrow" w:hAnsi="Arial Narrow"/>
          <w:sz w:val="20"/>
          <w:szCs w:val="20"/>
        </w:rPr>
        <w:t xml:space="preserve">r the relevant months. Something more, when the sky wasn`t covered by clouds </w:t>
      </w:r>
      <w:r w:rsidR="00376762">
        <w:rPr>
          <w:rFonts w:ascii="Arial Narrow" w:hAnsi="Arial Narrow"/>
          <w:sz w:val="20"/>
          <w:szCs w:val="20"/>
        </w:rPr>
        <w:t xml:space="preserve">for the period </w:t>
      </w:r>
      <w:r w:rsidR="00F677CA">
        <w:rPr>
          <w:rFonts w:ascii="Arial Narrow" w:hAnsi="Arial Narrow"/>
          <w:sz w:val="20"/>
          <w:szCs w:val="20"/>
        </w:rPr>
        <w:t>December</w:t>
      </w:r>
      <w:r w:rsidR="00376762">
        <w:rPr>
          <w:rFonts w:ascii="Arial Narrow" w:hAnsi="Arial Narrow"/>
          <w:sz w:val="20"/>
          <w:szCs w:val="20"/>
        </w:rPr>
        <w:t>-</w:t>
      </w:r>
      <w:r w:rsidR="00F677CA">
        <w:rPr>
          <w:rFonts w:ascii="Arial Narrow" w:hAnsi="Arial Narrow"/>
          <w:sz w:val="20"/>
          <w:szCs w:val="20"/>
        </w:rPr>
        <w:t>January, even negative air temperature was measured</w:t>
      </w:r>
      <w:r w:rsidR="00E875B9">
        <w:rPr>
          <w:rFonts w:ascii="Arial Narrow" w:hAnsi="Arial Narrow"/>
          <w:sz w:val="20"/>
          <w:szCs w:val="20"/>
        </w:rPr>
        <w:t xml:space="preserve"> (Table 5)</w:t>
      </w:r>
      <w:r w:rsidR="00F677CA">
        <w:rPr>
          <w:rFonts w:ascii="Arial Narrow" w:hAnsi="Arial Narrow"/>
          <w:sz w:val="20"/>
          <w:szCs w:val="20"/>
        </w:rPr>
        <w:t>. In dependence on the sky`s cloud cover</w:t>
      </w:r>
      <w:r w:rsidR="00321865">
        <w:rPr>
          <w:rFonts w:ascii="Arial Narrow" w:hAnsi="Arial Narrow"/>
          <w:sz w:val="20"/>
          <w:szCs w:val="20"/>
        </w:rPr>
        <w:t xml:space="preserve"> and the wind speed,</w:t>
      </w:r>
      <w:r w:rsidR="00F677CA">
        <w:rPr>
          <w:rFonts w:ascii="Arial Narrow" w:hAnsi="Arial Narrow"/>
          <w:sz w:val="20"/>
          <w:szCs w:val="20"/>
        </w:rPr>
        <w:t xml:space="preserve"> only E and F stability atmospheric classes was </w:t>
      </w:r>
      <w:r w:rsidR="00C8537A">
        <w:rPr>
          <w:rFonts w:ascii="Arial Narrow" w:hAnsi="Arial Narrow"/>
          <w:sz w:val="20"/>
          <w:szCs w:val="20"/>
        </w:rPr>
        <w:t xml:space="preserve">determined during the night. The wind speed for both classes was changed in a narrow range as </w:t>
      </w:r>
      <w:r w:rsidR="00C8537A">
        <w:rPr>
          <w:rFonts w:ascii="Arial Narrow" w:hAnsi="Arial Narrow" w:cs="Times New Roman"/>
          <w:sz w:val="20"/>
          <w:szCs w:val="20"/>
        </w:rPr>
        <w:t xml:space="preserve">the sky`s cloud cover was higher (&gt; 50 %) the wind speed was </w:t>
      </w:r>
      <w:r w:rsidR="007E581A">
        <w:rPr>
          <w:rFonts w:ascii="Arial Narrow" w:hAnsi="Arial Narrow" w:cs="Times New Roman"/>
          <w:sz w:val="20"/>
          <w:szCs w:val="20"/>
        </w:rPr>
        <w:t xml:space="preserve">higher </w:t>
      </w:r>
      <w:r w:rsidR="00C8537A">
        <w:rPr>
          <w:rFonts w:ascii="Arial Narrow" w:hAnsi="Arial Narrow" w:cs="Times New Roman"/>
          <w:sz w:val="20"/>
          <w:szCs w:val="20"/>
        </w:rPr>
        <w:t xml:space="preserve">too. In January, there was uncommon period in which matching of the sky`s cloud cover higher than 50 % and south wind with speed higher than 6.5 m/s determined Class D </w:t>
      </w:r>
      <w:r w:rsidR="007E581A">
        <w:rPr>
          <w:rFonts w:ascii="Arial Narrow" w:hAnsi="Arial Narrow" w:cs="Times New Roman"/>
          <w:sz w:val="20"/>
          <w:szCs w:val="20"/>
        </w:rPr>
        <w:t>of</w:t>
      </w:r>
      <w:r w:rsidR="00C8537A">
        <w:rPr>
          <w:rFonts w:ascii="Arial Narrow" w:hAnsi="Arial Narrow" w:cs="Times New Roman"/>
          <w:sz w:val="20"/>
          <w:szCs w:val="20"/>
        </w:rPr>
        <w:t xml:space="preserve"> atmospher</w:t>
      </w:r>
      <w:r w:rsidR="007E581A">
        <w:rPr>
          <w:rFonts w:ascii="Arial Narrow" w:hAnsi="Arial Narrow" w:cs="Times New Roman"/>
          <w:sz w:val="20"/>
          <w:szCs w:val="20"/>
        </w:rPr>
        <w:t xml:space="preserve">e </w:t>
      </w:r>
      <w:r w:rsidR="00C8537A">
        <w:rPr>
          <w:rFonts w:ascii="Arial Narrow" w:hAnsi="Arial Narrow" w:cs="Times New Roman"/>
          <w:sz w:val="20"/>
          <w:szCs w:val="20"/>
        </w:rPr>
        <w:t>stability.</w:t>
      </w:r>
    </w:p>
    <w:p w:rsidR="00C8537A" w:rsidRDefault="00C8537A" w:rsidP="003B1283">
      <w:pPr>
        <w:spacing w:before="120"/>
        <w:ind w:firstLine="170"/>
        <w:jc w:val="both"/>
        <w:rPr>
          <w:rFonts w:ascii="Arial Narrow" w:hAnsi="Arial Narrow" w:cs="Times New Roman"/>
          <w:sz w:val="20"/>
          <w:szCs w:val="20"/>
        </w:rPr>
      </w:pPr>
      <w:r>
        <w:rPr>
          <w:rFonts w:ascii="Arial Narrow" w:hAnsi="Arial Narrow" w:cs="Times New Roman"/>
          <w:sz w:val="20"/>
          <w:szCs w:val="20"/>
        </w:rPr>
        <w:t>Northeast, east, and southeast were another directions of wind speed during the night as the south, southwest, and southeast winds were with higher speed (Figure 2).</w:t>
      </w:r>
    </w:p>
    <w:p w:rsidR="003B70F9" w:rsidRDefault="00C8537A" w:rsidP="003B1283">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These classes of atmospheric stability correlated closely to the vertical gradient of air </w:t>
      </w:r>
      <w:r w:rsidRPr="00254ACF">
        <w:rPr>
          <w:rFonts w:ascii="Arial Narrow" w:hAnsi="Arial Narrow" w:cs="Times New Roman"/>
          <w:color w:val="000000" w:themeColor="text1"/>
          <w:sz w:val="20"/>
          <w:szCs w:val="20"/>
          <w:lang w:eastAsia="bg-BG" w:bidi="ar-SA"/>
        </w:rPr>
        <w:t xml:space="preserve">temperature which </w:t>
      </w:r>
      <w:r w:rsidR="00EE6482" w:rsidRPr="00254ACF">
        <w:rPr>
          <w:rFonts w:ascii="Arial Narrow" w:hAnsi="Arial Narrow" w:cs="Times New Roman"/>
          <w:color w:val="000000" w:themeColor="text1"/>
          <w:sz w:val="20"/>
          <w:szCs w:val="20"/>
          <w:lang w:eastAsia="bg-BG" w:bidi="ar-SA"/>
        </w:rPr>
        <w:t>has</w:t>
      </w:r>
      <w:r w:rsidRPr="00254ACF">
        <w:rPr>
          <w:rFonts w:ascii="Arial Narrow" w:hAnsi="Arial Narrow" w:cs="Times New Roman"/>
          <w:color w:val="000000" w:themeColor="text1"/>
          <w:sz w:val="20"/>
          <w:szCs w:val="20"/>
          <w:lang w:eastAsia="bg-BG" w:bidi="ar-SA"/>
        </w:rPr>
        <w:t xml:space="preserve"> directly effect on the rate of pollutants diffusion released in the atmosphere by means of point or line source of pollution (</w:t>
      </w:r>
      <w:r w:rsidR="00BC1686" w:rsidRPr="00955BEB">
        <w:rPr>
          <w:rFonts w:ascii="Arial Narrow" w:hAnsi="Arial Narrow"/>
          <w:sz w:val="20"/>
          <w:szCs w:val="20"/>
        </w:rPr>
        <w:t>Briggs, 1965</w:t>
      </w:r>
      <w:r w:rsidRPr="00254ACF">
        <w:rPr>
          <w:rFonts w:ascii="Arial Narrow" w:hAnsi="Arial Narrow" w:cs="Times New Roman"/>
          <w:color w:val="000000" w:themeColor="text1"/>
          <w:sz w:val="20"/>
          <w:szCs w:val="20"/>
          <w:lang w:eastAsia="bg-BG" w:bidi="ar-SA"/>
        </w:rPr>
        <w:t>). For that reason, the wind speed at 200 m</w:t>
      </w:r>
      <w:r w:rsidR="00D35161" w:rsidRPr="00D35161">
        <w:rPr>
          <w:rFonts w:ascii="Arial Narrow" w:hAnsi="Arial Narrow" w:cs="Times New Roman"/>
          <w:color w:val="000000" w:themeColor="text1"/>
          <w:sz w:val="20"/>
          <w:szCs w:val="20"/>
          <w:lang w:eastAsia="bg-BG" w:bidi="ar-SA"/>
        </w:rPr>
        <w:t xml:space="preserve"> </w:t>
      </w:r>
      <w:r w:rsidR="00D35161" w:rsidRPr="00254ACF">
        <w:rPr>
          <w:rFonts w:ascii="Arial Narrow" w:hAnsi="Arial Narrow" w:cs="Times New Roman"/>
          <w:color w:val="000000" w:themeColor="text1"/>
          <w:sz w:val="20"/>
          <w:szCs w:val="20"/>
          <w:lang w:eastAsia="bg-BG" w:bidi="ar-SA"/>
        </w:rPr>
        <w:t>above</w:t>
      </w:r>
      <w:r w:rsidR="00D35161">
        <w:rPr>
          <w:rFonts w:ascii="Arial Narrow" w:hAnsi="Arial Narrow" w:cs="Times New Roman"/>
          <w:sz w:val="20"/>
          <w:szCs w:val="20"/>
          <w:lang w:eastAsia="bg-BG" w:bidi="ar-SA"/>
        </w:rPr>
        <w:t xml:space="preserve"> the ground (u</w:t>
      </w:r>
      <w:r w:rsidR="00D35161" w:rsidRPr="00B25C4B">
        <w:rPr>
          <w:rFonts w:ascii="Arial Narrow" w:hAnsi="Arial Narrow" w:cs="Times New Roman"/>
          <w:sz w:val="20"/>
          <w:szCs w:val="20"/>
          <w:vertAlign w:val="subscript"/>
          <w:lang w:eastAsia="bg-BG" w:bidi="ar-SA"/>
        </w:rPr>
        <w:t>s</w:t>
      </w:r>
      <w:r w:rsidR="00D35161">
        <w:rPr>
          <w:rFonts w:ascii="Arial Narrow" w:hAnsi="Arial Narrow" w:cs="Times New Roman"/>
          <w:sz w:val="20"/>
          <w:szCs w:val="20"/>
          <w:lang w:eastAsia="bg-BG" w:bidi="ar-SA"/>
        </w:rPr>
        <w:t xml:space="preserve">) </w:t>
      </w:r>
      <w:r w:rsidR="00D35161">
        <w:rPr>
          <w:rFonts w:ascii="Arial Narrow" w:hAnsi="Arial Narrow" w:cs="Times New Roman"/>
          <w:sz w:val="20"/>
          <w:szCs w:val="20"/>
          <w:lang w:eastAsia="bg-BG" w:bidi="ar-SA"/>
        </w:rPr>
        <w:lastRenderedPageBreak/>
        <w:t xml:space="preserve">and the effective plume </w:t>
      </w:r>
      <w:proofErr w:type="gramStart"/>
      <w:r w:rsidR="00D35161">
        <w:rPr>
          <w:rFonts w:ascii="Arial Narrow" w:hAnsi="Arial Narrow" w:cs="Times New Roman"/>
          <w:sz w:val="20"/>
          <w:szCs w:val="20"/>
          <w:lang w:eastAsia="bg-BG" w:bidi="ar-SA"/>
        </w:rPr>
        <w:t>rise</w:t>
      </w:r>
      <w:proofErr w:type="gramEnd"/>
      <w:r w:rsidR="00D35161">
        <w:rPr>
          <w:rFonts w:ascii="Arial Narrow" w:hAnsi="Arial Narrow" w:cs="Times New Roman"/>
          <w:sz w:val="20"/>
          <w:szCs w:val="20"/>
          <w:lang w:eastAsia="bg-BG" w:bidi="ar-SA"/>
        </w:rPr>
        <w:t xml:space="preserve"> height (he) were the key parameters for the SO</w:t>
      </w:r>
      <w:r w:rsidR="00D35161" w:rsidRPr="00DA7225">
        <w:rPr>
          <w:rFonts w:ascii="Arial Narrow" w:hAnsi="Arial Narrow" w:cs="Times New Roman"/>
          <w:sz w:val="20"/>
          <w:szCs w:val="20"/>
          <w:vertAlign w:val="subscript"/>
          <w:lang w:eastAsia="bg-BG" w:bidi="ar-SA"/>
        </w:rPr>
        <w:t>2</w:t>
      </w:r>
      <w:r w:rsidR="00D35161">
        <w:rPr>
          <w:rFonts w:ascii="Arial Narrow" w:hAnsi="Arial Narrow" w:cs="Times New Roman"/>
          <w:sz w:val="20"/>
          <w:szCs w:val="20"/>
          <w:lang w:eastAsia="bg-BG" w:bidi="ar-SA"/>
        </w:rPr>
        <w:t xml:space="preserve"> modeling in the atmosphere.</w:t>
      </w:r>
    </w:p>
    <w:p w:rsidR="00075E89" w:rsidRDefault="0078054D" w:rsidP="003B70F9">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w:t>
      </w:r>
      <w:r w:rsidR="00075E89">
        <w:rPr>
          <w:rFonts w:ascii="Arial Narrow" w:hAnsi="Arial Narrow" w:cs="Arial Narrow"/>
          <w:sz w:val="20"/>
          <w:szCs w:val="20"/>
          <w:lang w:eastAsia="bg-BG" w:bidi="ar-SA"/>
        </w:rPr>
        <w:t>able 5.</w:t>
      </w:r>
      <w:proofErr w:type="gramEnd"/>
    </w:p>
    <w:p w:rsidR="00075E89" w:rsidRPr="005C7D70" w:rsidRDefault="00075E89" w:rsidP="003B1283">
      <w:pPr>
        <w:jc w:val="both"/>
        <w:rPr>
          <w:rFonts w:ascii="Arial Narrow" w:hAnsi="Arial Narrow" w:cs="Arial Narrow"/>
          <w:i/>
          <w:sz w:val="20"/>
          <w:szCs w:val="20"/>
          <w:lang w:eastAsia="bg-BG" w:bidi="ar-SA"/>
        </w:rPr>
      </w:pPr>
      <w:r w:rsidRPr="005C7D70">
        <w:rPr>
          <w:rFonts w:ascii="Arial Narrow" w:hAnsi="Arial Narrow" w:cs="Arial Narrow"/>
          <w:i/>
          <w:sz w:val="20"/>
          <w:szCs w:val="20"/>
          <w:lang w:eastAsia="bg-BG" w:bidi="ar-SA"/>
        </w:rPr>
        <w:t xml:space="preserve">Atmospheric </w:t>
      </w:r>
      <w:r>
        <w:rPr>
          <w:rFonts w:ascii="Arial Narrow" w:hAnsi="Arial Narrow" w:cs="Arial Narrow"/>
          <w:i/>
          <w:sz w:val="20"/>
          <w:szCs w:val="20"/>
          <w:lang w:eastAsia="bg-BG" w:bidi="ar-SA"/>
        </w:rPr>
        <w:t>conditions at TPP “</w:t>
      </w:r>
      <w:proofErr w:type="spellStart"/>
      <w:r>
        <w:rPr>
          <w:rFonts w:ascii="Arial Narrow" w:hAnsi="Arial Narrow" w:cs="Arial Narrow"/>
          <w:i/>
          <w:sz w:val="20"/>
          <w:szCs w:val="20"/>
          <w:lang w:eastAsia="bg-BG" w:bidi="ar-SA"/>
        </w:rPr>
        <w:t>Bobov</w:t>
      </w:r>
      <w:proofErr w:type="spellEnd"/>
      <w:r>
        <w:rPr>
          <w:rFonts w:ascii="Arial Narrow" w:hAnsi="Arial Narrow" w:cs="Arial Narrow"/>
          <w:i/>
          <w:sz w:val="20"/>
          <w:szCs w:val="20"/>
          <w:lang w:eastAsia="bg-BG" w:bidi="ar-SA"/>
        </w:rPr>
        <w:t xml:space="preserve"> </w:t>
      </w:r>
      <w:proofErr w:type="spellStart"/>
      <w:r>
        <w:rPr>
          <w:rFonts w:ascii="Arial Narrow" w:hAnsi="Arial Narrow" w:cs="Arial Narrow"/>
          <w:i/>
          <w:sz w:val="20"/>
          <w:szCs w:val="20"/>
          <w:lang w:eastAsia="bg-BG" w:bidi="ar-SA"/>
        </w:rPr>
        <w:t>dol</w:t>
      </w:r>
      <w:proofErr w:type="spellEnd"/>
      <w:r>
        <w:rPr>
          <w:rFonts w:ascii="Arial Narrow" w:hAnsi="Arial Narrow" w:cs="Arial Narrow"/>
          <w:i/>
          <w:sz w:val="20"/>
          <w:szCs w:val="20"/>
          <w:lang w:eastAsia="bg-BG" w:bidi="ar-SA"/>
        </w:rPr>
        <w:t>” during the night for the period</w:t>
      </w:r>
      <w:r w:rsidR="00D06870">
        <w:rPr>
          <w:rFonts w:ascii="Arial Narrow" w:hAnsi="Arial Narrow" w:cs="Arial Narrow"/>
          <w:i/>
          <w:sz w:val="20"/>
          <w:szCs w:val="20"/>
          <w:lang w:eastAsia="bg-BG" w:bidi="ar-SA"/>
        </w:rPr>
        <w:t xml:space="preserve"> of observation</w:t>
      </w:r>
    </w:p>
    <w:tbl>
      <w:tblPr>
        <w:tblStyle w:val="TableGrid"/>
        <w:tblW w:w="4678" w:type="dxa"/>
        <w:tblInd w:w="108" w:type="dxa"/>
        <w:tblLayout w:type="fixed"/>
        <w:tblLook w:val="04A0" w:firstRow="1" w:lastRow="0" w:firstColumn="1" w:lastColumn="0" w:noHBand="0" w:noVBand="1"/>
      </w:tblPr>
      <w:tblGrid>
        <w:gridCol w:w="781"/>
        <w:gridCol w:w="649"/>
        <w:gridCol w:w="650"/>
        <w:gridCol w:w="614"/>
        <w:gridCol w:w="35"/>
        <w:gridCol w:w="650"/>
        <w:gridCol w:w="649"/>
        <w:gridCol w:w="650"/>
      </w:tblGrid>
      <w:tr w:rsidR="00075E89" w:rsidTr="00E55000">
        <w:tc>
          <w:tcPr>
            <w:tcW w:w="781" w:type="dxa"/>
            <w:vMerge w:val="restart"/>
          </w:tcPr>
          <w:p w:rsidR="00075E89" w:rsidRDefault="00075E89" w:rsidP="003B1283">
            <w:pPr>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Index </w:t>
            </w:r>
          </w:p>
        </w:tc>
        <w:tc>
          <w:tcPr>
            <w:tcW w:w="3897" w:type="dxa"/>
            <w:gridSpan w:val="7"/>
          </w:tcPr>
          <w:p w:rsidR="00075E89" w:rsidRDefault="00075E89" w:rsidP="003B1283">
            <w:pPr>
              <w:jc w:val="center"/>
              <w:rPr>
                <w:rFonts w:ascii="Arial Narrow" w:hAnsi="Arial Narrow" w:cs="Times New Roman"/>
                <w:sz w:val="20"/>
                <w:szCs w:val="20"/>
                <w:lang w:eastAsia="bg-BG" w:bidi="ar-SA"/>
              </w:rPr>
            </w:pPr>
            <w:r>
              <w:rPr>
                <w:rFonts w:ascii="Arial Narrow" w:hAnsi="Arial Narrow" w:cs="Arial Narrow"/>
                <w:sz w:val="20"/>
                <w:szCs w:val="20"/>
                <w:lang w:eastAsia="bg-BG" w:bidi="ar-SA"/>
              </w:rPr>
              <w:t>Month/ Wind speed (m/s)</w:t>
            </w:r>
          </w:p>
        </w:tc>
      </w:tr>
      <w:tr w:rsidR="00075E89" w:rsidTr="00F4037A">
        <w:tc>
          <w:tcPr>
            <w:tcW w:w="781" w:type="dxa"/>
            <w:vMerge/>
          </w:tcPr>
          <w:p w:rsidR="00075E89" w:rsidRDefault="00075E89" w:rsidP="003B1283">
            <w:pPr>
              <w:jc w:val="both"/>
              <w:rPr>
                <w:rFonts w:ascii="Arial Narrow" w:hAnsi="Arial Narrow" w:cs="Arial Narrow"/>
                <w:sz w:val="20"/>
                <w:szCs w:val="20"/>
                <w:lang w:eastAsia="bg-BG" w:bidi="ar-SA"/>
              </w:rPr>
            </w:pPr>
          </w:p>
        </w:tc>
        <w:tc>
          <w:tcPr>
            <w:tcW w:w="1299" w:type="dxa"/>
            <w:gridSpan w:val="2"/>
          </w:tcPr>
          <w:p w:rsidR="00075E89" w:rsidRDefault="00075E89"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November</w:t>
            </w:r>
          </w:p>
        </w:tc>
        <w:tc>
          <w:tcPr>
            <w:tcW w:w="1299" w:type="dxa"/>
            <w:gridSpan w:val="3"/>
          </w:tcPr>
          <w:p w:rsidR="00075E89" w:rsidRDefault="00075E89"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December</w:t>
            </w:r>
          </w:p>
        </w:tc>
        <w:tc>
          <w:tcPr>
            <w:tcW w:w="1299" w:type="dxa"/>
            <w:gridSpan w:val="2"/>
          </w:tcPr>
          <w:p w:rsidR="00075E89" w:rsidRDefault="00075E89" w:rsidP="003B1283">
            <w:pPr>
              <w:jc w:val="center"/>
              <w:rPr>
                <w:rFonts w:ascii="Arial Narrow" w:hAnsi="Arial Narrow" w:cs="Arial Narrow"/>
                <w:sz w:val="20"/>
                <w:szCs w:val="20"/>
                <w:lang w:eastAsia="bg-BG" w:bidi="ar-SA"/>
              </w:rPr>
            </w:pPr>
            <w:r>
              <w:rPr>
                <w:rFonts w:ascii="Arial Narrow" w:hAnsi="Arial Narrow" w:cs="Arial Narrow"/>
                <w:sz w:val="20"/>
                <w:szCs w:val="20"/>
                <w:lang w:eastAsia="bg-BG" w:bidi="ar-SA"/>
              </w:rPr>
              <w:t>January</w:t>
            </w:r>
          </w:p>
        </w:tc>
      </w:tr>
      <w:tr w:rsidR="003371F0" w:rsidTr="00F4037A">
        <w:tc>
          <w:tcPr>
            <w:tcW w:w="781" w:type="dxa"/>
            <w:vMerge/>
          </w:tcPr>
          <w:p w:rsidR="003371F0" w:rsidRDefault="003371F0" w:rsidP="003B1283">
            <w:pPr>
              <w:jc w:val="both"/>
              <w:rPr>
                <w:rFonts w:ascii="Arial Narrow" w:hAnsi="Arial Narrow" w:cs="Arial Narrow"/>
                <w:sz w:val="20"/>
                <w:szCs w:val="20"/>
                <w:lang w:eastAsia="bg-BG" w:bidi="ar-SA"/>
              </w:rPr>
            </w:pPr>
          </w:p>
        </w:tc>
        <w:tc>
          <w:tcPr>
            <w:tcW w:w="649" w:type="dxa"/>
          </w:tcPr>
          <w:p w:rsidR="003371F0" w:rsidRDefault="003371F0"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3371F0" w:rsidRDefault="003371F0"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649" w:type="dxa"/>
            <w:gridSpan w:val="2"/>
          </w:tcPr>
          <w:p w:rsidR="003371F0" w:rsidRDefault="003371F0"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3371F0" w:rsidRDefault="003371F0"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649" w:type="dxa"/>
          </w:tcPr>
          <w:p w:rsidR="003371F0" w:rsidRDefault="003371F0"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w:t>
            </w:r>
          </w:p>
        </w:tc>
        <w:tc>
          <w:tcPr>
            <w:tcW w:w="650" w:type="dxa"/>
          </w:tcPr>
          <w:p w:rsidR="003371F0" w:rsidRDefault="003371F0"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r>
      <w:tr w:rsidR="00075E89" w:rsidTr="00E55000">
        <w:tc>
          <w:tcPr>
            <w:tcW w:w="4678" w:type="dxa"/>
            <w:gridSpan w:val="8"/>
          </w:tcPr>
          <w:p w:rsidR="00075E89" w:rsidRDefault="00075E89" w:rsidP="003B1283">
            <w:pPr>
              <w:rPr>
                <w:rFonts w:ascii="Arial Narrow" w:hAnsi="Arial Narrow" w:cs="Times New Roman"/>
                <w:sz w:val="20"/>
                <w:szCs w:val="20"/>
                <w:lang w:eastAsia="bg-BG" w:bidi="ar-SA"/>
              </w:rPr>
            </w:pPr>
            <w:r>
              <w:rPr>
                <w:rFonts w:ascii="Arial Narrow" w:hAnsi="Arial Narrow" w:cs="Arial Narrow"/>
                <w:sz w:val="20"/>
                <w:szCs w:val="20"/>
                <w:lang w:eastAsia="bg-BG" w:bidi="ar-SA"/>
              </w:rPr>
              <w:t>Northeast direction</w:t>
            </w:r>
          </w:p>
        </w:tc>
      </w:tr>
      <w:tr w:rsidR="00113A61" w:rsidTr="00E66630">
        <w:tc>
          <w:tcPr>
            <w:tcW w:w="781" w:type="dxa"/>
          </w:tcPr>
          <w:p w:rsidR="00113A61" w:rsidRDefault="00113A61" w:rsidP="003B1283">
            <w:pPr>
              <w:jc w:val="both"/>
              <w:rPr>
                <w:rFonts w:ascii="Arial Narrow" w:hAnsi="Arial Narrow" w:cs="Times New Roman"/>
                <w:sz w:val="20"/>
                <w:szCs w:val="20"/>
                <w:lan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113A61" w:rsidRPr="00113A61" w:rsidRDefault="00113A61" w:rsidP="003B1283">
            <w:pPr>
              <w:jc w:val="center"/>
              <w:rPr>
                <w:rFonts w:ascii="Arial Narrow" w:hAnsi="Arial Narrow"/>
                <w:sz w:val="20"/>
                <w:szCs w:val="20"/>
              </w:rPr>
            </w:pPr>
            <w:r w:rsidRPr="00113A61">
              <w:rPr>
                <w:rFonts w:ascii="Arial Narrow" w:hAnsi="Arial Narrow"/>
                <w:sz w:val="20"/>
                <w:szCs w:val="20"/>
              </w:rPr>
              <w:t>5-</w:t>
            </w:r>
            <w:r>
              <w:rPr>
                <w:rFonts w:ascii="Arial Narrow" w:hAnsi="Arial Narrow"/>
                <w:sz w:val="20"/>
                <w:szCs w:val="20"/>
              </w:rPr>
              <w:t>11</w:t>
            </w:r>
          </w:p>
        </w:tc>
        <w:tc>
          <w:tcPr>
            <w:tcW w:w="650"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14"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85" w:type="dxa"/>
            <w:gridSpan w:val="2"/>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49"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50"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r>
      <w:tr w:rsidR="00113A61" w:rsidTr="00E66630">
        <w:tc>
          <w:tcPr>
            <w:tcW w:w="781" w:type="dxa"/>
          </w:tcPr>
          <w:p w:rsidR="00113A61" w:rsidRPr="002B7218" w:rsidRDefault="00113A61" w:rsidP="003B1283">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113A61" w:rsidRPr="00113A61" w:rsidRDefault="00113A61" w:rsidP="003B1283">
            <w:pPr>
              <w:jc w:val="center"/>
              <w:rPr>
                <w:rFonts w:ascii="Arial Narrow" w:hAnsi="Arial Narrow"/>
                <w:sz w:val="20"/>
                <w:szCs w:val="20"/>
              </w:rPr>
            </w:pPr>
            <w:r w:rsidRPr="00113A61">
              <w:rPr>
                <w:rFonts w:ascii="Arial Narrow" w:hAnsi="Arial Narrow"/>
                <w:sz w:val="20"/>
                <w:szCs w:val="20"/>
              </w:rPr>
              <w:t>E/ F</w:t>
            </w:r>
          </w:p>
        </w:tc>
        <w:tc>
          <w:tcPr>
            <w:tcW w:w="650"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14"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85" w:type="dxa"/>
            <w:gridSpan w:val="2"/>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49"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50"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r>
      <w:tr w:rsidR="00075E89" w:rsidTr="00E55000">
        <w:tc>
          <w:tcPr>
            <w:tcW w:w="4678" w:type="dxa"/>
            <w:gridSpan w:val="8"/>
          </w:tcPr>
          <w:p w:rsidR="00075E89" w:rsidRPr="00E47966" w:rsidRDefault="00075E89" w:rsidP="003B1283">
            <w:pPr>
              <w:rPr>
                <w:rFonts w:ascii="Arial Narrow" w:hAnsi="Arial Narrow" w:cs="Times New Roman"/>
                <w:sz w:val="20"/>
                <w:szCs w:val="20"/>
                <w:lang w:val="bg-BG" w:eastAsia="bg-BG" w:bidi="ar-SA"/>
              </w:rPr>
            </w:pPr>
            <w:r>
              <w:rPr>
                <w:rFonts w:ascii="Arial Narrow" w:hAnsi="Arial Narrow" w:cs="Arial Narrow"/>
                <w:sz w:val="20"/>
                <w:szCs w:val="20"/>
                <w:lang w:eastAsia="bg-BG" w:bidi="ar-SA"/>
              </w:rPr>
              <w:t>Southeast direction</w:t>
            </w:r>
          </w:p>
        </w:tc>
      </w:tr>
      <w:tr w:rsidR="00113A61" w:rsidTr="00E66630">
        <w:tc>
          <w:tcPr>
            <w:tcW w:w="781" w:type="dxa"/>
          </w:tcPr>
          <w:p w:rsidR="00113A61" w:rsidRPr="00E47966" w:rsidRDefault="00113A61" w:rsidP="003B1283">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113A61" w:rsidRPr="00113A61" w:rsidRDefault="00113A61" w:rsidP="003B1283">
            <w:pPr>
              <w:jc w:val="center"/>
              <w:rPr>
                <w:rFonts w:ascii="Arial Narrow" w:hAnsi="Arial Narrow"/>
                <w:sz w:val="20"/>
                <w:szCs w:val="20"/>
              </w:rPr>
            </w:pPr>
            <w:r>
              <w:rPr>
                <w:rFonts w:ascii="Arial Narrow" w:hAnsi="Arial Narrow"/>
                <w:sz w:val="20"/>
                <w:szCs w:val="20"/>
              </w:rPr>
              <w:t>6-8</w:t>
            </w:r>
          </w:p>
        </w:tc>
        <w:tc>
          <w:tcPr>
            <w:tcW w:w="650"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14"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85" w:type="dxa"/>
            <w:gridSpan w:val="2"/>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49"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c>
          <w:tcPr>
            <w:tcW w:w="650" w:type="dxa"/>
            <w:vAlign w:val="center"/>
          </w:tcPr>
          <w:p w:rsidR="00113A61" w:rsidRPr="0017686B" w:rsidRDefault="00113A61" w:rsidP="003B1283">
            <w:pPr>
              <w:jc w:val="center"/>
              <w:rPr>
                <w:rFonts w:ascii="Arial Narrow" w:hAnsi="Arial Narrow"/>
                <w:sz w:val="20"/>
                <w:szCs w:val="20"/>
              </w:rPr>
            </w:pPr>
            <w:r>
              <w:rPr>
                <w:rFonts w:ascii="Arial Narrow" w:hAnsi="Arial Narrow"/>
                <w:sz w:val="20"/>
                <w:szCs w:val="20"/>
              </w:rPr>
              <w:t>-</w:t>
            </w:r>
          </w:p>
        </w:tc>
      </w:tr>
      <w:tr w:rsidR="00113A61" w:rsidTr="00E66630">
        <w:tc>
          <w:tcPr>
            <w:tcW w:w="781" w:type="dxa"/>
          </w:tcPr>
          <w:p w:rsidR="00113A61" w:rsidRPr="00E47966" w:rsidRDefault="00113A61" w:rsidP="003B1283">
            <w:pPr>
              <w:jc w:val="both"/>
              <w:rPr>
                <w:rFonts w:ascii="Arial Narrow" w:hAnsi="Arial Narrow" w:cs="Times New Roman"/>
                <w:sz w:val="20"/>
                <w:szCs w:val="20"/>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113A61" w:rsidRPr="00113A61" w:rsidRDefault="00113A61" w:rsidP="003B1283">
            <w:pPr>
              <w:jc w:val="center"/>
              <w:rPr>
                <w:rFonts w:ascii="Arial Narrow" w:hAnsi="Arial Narrow"/>
                <w:sz w:val="20"/>
                <w:szCs w:val="20"/>
              </w:rPr>
            </w:pPr>
            <w:r w:rsidRPr="00113A61">
              <w:rPr>
                <w:rFonts w:ascii="Arial Narrow" w:hAnsi="Arial Narrow"/>
                <w:sz w:val="20"/>
                <w:szCs w:val="20"/>
              </w:rPr>
              <w:t>E/ F</w:t>
            </w:r>
          </w:p>
        </w:tc>
        <w:tc>
          <w:tcPr>
            <w:tcW w:w="650"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14"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85" w:type="dxa"/>
            <w:gridSpan w:val="2"/>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49"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c>
          <w:tcPr>
            <w:tcW w:w="650" w:type="dxa"/>
            <w:vAlign w:val="center"/>
          </w:tcPr>
          <w:p w:rsidR="00113A61" w:rsidRPr="0017686B" w:rsidRDefault="00113A61" w:rsidP="003B1283">
            <w:pPr>
              <w:jc w:val="center"/>
              <w:rPr>
                <w:rFonts w:ascii="Arial Narrow" w:hAnsi="Arial Narrow"/>
                <w:sz w:val="18"/>
                <w:szCs w:val="18"/>
              </w:rPr>
            </w:pPr>
            <w:r>
              <w:rPr>
                <w:rFonts w:ascii="Arial Narrow" w:hAnsi="Arial Narrow"/>
                <w:sz w:val="18"/>
                <w:szCs w:val="18"/>
              </w:rPr>
              <w:t>-</w:t>
            </w:r>
          </w:p>
        </w:tc>
      </w:tr>
      <w:tr w:rsidR="00113A61" w:rsidTr="00E55000">
        <w:tc>
          <w:tcPr>
            <w:tcW w:w="4678" w:type="dxa"/>
            <w:gridSpan w:val="8"/>
          </w:tcPr>
          <w:p w:rsidR="00113A61" w:rsidRDefault="00113A61" w:rsidP="003B1283">
            <w:pPr>
              <w:rPr>
                <w:rFonts w:ascii="Arial Narrow" w:hAnsi="Arial Narrow" w:cs="Times New Roman"/>
                <w:sz w:val="20"/>
                <w:szCs w:val="20"/>
                <w:lang w:eastAsia="bg-BG" w:bidi="ar-SA"/>
              </w:rPr>
            </w:pPr>
            <w:r>
              <w:rPr>
                <w:rFonts w:ascii="Arial Narrow" w:hAnsi="Arial Narrow" w:cs="Arial Narrow"/>
                <w:sz w:val="20"/>
                <w:szCs w:val="20"/>
                <w:lang w:eastAsia="bg-BG" w:bidi="ar-SA"/>
              </w:rPr>
              <w:t>South direction</w:t>
            </w:r>
          </w:p>
        </w:tc>
      </w:tr>
      <w:tr w:rsidR="00113A61" w:rsidTr="00E66630">
        <w:tc>
          <w:tcPr>
            <w:tcW w:w="781" w:type="dxa"/>
          </w:tcPr>
          <w:p w:rsidR="00113A61" w:rsidRPr="00E47966" w:rsidRDefault="00113A61" w:rsidP="003B1283">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113A61" w:rsidRPr="001B3763" w:rsidRDefault="001B3763" w:rsidP="003B1283">
            <w:pPr>
              <w:jc w:val="center"/>
              <w:rPr>
                <w:rFonts w:ascii="Arial Narrow" w:hAnsi="Arial Narrow"/>
                <w:sz w:val="20"/>
                <w:szCs w:val="20"/>
              </w:rPr>
            </w:pPr>
            <w:r>
              <w:rPr>
                <w:rFonts w:ascii="Arial Narrow" w:hAnsi="Arial Narrow"/>
                <w:sz w:val="20"/>
                <w:szCs w:val="20"/>
              </w:rPr>
              <w:t>5-6</w:t>
            </w:r>
          </w:p>
        </w:tc>
        <w:tc>
          <w:tcPr>
            <w:tcW w:w="650" w:type="dxa"/>
            <w:vAlign w:val="center"/>
          </w:tcPr>
          <w:p w:rsidR="00113A61" w:rsidRPr="00E66630" w:rsidRDefault="00E66630" w:rsidP="003B1283">
            <w:pPr>
              <w:jc w:val="center"/>
              <w:rPr>
                <w:rFonts w:ascii="Arial Narrow" w:hAnsi="Arial Narrow"/>
                <w:sz w:val="20"/>
                <w:szCs w:val="20"/>
              </w:rPr>
            </w:pPr>
            <w:r>
              <w:rPr>
                <w:rFonts w:ascii="Arial Narrow" w:hAnsi="Arial Narrow"/>
                <w:sz w:val="20"/>
                <w:szCs w:val="20"/>
              </w:rPr>
              <w:t>5-9</w:t>
            </w:r>
          </w:p>
        </w:tc>
        <w:tc>
          <w:tcPr>
            <w:tcW w:w="614" w:type="dxa"/>
            <w:vAlign w:val="center"/>
          </w:tcPr>
          <w:p w:rsidR="00113A61" w:rsidRPr="00113A61" w:rsidRDefault="00E66630" w:rsidP="003B1283">
            <w:pPr>
              <w:jc w:val="center"/>
              <w:rPr>
                <w:rFonts w:ascii="Arial Narrow" w:hAnsi="Arial Narrow"/>
                <w:sz w:val="20"/>
                <w:szCs w:val="20"/>
              </w:rPr>
            </w:pPr>
            <w:r>
              <w:rPr>
                <w:rFonts w:ascii="Arial Narrow" w:hAnsi="Arial Narrow"/>
                <w:sz w:val="20"/>
                <w:szCs w:val="20"/>
              </w:rPr>
              <w:t>3-7</w:t>
            </w:r>
          </w:p>
        </w:tc>
        <w:tc>
          <w:tcPr>
            <w:tcW w:w="685" w:type="dxa"/>
            <w:gridSpan w:val="2"/>
            <w:vAlign w:val="center"/>
          </w:tcPr>
          <w:p w:rsidR="00113A61" w:rsidRPr="00E66630" w:rsidRDefault="00E66630" w:rsidP="003B1283">
            <w:pPr>
              <w:jc w:val="center"/>
              <w:rPr>
                <w:rFonts w:ascii="Arial Narrow" w:hAnsi="Arial Narrow"/>
                <w:sz w:val="16"/>
                <w:szCs w:val="16"/>
              </w:rPr>
            </w:pPr>
            <w:r w:rsidRPr="00E66630">
              <w:rPr>
                <w:rFonts w:ascii="Arial Narrow" w:hAnsi="Arial Narrow"/>
                <w:sz w:val="16"/>
                <w:szCs w:val="16"/>
              </w:rPr>
              <w:t>(-1)-(-5)</w:t>
            </w:r>
          </w:p>
        </w:tc>
        <w:tc>
          <w:tcPr>
            <w:tcW w:w="649" w:type="dxa"/>
            <w:vAlign w:val="center"/>
          </w:tcPr>
          <w:p w:rsidR="00113A61" w:rsidRPr="00113A61" w:rsidRDefault="004633F6" w:rsidP="003B1283">
            <w:pPr>
              <w:jc w:val="center"/>
              <w:rPr>
                <w:rFonts w:ascii="Arial Narrow" w:hAnsi="Arial Narrow"/>
                <w:sz w:val="20"/>
                <w:szCs w:val="20"/>
              </w:rPr>
            </w:pPr>
            <w:r>
              <w:rPr>
                <w:rFonts w:ascii="Arial Narrow" w:hAnsi="Arial Narrow"/>
                <w:sz w:val="20"/>
                <w:szCs w:val="20"/>
              </w:rPr>
              <w:t>1-3</w:t>
            </w:r>
          </w:p>
        </w:tc>
        <w:tc>
          <w:tcPr>
            <w:tcW w:w="650" w:type="dxa"/>
            <w:vAlign w:val="center"/>
          </w:tcPr>
          <w:p w:rsidR="00113A61" w:rsidRPr="00113A61" w:rsidRDefault="004633F6" w:rsidP="003B1283">
            <w:pPr>
              <w:tabs>
                <w:tab w:val="left" w:pos="4111"/>
              </w:tabs>
              <w:jc w:val="center"/>
              <w:rPr>
                <w:rFonts w:ascii="Arial Narrow" w:hAnsi="Arial Narrow"/>
                <w:sz w:val="20"/>
                <w:szCs w:val="20"/>
              </w:rPr>
            </w:pPr>
            <w:r>
              <w:rPr>
                <w:rFonts w:ascii="Arial Narrow" w:hAnsi="Arial Narrow"/>
                <w:sz w:val="20"/>
                <w:szCs w:val="20"/>
              </w:rPr>
              <w:t>(-2)-0</w:t>
            </w:r>
          </w:p>
        </w:tc>
      </w:tr>
      <w:tr w:rsidR="00E66630" w:rsidTr="00E66630">
        <w:tc>
          <w:tcPr>
            <w:tcW w:w="781" w:type="dxa"/>
          </w:tcPr>
          <w:p w:rsidR="00E66630" w:rsidRPr="002B7218" w:rsidRDefault="00E66630" w:rsidP="003B1283">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E66630" w:rsidRPr="00113A61" w:rsidRDefault="00E66630" w:rsidP="003B1283">
            <w:pPr>
              <w:jc w:val="center"/>
              <w:rPr>
                <w:rFonts w:ascii="Arial Narrow" w:hAnsi="Arial Narrow"/>
                <w:b/>
                <w:sz w:val="20"/>
                <w:szCs w:val="20"/>
              </w:rPr>
            </w:pPr>
            <w:r w:rsidRPr="00113A61">
              <w:rPr>
                <w:rFonts w:ascii="Arial Narrow" w:hAnsi="Arial Narrow"/>
                <w:sz w:val="20"/>
                <w:szCs w:val="20"/>
              </w:rPr>
              <w:t>E/ F</w:t>
            </w:r>
          </w:p>
        </w:tc>
        <w:tc>
          <w:tcPr>
            <w:tcW w:w="650" w:type="dxa"/>
            <w:vAlign w:val="center"/>
          </w:tcPr>
          <w:p w:rsidR="00E66630" w:rsidRPr="00113A61" w:rsidRDefault="00E66630" w:rsidP="003B1283">
            <w:pPr>
              <w:jc w:val="center"/>
              <w:rPr>
                <w:rFonts w:ascii="Arial Narrow" w:hAnsi="Arial Narrow"/>
                <w:b/>
                <w:sz w:val="20"/>
                <w:szCs w:val="20"/>
              </w:rPr>
            </w:pPr>
            <w:r w:rsidRPr="00113A61">
              <w:rPr>
                <w:rFonts w:ascii="Arial Narrow" w:hAnsi="Arial Narrow"/>
                <w:sz w:val="20"/>
                <w:szCs w:val="20"/>
              </w:rPr>
              <w:t>E/ F</w:t>
            </w:r>
          </w:p>
        </w:tc>
        <w:tc>
          <w:tcPr>
            <w:tcW w:w="614" w:type="dxa"/>
            <w:vAlign w:val="center"/>
          </w:tcPr>
          <w:p w:rsidR="00E66630" w:rsidRPr="00113A61" w:rsidRDefault="00E66630" w:rsidP="003B1283">
            <w:pPr>
              <w:jc w:val="center"/>
              <w:rPr>
                <w:rFonts w:ascii="Arial Narrow" w:hAnsi="Arial Narrow"/>
                <w:b/>
                <w:sz w:val="20"/>
                <w:szCs w:val="20"/>
              </w:rPr>
            </w:pPr>
            <w:r w:rsidRPr="00113A61">
              <w:rPr>
                <w:rFonts w:ascii="Arial Narrow" w:hAnsi="Arial Narrow"/>
                <w:sz w:val="20"/>
                <w:szCs w:val="20"/>
              </w:rPr>
              <w:t>E/ F</w:t>
            </w:r>
          </w:p>
        </w:tc>
        <w:tc>
          <w:tcPr>
            <w:tcW w:w="685" w:type="dxa"/>
            <w:gridSpan w:val="2"/>
            <w:vAlign w:val="center"/>
          </w:tcPr>
          <w:p w:rsidR="00E66630" w:rsidRPr="00113A61" w:rsidRDefault="00E66630" w:rsidP="003B1283">
            <w:pPr>
              <w:jc w:val="center"/>
              <w:rPr>
                <w:rFonts w:ascii="Arial Narrow" w:hAnsi="Arial Narrow"/>
                <w:b/>
                <w:sz w:val="20"/>
                <w:szCs w:val="20"/>
              </w:rPr>
            </w:pPr>
            <w:r w:rsidRPr="00113A61">
              <w:rPr>
                <w:rFonts w:ascii="Arial Narrow" w:hAnsi="Arial Narrow"/>
                <w:sz w:val="20"/>
                <w:szCs w:val="20"/>
              </w:rPr>
              <w:t>E/ F</w:t>
            </w:r>
          </w:p>
        </w:tc>
        <w:tc>
          <w:tcPr>
            <w:tcW w:w="649" w:type="dxa"/>
            <w:vAlign w:val="center"/>
          </w:tcPr>
          <w:p w:rsidR="00E66630" w:rsidRPr="00113A61" w:rsidRDefault="004633F6" w:rsidP="003B1283">
            <w:pPr>
              <w:jc w:val="center"/>
              <w:rPr>
                <w:rFonts w:ascii="Arial Narrow" w:hAnsi="Arial Narrow"/>
                <w:b/>
                <w:sz w:val="20"/>
                <w:szCs w:val="20"/>
              </w:rPr>
            </w:pPr>
            <w:r w:rsidRPr="00113A61">
              <w:rPr>
                <w:rFonts w:ascii="Arial Narrow" w:hAnsi="Arial Narrow"/>
                <w:sz w:val="20"/>
                <w:szCs w:val="20"/>
              </w:rPr>
              <w:t>E/ F</w:t>
            </w:r>
          </w:p>
        </w:tc>
        <w:tc>
          <w:tcPr>
            <w:tcW w:w="650" w:type="dxa"/>
            <w:vAlign w:val="center"/>
          </w:tcPr>
          <w:p w:rsidR="00E66630" w:rsidRPr="00113A61" w:rsidRDefault="004633F6" w:rsidP="003B1283">
            <w:pPr>
              <w:jc w:val="center"/>
              <w:rPr>
                <w:rFonts w:ascii="Arial Narrow" w:hAnsi="Arial Narrow"/>
                <w:b/>
                <w:sz w:val="20"/>
                <w:szCs w:val="20"/>
              </w:rPr>
            </w:pPr>
            <w:r w:rsidRPr="00113A61">
              <w:rPr>
                <w:rFonts w:ascii="Arial Narrow" w:hAnsi="Arial Narrow"/>
                <w:sz w:val="20"/>
                <w:szCs w:val="20"/>
              </w:rPr>
              <w:t>E/ F</w:t>
            </w:r>
          </w:p>
        </w:tc>
      </w:tr>
      <w:tr w:rsidR="00E66630" w:rsidTr="00E55000">
        <w:tc>
          <w:tcPr>
            <w:tcW w:w="4678" w:type="dxa"/>
            <w:gridSpan w:val="8"/>
          </w:tcPr>
          <w:p w:rsidR="00E66630" w:rsidRPr="00E47966" w:rsidRDefault="00E66630" w:rsidP="003B1283">
            <w:pPr>
              <w:rPr>
                <w:rFonts w:ascii="Arial Narrow" w:hAnsi="Arial Narrow" w:cs="Times New Roman"/>
                <w:sz w:val="20"/>
                <w:szCs w:val="20"/>
                <w:lang w:val="bg-BG" w:eastAsia="bg-BG" w:bidi="ar-SA"/>
              </w:rPr>
            </w:pPr>
            <w:r>
              <w:rPr>
                <w:rFonts w:ascii="Arial Narrow" w:hAnsi="Arial Narrow" w:cs="Arial Narrow"/>
                <w:sz w:val="20"/>
                <w:szCs w:val="20"/>
                <w:lang w:eastAsia="bg-BG" w:bidi="ar-SA"/>
              </w:rPr>
              <w:t>Southwest direction</w:t>
            </w:r>
          </w:p>
        </w:tc>
      </w:tr>
      <w:tr w:rsidR="002129AF" w:rsidTr="00E66630">
        <w:tc>
          <w:tcPr>
            <w:tcW w:w="781" w:type="dxa"/>
          </w:tcPr>
          <w:p w:rsidR="002129AF" w:rsidRPr="00E47966" w:rsidRDefault="002129AF" w:rsidP="003B1283">
            <w:pPr>
              <w:jc w:val="both"/>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t, </w:t>
            </w:r>
            <w:r>
              <w:rPr>
                <w:rFonts w:cs="Times New Roman"/>
                <w:sz w:val="20"/>
                <w:szCs w:val="20"/>
                <w:lang w:eastAsia="bg-BG" w:bidi="ar-SA"/>
              </w:rPr>
              <w:t>°</w:t>
            </w:r>
            <w:r>
              <w:rPr>
                <w:rFonts w:ascii="Arial Narrow" w:hAnsi="Arial Narrow" w:cs="Arial Narrow"/>
                <w:sz w:val="20"/>
                <w:szCs w:val="20"/>
                <w:lang w:eastAsia="bg-BG" w:bidi="ar-SA"/>
              </w:rPr>
              <w:t xml:space="preserve"> C</w:t>
            </w:r>
          </w:p>
        </w:tc>
        <w:tc>
          <w:tcPr>
            <w:tcW w:w="649" w:type="dxa"/>
            <w:vAlign w:val="center"/>
          </w:tcPr>
          <w:p w:rsidR="002129AF" w:rsidRPr="0017686B" w:rsidRDefault="002129AF" w:rsidP="003B1283">
            <w:pPr>
              <w:jc w:val="center"/>
              <w:rPr>
                <w:rFonts w:ascii="Arial Narrow" w:hAnsi="Arial Narrow"/>
                <w:sz w:val="20"/>
                <w:szCs w:val="20"/>
              </w:rPr>
            </w:pPr>
            <w:r>
              <w:rPr>
                <w:rFonts w:ascii="Arial Narrow" w:hAnsi="Arial Narrow"/>
                <w:sz w:val="20"/>
                <w:szCs w:val="20"/>
              </w:rPr>
              <w:t>-</w:t>
            </w:r>
          </w:p>
        </w:tc>
        <w:tc>
          <w:tcPr>
            <w:tcW w:w="650" w:type="dxa"/>
            <w:vAlign w:val="center"/>
          </w:tcPr>
          <w:p w:rsidR="002129AF" w:rsidRPr="0017686B" w:rsidRDefault="002129AF" w:rsidP="003B1283">
            <w:pPr>
              <w:jc w:val="center"/>
              <w:rPr>
                <w:rFonts w:ascii="Arial Narrow" w:hAnsi="Arial Narrow"/>
                <w:sz w:val="20"/>
                <w:szCs w:val="20"/>
              </w:rPr>
            </w:pPr>
            <w:r>
              <w:rPr>
                <w:rFonts w:ascii="Arial Narrow" w:hAnsi="Arial Narrow"/>
                <w:sz w:val="20"/>
                <w:szCs w:val="20"/>
              </w:rPr>
              <w:t>-</w:t>
            </w:r>
          </w:p>
        </w:tc>
        <w:tc>
          <w:tcPr>
            <w:tcW w:w="614" w:type="dxa"/>
            <w:vAlign w:val="center"/>
          </w:tcPr>
          <w:p w:rsidR="002129AF" w:rsidRPr="002129AF" w:rsidRDefault="002129AF" w:rsidP="003B1283">
            <w:pPr>
              <w:jc w:val="center"/>
              <w:rPr>
                <w:rFonts w:ascii="Arial Narrow" w:hAnsi="Arial Narrow"/>
                <w:sz w:val="20"/>
                <w:szCs w:val="20"/>
              </w:rPr>
            </w:pPr>
            <w:r>
              <w:rPr>
                <w:rFonts w:ascii="Arial Narrow" w:hAnsi="Arial Narrow"/>
                <w:sz w:val="20"/>
                <w:szCs w:val="20"/>
              </w:rPr>
              <w:t>4-5</w:t>
            </w:r>
          </w:p>
        </w:tc>
        <w:tc>
          <w:tcPr>
            <w:tcW w:w="685" w:type="dxa"/>
            <w:gridSpan w:val="2"/>
            <w:vAlign w:val="center"/>
          </w:tcPr>
          <w:p w:rsidR="002129AF" w:rsidRPr="0017686B" w:rsidRDefault="002129AF" w:rsidP="003B1283">
            <w:pPr>
              <w:jc w:val="center"/>
              <w:rPr>
                <w:rFonts w:ascii="Arial Narrow" w:hAnsi="Arial Narrow"/>
                <w:sz w:val="20"/>
                <w:szCs w:val="20"/>
              </w:rPr>
            </w:pPr>
            <w:r>
              <w:rPr>
                <w:rFonts w:ascii="Arial Narrow" w:hAnsi="Arial Narrow"/>
                <w:sz w:val="20"/>
                <w:szCs w:val="20"/>
              </w:rPr>
              <w:t>-</w:t>
            </w:r>
          </w:p>
        </w:tc>
        <w:tc>
          <w:tcPr>
            <w:tcW w:w="649" w:type="dxa"/>
            <w:vAlign w:val="center"/>
          </w:tcPr>
          <w:p w:rsidR="002129AF" w:rsidRPr="0017686B" w:rsidRDefault="002129AF" w:rsidP="003B1283">
            <w:pPr>
              <w:jc w:val="center"/>
              <w:rPr>
                <w:rFonts w:ascii="Arial Narrow" w:hAnsi="Arial Narrow"/>
                <w:sz w:val="20"/>
                <w:szCs w:val="20"/>
              </w:rPr>
            </w:pPr>
            <w:r>
              <w:rPr>
                <w:rFonts w:ascii="Arial Narrow" w:hAnsi="Arial Narrow"/>
                <w:sz w:val="20"/>
                <w:szCs w:val="20"/>
              </w:rPr>
              <w:t>-</w:t>
            </w:r>
          </w:p>
        </w:tc>
        <w:tc>
          <w:tcPr>
            <w:tcW w:w="650" w:type="dxa"/>
            <w:vAlign w:val="center"/>
          </w:tcPr>
          <w:p w:rsidR="002129AF" w:rsidRPr="0017686B" w:rsidRDefault="002129AF" w:rsidP="003B1283">
            <w:pPr>
              <w:jc w:val="center"/>
              <w:rPr>
                <w:rFonts w:ascii="Arial Narrow" w:hAnsi="Arial Narrow"/>
                <w:sz w:val="20"/>
                <w:szCs w:val="20"/>
              </w:rPr>
            </w:pPr>
            <w:r>
              <w:rPr>
                <w:rFonts w:ascii="Arial Narrow" w:hAnsi="Arial Narrow"/>
                <w:sz w:val="20"/>
                <w:szCs w:val="20"/>
              </w:rPr>
              <w:t>-</w:t>
            </w:r>
          </w:p>
        </w:tc>
      </w:tr>
      <w:tr w:rsidR="002129AF" w:rsidTr="00E66630">
        <w:tc>
          <w:tcPr>
            <w:tcW w:w="781" w:type="dxa"/>
          </w:tcPr>
          <w:p w:rsidR="002129AF" w:rsidRPr="002B7218" w:rsidRDefault="002129AF" w:rsidP="003B1283">
            <w:pPr>
              <w:jc w:val="both"/>
              <w:rPr>
                <w:rFonts w:ascii="Arial Narrow" w:hAnsi="Arial Narrow" w:cs="Times New Roman"/>
                <w:sz w:val="18"/>
                <w:szCs w:val="18"/>
                <w:lang w:val="bg-BG" w:eastAsia="bg-BG" w:bidi="ar-SA"/>
              </w:rPr>
            </w:pPr>
            <w:r w:rsidRPr="002B7218">
              <w:rPr>
                <w:rFonts w:ascii="Arial Narrow" w:hAnsi="Arial Narrow" w:cs="Arial Narrow"/>
                <w:sz w:val="18"/>
                <w:szCs w:val="18"/>
                <w:lang w:eastAsia="bg-BG" w:bidi="ar-SA"/>
              </w:rPr>
              <w:t>Stability class</w:t>
            </w:r>
          </w:p>
        </w:tc>
        <w:tc>
          <w:tcPr>
            <w:tcW w:w="649" w:type="dxa"/>
            <w:vAlign w:val="center"/>
          </w:tcPr>
          <w:p w:rsidR="002129AF" w:rsidRPr="0017686B" w:rsidRDefault="002129AF" w:rsidP="003B1283">
            <w:pPr>
              <w:jc w:val="center"/>
              <w:rPr>
                <w:rFonts w:ascii="Arial Narrow" w:hAnsi="Arial Narrow"/>
                <w:sz w:val="18"/>
                <w:szCs w:val="18"/>
              </w:rPr>
            </w:pPr>
            <w:r>
              <w:rPr>
                <w:rFonts w:ascii="Arial Narrow" w:hAnsi="Arial Narrow"/>
                <w:sz w:val="18"/>
                <w:szCs w:val="18"/>
              </w:rPr>
              <w:t>-</w:t>
            </w:r>
          </w:p>
        </w:tc>
        <w:tc>
          <w:tcPr>
            <w:tcW w:w="650" w:type="dxa"/>
            <w:vAlign w:val="center"/>
          </w:tcPr>
          <w:p w:rsidR="002129AF" w:rsidRPr="0017686B" w:rsidRDefault="002129AF" w:rsidP="003B1283">
            <w:pPr>
              <w:jc w:val="center"/>
              <w:rPr>
                <w:rFonts w:ascii="Arial Narrow" w:hAnsi="Arial Narrow"/>
                <w:sz w:val="18"/>
                <w:szCs w:val="18"/>
              </w:rPr>
            </w:pPr>
            <w:r>
              <w:rPr>
                <w:rFonts w:ascii="Arial Narrow" w:hAnsi="Arial Narrow"/>
                <w:sz w:val="18"/>
                <w:szCs w:val="18"/>
              </w:rPr>
              <w:t>-</w:t>
            </w:r>
          </w:p>
        </w:tc>
        <w:tc>
          <w:tcPr>
            <w:tcW w:w="614" w:type="dxa"/>
            <w:vAlign w:val="center"/>
          </w:tcPr>
          <w:p w:rsidR="002129AF" w:rsidRPr="00113A61" w:rsidRDefault="002129AF" w:rsidP="003B1283">
            <w:pPr>
              <w:jc w:val="center"/>
              <w:rPr>
                <w:rFonts w:ascii="Arial Narrow" w:hAnsi="Arial Narrow"/>
                <w:b/>
                <w:sz w:val="20"/>
                <w:szCs w:val="20"/>
              </w:rPr>
            </w:pPr>
            <w:r w:rsidRPr="00113A61">
              <w:rPr>
                <w:rFonts w:ascii="Arial Narrow" w:hAnsi="Arial Narrow"/>
                <w:sz w:val="20"/>
                <w:szCs w:val="20"/>
              </w:rPr>
              <w:t>E/ F</w:t>
            </w:r>
          </w:p>
        </w:tc>
        <w:tc>
          <w:tcPr>
            <w:tcW w:w="685" w:type="dxa"/>
            <w:gridSpan w:val="2"/>
            <w:vAlign w:val="center"/>
          </w:tcPr>
          <w:p w:rsidR="002129AF" w:rsidRPr="0017686B" w:rsidRDefault="002129AF" w:rsidP="003B1283">
            <w:pPr>
              <w:jc w:val="center"/>
              <w:rPr>
                <w:rFonts w:ascii="Arial Narrow" w:hAnsi="Arial Narrow"/>
                <w:sz w:val="18"/>
                <w:szCs w:val="18"/>
              </w:rPr>
            </w:pPr>
            <w:r>
              <w:rPr>
                <w:rFonts w:ascii="Arial Narrow" w:hAnsi="Arial Narrow"/>
                <w:sz w:val="18"/>
                <w:szCs w:val="18"/>
              </w:rPr>
              <w:t>-</w:t>
            </w:r>
          </w:p>
        </w:tc>
        <w:tc>
          <w:tcPr>
            <w:tcW w:w="649" w:type="dxa"/>
            <w:vAlign w:val="center"/>
          </w:tcPr>
          <w:p w:rsidR="002129AF" w:rsidRPr="0017686B" w:rsidRDefault="002129AF" w:rsidP="003B1283">
            <w:pPr>
              <w:jc w:val="center"/>
              <w:rPr>
                <w:rFonts w:ascii="Arial Narrow" w:hAnsi="Arial Narrow"/>
                <w:sz w:val="18"/>
                <w:szCs w:val="18"/>
              </w:rPr>
            </w:pPr>
            <w:r>
              <w:rPr>
                <w:rFonts w:ascii="Arial Narrow" w:hAnsi="Arial Narrow"/>
                <w:sz w:val="18"/>
                <w:szCs w:val="18"/>
              </w:rPr>
              <w:t>-</w:t>
            </w:r>
          </w:p>
        </w:tc>
        <w:tc>
          <w:tcPr>
            <w:tcW w:w="650" w:type="dxa"/>
            <w:vAlign w:val="center"/>
          </w:tcPr>
          <w:p w:rsidR="002129AF" w:rsidRPr="0017686B" w:rsidRDefault="002129AF" w:rsidP="003B1283">
            <w:pPr>
              <w:jc w:val="center"/>
              <w:rPr>
                <w:rFonts w:ascii="Arial Narrow" w:hAnsi="Arial Narrow"/>
                <w:sz w:val="18"/>
                <w:szCs w:val="18"/>
              </w:rPr>
            </w:pPr>
            <w:r>
              <w:rPr>
                <w:rFonts w:ascii="Arial Narrow" w:hAnsi="Arial Narrow"/>
                <w:sz w:val="18"/>
                <w:szCs w:val="18"/>
              </w:rPr>
              <w:t>-</w:t>
            </w:r>
          </w:p>
        </w:tc>
      </w:tr>
    </w:tbl>
    <w:p w:rsidR="00075E89" w:rsidRDefault="00075E89" w:rsidP="003B1283">
      <w:pPr>
        <w:ind w:firstLine="168"/>
        <w:jc w:val="both"/>
        <w:rPr>
          <w:rFonts w:ascii="Arial Narrow" w:hAnsi="Arial Narrow" w:cs="Times New Roman"/>
          <w:sz w:val="20"/>
          <w:szCs w:val="20"/>
          <w:lang w:eastAsia="bg-BG" w:bidi="ar-SA"/>
        </w:rPr>
      </w:pPr>
    </w:p>
    <w:p w:rsidR="00075E89" w:rsidRPr="00D43EA7" w:rsidRDefault="00E02825" w:rsidP="003B1283">
      <w:pPr>
        <w:jc w:val="both"/>
        <w:rPr>
          <w:rFonts w:ascii="Arial Narrow" w:hAnsi="Arial Narrow" w:cs="Times New Roman"/>
          <w:sz w:val="20"/>
          <w:szCs w:val="20"/>
          <w:lang w:eastAsia="bg-BG" w:bidi="ar-SA"/>
        </w:rPr>
      </w:pPr>
      <w:r w:rsidRPr="00E02825">
        <w:rPr>
          <w:rFonts w:ascii="Arial Narrow" w:hAnsi="Arial Narrow" w:cs="Times New Roman"/>
          <w:noProof/>
          <w:sz w:val="20"/>
          <w:szCs w:val="20"/>
          <w:lang w:val="bg-BG" w:eastAsia="bg-BG" w:bidi="ar-SA"/>
        </w:rPr>
        <w:drawing>
          <wp:inline distT="0" distB="0" distL="0" distR="0" wp14:anchorId="15F3DB3B" wp14:editId="472E2320">
            <wp:extent cx="2970335" cy="2576146"/>
            <wp:effectExtent l="19050" t="0" r="2051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5E89" w:rsidRDefault="00075E89" w:rsidP="003B1283">
      <w:pPr>
        <w:ind w:firstLine="168"/>
        <w:jc w:val="both"/>
        <w:rPr>
          <w:rFonts w:ascii="Arial Narrow" w:hAnsi="Arial Narrow" w:cs="Times New Roman"/>
          <w:sz w:val="20"/>
          <w:szCs w:val="20"/>
          <w:lang w:eastAsia="bg-BG" w:bidi="ar-SA"/>
        </w:rPr>
      </w:pPr>
    </w:p>
    <w:p w:rsidR="00EA36BB" w:rsidRPr="003B70F9" w:rsidRDefault="00EA36BB" w:rsidP="003B1283">
      <w:pPr>
        <w:jc w:val="both"/>
        <w:rPr>
          <w:rFonts w:ascii="Arial Narrow" w:hAnsi="Arial Narrow" w:cs="Times New Roman"/>
          <w:sz w:val="16"/>
          <w:szCs w:val="16"/>
          <w:lang w:eastAsia="bg-BG" w:bidi="ar-SA"/>
        </w:rPr>
      </w:pPr>
      <w:proofErr w:type="gramStart"/>
      <w:r w:rsidRPr="003B70F9">
        <w:rPr>
          <w:rFonts w:ascii="Arial Narrow" w:hAnsi="Arial Narrow" w:cs="Arial Narrow"/>
          <w:b/>
          <w:sz w:val="16"/>
          <w:szCs w:val="16"/>
          <w:lang w:eastAsia="bg-BG" w:bidi="ar-SA"/>
        </w:rPr>
        <w:t>Fig. 2.</w:t>
      </w:r>
      <w:proofErr w:type="gramEnd"/>
      <w:r w:rsidRPr="003B70F9">
        <w:rPr>
          <w:rFonts w:ascii="Arial Narrow" w:hAnsi="Arial Narrow" w:cs="Arial Narrow"/>
          <w:b/>
          <w:sz w:val="16"/>
          <w:szCs w:val="16"/>
          <w:lang w:eastAsia="bg-BG" w:bidi="ar-SA"/>
        </w:rPr>
        <w:t xml:space="preserve"> The wind rose </w:t>
      </w:r>
      <w:r w:rsidR="00954DC9" w:rsidRPr="003B70F9">
        <w:rPr>
          <w:rFonts w:ascii="Arial Narrow" w:hAnsi="Arial Narrow" w:cs="Arial Narrow"/>
          <w:b/>
          <w:sz w:val="16"/>
          <w:szCs w:val="16"/>
          <w:lang w:eastAsia="bg-BG" w:bidi="ar-SA"/>
        </w:rPr>
        <w:t xml:space="preserve">of </w:t>
      </w:r>
      <w:r w:rsidRPr="003B70F9">
        <w:rPr>
          <w:rFonts w:ascii="Arial Narrow" w:hAnsi="Arial Narrow" w:cs="Arial Narrow"/>
          <w:b/>
          <w:sz w:val="16"/>
          <w:szCs w:val="16"/>
          <w:lang w:eastAsia="bg-BG" w:bidi="ar-SA"/>
        </w:rPr>
        <w:t>the area around TPP ‘’</w:t>
      </w:r>
      <w:proofErr w:type="spellStart"/>
      <w:r w:rsidRPr="003B70F9">
        <w:rPr>
          <w:rFonts w:ascii="Arial Narrow" w:hAnsi="Arial Narrow" w:cs="Arial Narrow"/>
          <w:b/>
          <w:sz w:val="16"/>
          <w:szCs w:val="16"/>
          <w:lang w:eastAsia="bg-BG" w:bidi="ar-SA"/>
        </w:rPr>
        <w:t>Bobov</w:t>
      </w:r>
      <w:proofErr w:type="spellEnd"/>
      <w:r w:rsidRPr="003B70F9">
        <w:rPr>
          <w:rFonts w:ascii="Arial Narrow" w:hAnsi="Arial Narrow" w:cs="Arial Narrow"/>
          <w:b/>
          <w:sz w:val="16"/>
          <w:szCs w:val="16"/>
          <w:lang w:eastAsia="bg-BG" w:bidi="ar-SA"/>
        </w:rPr>
        <w:t xml:space="preserve"> </w:t>
      </w:r>
      <w:proofErr w:type="spellStart"/>
      <w:r w:rsidRPr="003B70F9">
        <w:rPr>
          <w:rFonts w:ascii="Arial Narrow" w:hAnsi="Arial Narrow" w:cs="Arial Narrow"/>
          <w:b/>
          <w:sz w:val="16"/>
          <w:szCs w:val="16"/>
          <w:lang w:eastAsia="bg-BG" w:bidi="ar-SA"/>
        </w:rPr>
        <w:t>dol</w:t>
      </w:r>
      <w:proofErr w:type="spellEnd"/>
      <w:r w:rsidRPr="003B70F9">
        <w:rPr>
          <w:rFonts w:ascii="Arial Narrow" w:hAnsi="Arial Narrow" w:cs="Arial Narrow"/>
          <w:b/>
          <w:sz w:val="16"/>
          <w:szCs w:val="16"/>
          <w:lang w:eastAsia="bg-BG" w:bidi="ar-SA"/>
        </w:rPr>
        <w:t xml:space="preserve">” </w:t>
      </w:r>
      <w:r w:rsidR="003C0C08" w:rsidRPr="003B70F9">
        <w:rPr>
          <w:rFonts w:ascii="Arial Narrow" w:hAnsi="Arial Narrow" w:cs="Arial Narrow"/>
          <w:b/>
          <w:sz w:val="16"/>
          <w:szCs w:val="16"/>
          <w:lang w:eastAsia="bg-BG" w:bidi="ar-SA"/>
        </w:rPr>
        <w:t xml:space="preserve">during the </w:t>
      </w:r>
      <w:r w:rsidR="00954DC9" w:rsidRPr="003B70F9">
        <w:rPr>
          <w:rFonts w:ascii="Arial Narrow" w:hAnsi="Arial Narrow" w:cs="Arial Narrow"/>
          <w:b/>
          <w:sz w:val="16"/>
          <w:szCs w:val="16"/>
          <w:lang w:eastAsia="bg-BG" w:bidi="ar-SA"/>
        </w:rPr>
        <w:t xml:space="preserve">night </w:t>
      </w:r>
      <w:r w:rsidRPr="003B70F9">
        <w:rPr>
          <w:rFonts w:ascii="Arial Narrow" w:hAnsi="Arial Narrow" w:cs="Arial Narrow"/>
          <w:b/>
          <w:sz w:val="16"/>
          <w:szCs w:val="16"/>
          <w:lang w:eastAsia="bg-BG" w:bidi="ar-SA"/>
        </w:rPr>
        <w:t>(19 – 07 h)</w:t>
      </w:r>
    </w:p>
    <w:p w:rsidR="00497AF2" w:rsidRDefault="00497AF2" w:rsidP="003B1283">
      <w:pPr>
        <w:spacing w:before="120"/>
        <w:ind w:firstLine="170"/>
        <w:jc w:val="both"/>
        <w:rPr>
          <w:rFonts w:ascii="Arial Narrow" w:hAnsi="Arial Narrow" w:cs="Arial Narrow"/>
          <w:sz w:val="20"/>
          <w:szCs w:val="20"/>
          <w:lang w:eastAsia="bg-BG" w:bidi="ar-SA"/>
        </w:rPr>
      </w:pPr>
      <w:r>
        <w:rPr>
          <w:rFonts w:ascii="Arial Narrow" w:hAnsi="Arial Narrow" w:cs="Times New Roman"/>
          <w:sz w:val="20"/>
          <w:szCs w:val="20"/>
          <w:lang w:eastAsia="bg-BG" w:bidi="ar-SA"/>
        </w:rPr>
        <w:t>All calculations made regarding the SO</w:t>
      </w:r>
      <w:r w:rsidRPr="00497AF2">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dispersion in atmosphere when flue desulfurization unit at TPP “</w:t>
      </w:r>
      <w:proofErr w:type="spellStart"/>
      <w:r>
        <w:rPr>
          <w:rFonts w:ascii="Arial Narrow" w:hAnsi="Arial Narrow" w:cs="Times New Roman"/>
          <w:sz w:val="20"/>
          <w:szCs w:val="20"/>
          <w:lang w:eastAsia="bg-BG" w:bidi="ar-SA"/>
        </w:rPr>
        <w:t>Bobov</w:t>
      </w:r>
      <w:proofErr w:type="spell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dol</w:t>
      </w:r>
      <w:proofErr w:type="spellEnd"/>
      <w:r>
        <w:rPr>
          <w:rFonts w:ascii="Arial Narrow" w:hAnsi="Arial Narrow" w:cs="Times New Roman"/>
          <w:sz w:val="20"/>
          <w:szCs w:val="20"/>
          <w:lang w:eastAsia="bg-BG" w:bidi="ar-SA"/>
        </w:rPr>
        <w:t xml:space="preserve">” works properly (Scenario 1) shown that the pollutant concentration at all classes atmosphere stability would be considerable lower than </w:t>
      </w:r>
      <w:r w:rsidRPr="00263DD9">
        <w:rPr>
          <w:rFonts w:ascii="Arial Narrow" w:hAnsi="Arial Narrow" w:cs="Arial Narrow"/>
          <w:sz w:val="20"/>
          <w:szCs w:val="20"/>
          <w:lang w:eastAsia="bg-BG" w:bidi="ar-SA"/>
        </w:rPr>
        <w:t>M</w:t>
      </w:r>
      <w:r>
        <w:rPr>
          <w:rFonts w:ascii="Arial Narrow" w:hAnsi="Arial Narrow" w:cs="Arial Narrow"/>
          <w:sz w:val="20"/>
          <w:szCs w:val="20"/>
          <w:lang w:eastAsia="bg-BG" w:bidi="ar-SA"/>
        </w:rPr>
        <w:t xml:space="preserve">aximum </w:t>
      </w:r>
      <w:r w:rsidRPr="00263DD9">
        <w:rPr>
          <w:rFonts w:ascii="Arial Narrow" w:hAnsi="Arial Narrow" w:cs="Arial Narrow"/>
          <w:sz w:val="20"/>
          <w:szCs w:val="20"/>
          <w:lang w:eastAsia="bg-BG" w:bidi="ar-SA"/>
        </w:rPr>
        <w:t>A</w:t>
      </w:r>
      <w:r>
        <w:rPr>
          <w:rFonts w:ascii="Arial Narrow" w:hAnsi="Arial Narrow" w:cs="Arial Narrow"/>
          <w:sz w:val="20"/>
          <w:szCs w:val="20"/>
          <w:lang w:eastAsia="bg-BG" w:bidi="ar-SA"/>
        </w:rPr>
        <w:t xml:space="preserve">dmissible </w:t>
      </w:r>
      <w:r w:rsidRPr="00263DD9">
        <w:rPr>
          <w:rFonts w:ascii="Arial Narrow" w:hAnsi="Arial Narrow" w:cs="Arial Narrow"/>
          <w:sz w:val="20"/>
          <w:szCs w:val="20"/>
          <w:lang w:eastAsia="bg-BG" w:bidi="ar-SA"/>
        </w:rPr>
        <w:t>C</w:t>
      </w:r>
      <w:r>
        <w:rPr>
          <w:rFonts w:ascii="Arial Narrow" w:hAnsi="Arial Narrow" w:cs="Arial Narrow"/>
          <w:sz w:val="20"/>
          <w:szCs w:val="20"/>
          <w:lang w:eastAsia="bg-BG" w:bidi="ar-SA"/>
        </w:rPr>
        <w:t>oncentration (MAC)</w:t>
      </w:r>
      <w:r w:rsidRPr="00263DD9">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of </w:t>
      </w:r>
      <w:r w:rsidR="00300541">
        <w:rPr>
          <w:rFonts w:ascii="Arial Narrow" w:hAnsi="Arial Narrow" w:cs="Arial Narrow"/>
          <w:sz w:val="20"/>
          <w:szCs w:val="20"/>
          <w:lang w:eastAsia="bg-BG" w:bidi="ar-SA"/>
        </w:rPr>
        <w:t xml:space="preserve">the pollutant </w:t>
      </w:r>
      <w:r>
        <w:rPr>
          <w:rFonts w:ascii="Arial Narrow" w:hAnsi="Arial Narrow" w:cs="Arial Narrow"/>
          <w:sz w:val="20"/>
          <w:szCs w:val="20"/>
          <w:lang w:eastAsia="bg-BG" w:bidi="ar-SA"/>
        </w:rPr>
        <w:t xml:space="preserve">on </w:t>
      </w:r>
      <w:r w:rsidR="00300541">
        <w:rPr>
          <w:rFonts w:ascii="Arial Narrow" w:hAnsi="Arial Narrow" w:cs="Arial Narrow"/>
          <w:sz w:val="20"/>
          <w:szCs w:val="20"/>
          <w:lang w:eastAsia="bg-BG" w:bidi="ar-SA"/>
        </w:rPr>
        <w:t>daily</w:t>
      </w:r>
      <w:r>
        <w:rPr>
          <w:rFonts w:ascii="Arial Narrow" w:hAnsi="Arial Narrow" w:cs="Arial Narrow"/>
          <w:sz w:val="20"/>
          <w:szCs w:val="20"/>
          <w:lang w:eastAsia="bg-BG" w:bidi="ar-SA"/>
        </w:rPr>
        <w:t xml:space="preserve"> basis</w:t>
      </w:r>
      <w:r w:rsidR="00300541">
        <w:rPr>
          <w:rFonts w:ascii="Arial Narrow" w:hAnsi="Arial Narrow" w:cs="Arial Narrow"/>
          <w:sz w:val="20"/>
          <w:szCs w:val="20"/>
          <w:lang w:eastAsia="bg-BG" w:bidi="ar-SA"/>
        </w:rPr>
        <w:t xml:space="preserve">, </w:t>
      </w:r>
      <w:r w:rsidR="00B82FC1">
        <w:rPr>
          <w:rFonts w:ascii="Arial Narrow" w:hAnsi="Arial Narrow" w:cs="Arial Narrow"/>
          <w:sz w:val="20"/>
          <w:szCs w:val="20"/>
          <w:lang w:eastAsia="bg-BG" w:bidi="ar-SA"/>
        </w:rPr>
        <w:t>in spite</w:t>
      </w:r>
      <w:r w:rsidR="00300541">
        <w:rPr>
          <w:rFonts w:ascii="Arial Narrow" w:hAnsi="Arial Narrow" w:cs="Arial Narrow"/>
          <w:sz w:val="20"/>
          <w:szCs w:val="20"/>
          <w:lang w:eastAsia="bg-BG" w:bidi="ar-SA"/>
        </w:rPr>
        <w:t xml:space="preserve"> of the lower height of release of the treated flue gas in the atmosphere.</w:t>
      </w:r>
    </w:p>
    <w:p w:rsidR="008C0CA1" w:rsidRDefault="008C0CA1" w:rsidP="003B1283">
      <w:pPr>
        <w:spacing w:before="120"/>
        <w:ind w:firstLine="170"/>
        <w:jc w:val="both"/>
        <w:rPr>
          <w:rFonts w:ascii="Arial Narrow" w:hAnsi="Arial Narrow" w:cs="Times New Roman"/>
          <w:sz w:val="20"/>
          <w:szCs w:val="20"/>
          <w:lang w:eastAsia="bg-BG" w:bidi="ar-SA"/>
        </w:rPr>
      </w:pPr>
      <w:r>
        <w:rPr>
          <w:rFonts w:ascii="Arial Narrow" w:hAnsi="Arial Narrow" w:cs="Arial Narrow"/>
          <w:sz w:val="20"/>
          <w:szCs w:val="20"/>
          <w:lang w:eastAsia="bg-BG" w:bidi="ar-SA"/>
        </w:rPr>
        <w:t xml:space="preserve">All calculations below concern </w:t>
      </w:r>
      <w:r>
        <w:rPr>
          <w:rFonts w:ascii="Arial Narrow" w:hAnsi="Arial Narrow" w:cs="Times New Roman"/>
          <w:sz w:val="20"/>
          <w:szCs w:val="20"/>
          <w:lang w:eastAsia="bg-BG" w:bidi="ar-SA"/>
        </w:rPr>
        <w:t>the SO</w:t>
      </w:r>
      <w:r w:rsidRPr="00497AF2">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dispersion in atmosphere when flue gases generated at TPP “</w:t>
      </w:r>
      <w:proofErr w:type="spellStart"/>
      <w:r>
        <w:rPr>
          <w:rFonts w:ascii="Arial Narrow" w:hAnsi="Arial Narrow" w:cs="Times New Roman"/>
          <w:sz w:val="20"/>
          <w:szCs w:val="20"/>
          <w:lang w:eastAsia="bg-BG" w:bidi="ar-SA"/>
        </w:rPr>
        <w:t>Bobov</w:t>
      </w:r>
      <w:proofErr w:type="spell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dol</w:t>
      </w:r>
      <w:proofErr w:type="spellEnd"/>
      <w:r>
        <w:rPr>
          <w:rFonts w:ascii="Arial Narrow" w:hAnsi="Arial Narrow" w:cs="Times New Roman"/>
          <w:sz w:val="20"/>
          <w:szCs w:val="20"/>
          <w:lang w:eastAsia="bg-BG" w:bidi="ar-SA"/>
        </w:rPr>
        <w:t xml:space="preserve">” </w:t>
      </w:r>
      <w:r w:rsidR="005C4990">
        <w:rPr>
          <w:rFonts w:ascii="Arial Narrow" w:hAnsi="Arial Narrow" w:cs="Times New Roman"/>
          <w:sz w:val="20"/>
          <w:szCs w:val="20"/>
          <w:lang w:eastAsia="bg-BG" w:bidi="ar-SA"/>
        </w:rPr>
        <w:t>wouldn`t be</w:t>
      </w:r>
      <w:r>
        <w:rPr>
          <w:rFonts w:ascii="Arial Narrow" w:hAnsi="Arial Narrow" w:cs="Times New Roman"/>
          <w:sz w:val="20"/>
          <w:szCs w:val="20"/>
          <w:lang w:eastAsia="bg-BG" w:bidi="ar-SA"/>
        </w:rPr>
        <w:t xml:space="preserve"> treated (Scenario 2).</w:t>
      </w:r>
    </w:p>
    <w:p w:rsidR="00253B6B" w:rsidRDefault="006470EE" w:rsidP="003B1283">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The classes A and B are classified as unstable and they are related to higher or average incoming solar radiation and wind speed up to 3.9 m/s. Having in mind, the </w:t>
      </w:r>
      <w:r w:rsidR="00416E45">
        <w:rPr>
          <w:rFonts w:ascii="Arial Narrow" w:hAnsi="Arial Narrow" w:cs="Times New Roman"/>
          <w:sz w:val="20"/>
          <w:szCs w:val="20"/>
          <w:lang w:eastAsia="bg-BG" w:bidi="ar-SA"/>
        </w:rPr>
        <w:t xml:space="preserve">mean </w:t>
      </w:r>
      <w:r>
        <w:rPr>
          <w:rFonts w:ascii="Arial Narrow" w:hAnsi="Arial Narrow" w:cs="Times New Roman"/>
          <w:sz w:val="20"/>
          <w:szCs w:val="20"/>
          <w:lang w:eastAsia="bg-BG" w:bidi="ar-SA"/>
        </w:rPr>
        <w:t>wind</w:t>
      </w:r>
      <w:r w:rsidR="00416E45">
        <w:rPr>
          <w:rFonts w:ascii="Arial Narrow" w:hAnsi="Arial Narrow" w:cs="Times New Roman"/>
          <w:sz w:val="20"/>
          <w:szCs w:val="20"/>
          <w:lang w:eastAsia="bg-BG" w:bidi="ar-SA"/>
        </w:rPr>
        <w:t xml:space="preserve"> </w:t>
      </w:r>
      <w:r w:rsidR="00B01E58">
        <w:rPr>
          <w:rFonts w:ascii="Arial Narrow" w:hAnsi="Arial Narrow" w:cs="Times New Roman"/>
          <w:sz w:val="20"/>
          <w:szCs w:val="20"/>
          <w:lang w:eastAsia="bg-BG" w:bidi="ar-SA"/>
        </w:rPr>
        <w:t>ground</w:t>
      </w:r>
      <w:r w:rsidR="003A3E13">
        <w:rPr>
          <w:rFonts w:ascii="Arial Narrow" w:hAnsi="Arial Narrow" w:cs="Times New Roman"/>
          <w:sz w:val="20"/>
          <w:szCs w:val="20"/>
          <w:lang w:eastAsia="bg-BG" w:bidi="ar-SA"/>
        </w:rPr>
        <w:t xml:space="preserve"> speed values</w:t>
      </w:r>
      <w:r w:rsidR="00364BAC">
        <w:rPr>
          <w:rFonts w:ascii="Arial Narrow" w:hAnsi="Arial Narrow" w:cs="Times New Roman"/>
          <w:sz w:val="20"/>
          <w:szCs w:val="20"/>
          <w:lang w:eastAsia="bg-BG" w:bidi="ar-SA"/>
        </w:rPr>
        <w:t xml:space="preserve"> </w:t>
      </w:r>
      <w:r w:rsidR="003A3E13">
        <w:rPr>
          <w:rFonts w:ascii="Arial Narrow" w:hAnsi="Arial Narrow" w:cs="Times New Roman"/>
          <w:sz w:val="20"/>
          <w:szCs w:val="20"/>
          <w:lang w:eastAsia="bg-BG" w:bidi="ar-SA"/>
        </w:rPr>
        <w:t>for each month, the wind speed at 200 m in the range of 1.24 – 2.07 m/s and 1.63 – 3.67 m/s</w:t>
      </w:r>
      <w:r w:rsidR="00A70788">
        <w:rPr>
          <w:rFonts w:ascii="Arial Narrow" w:hAnsi="Arial Narrow" w:cs="Times New Roman"/>
          <w:sz w:val="20"/>
          <w:szCs w:val="20"/>
          <w:lang w:eastAsia="bg-BG" w:bidi="ar-SA"/>
        </w:rPr>
        <w:t xml:space="preserve"> for A and B classes, respectively</w:t>
      </w:r>
      <w:r w:rsidR="006B0BEF">
        <w:rPr>
          <w:rFonts w:ascii="Arial Narrow" w:hAnsi="Arial Narrow" w:cs="Times New Roman"/>
          <w:sz w:val="20"/>
          <w:szCs w:val="20"/>
          <w:lang w:eastAsia="bg-BG" w:bidi="ar-SA"/>
        </w:rPr>
        <w:t xml:space="preserve">, </w:t>
      </w:r>
      <w:r w:rsidR="005F2E0A">
        <w:rPr>
          <w:rFonts w:ascii="Arial Narrow" w:hAnsi="Arial Narrow" w:cs="Times New Roman"/>
          <w:sz w:val="20"/>
          <w:szCs w:val="20"/>
          <w:lang w:eastAsia="bg-BG" w:bidi="ar-SA"/>
        </w:rPr>
        <w:t>would</w:t>
      </w:r>
      <w:r w:rsidR="00364BAC">
        <w:rPr>
          <w:rFonts w:ascii="Arial Narrow" w:hAnsi="Arial Narrow" w:cs="Times New Roman"/>
          <w:sz w:val="20"/>
          <w:szCs w:val="20"/>
          <w:lang w:eastAsia="bg-BG" w:bidi="ar-SA"/>
        </w:rPr>
        <w:t xml:space="preserve"> be</w:t>
      </w:r>
      <w:r w:rsidR="00A70788">
        <w:rPr>
          <w:rFonts w:ascii="Arial Narrow" w:hAnsi="Arial Narrow" w:cs="Times New Roman"/>
          <w:sz w:val="20"/>
          <w:szCs w:val="20"/>
          <w:lang w:eastAsia="bg-BG" w:bidi="ar-SA"/>
        </w:rPr>
        <w:t xml:space="preserve">. </w:t>
      </w:r>
      <w:r w:rsidR="00B01E58">
        <w:rPr>
          <w:rFonts w:ascii="Arial Narrow" w:hAnsi="Arial Narrow" w:cs="Times New Roman"/>
          <w:sz w:val="20"/>
          <w:szCs w:val="20"/>
          <w:lang w:eastAsia="bg-BG" w:bidi="ar-SA"/>
        </w:rPr>
        <w:t xml:space="preserve">These values related to the </w:t>
      </w:r>
      <w:r w:rsidR="00B01E58">
        <w:rPr>
          <w:rFonts w:ascii="Arial Narrow" w:hAnsi="Arial Narrow" w:cs="Times New Roman"/>
          <w:sz w:val="20"/>
          <w:szCs w:val="20"/>
          <w:lang w:eastAsia="bg-BG" w:bidi="ar-SA"/>
        </w:rPr>
        <w:lastRenderedPageBreak/>
        <w:t xml:space="preserve">following ranges of 39.8 </w:t>
      </w:r>
      <w:r w:rsidR="006B0BEF">
        <w:rPr>
          <w:rFonts w:ascii="Arial Narrow" w:hAnsi="Arial Narrow" w:cs="Times New Roman"/>
          <w:sz w:val="20"/>
          <w:szCs w:val="20"/>
          <w:lang w:eastAsia="bg-BG" w:bidi="ar-SA"/>
        </w:rPr>
        <w:t>–</w:t>
      </w:r>
      <w:r w:rsidR="00B01E58">
        <w:rPr>
          <w:rFonts w:ascii="Arial Narrow" w:hAnsi="Arial Narrow" w:cs="Times New Roman"/>
          <w:sz w:val="20"/>
          <w:szCs w:val="20"/>
          <w:lang w:eastAsia="bg-BG" w:bidi="ar-SA"/>
        </w:rPr>
        <w:t xml:space="preserve"> 27.3 m and 32.3</w:t>
      </w:r>
      <w:r w:rsidR="006B0BEF">
        <w:rPr>
          <w:rFonts w:ascii="Arial Narrow" w:hAnsi="Arial Narrow" w:cs="Times New Roman"/>
          <w:sz w:val="20"/>
          <w:szCs w:val="20"/>
          <w:lang w:eastAsia="bg-BG" w:bidi="ar-SA"/>
        </w:rPr>
        <w:t xml:space="preserve"> – </w:t>
      </w:r>
      <w:r w:rsidR="00B01E58">
        <w:rPr>
          <w:rFonts w:ascii="Arial Narrow" w:hAnsi="Arial Narrow" w:cs="Times New Roman"/>
          <w:sz w:val="20"/>
          <w:szCs w:val="20"/>
          <w:lang w:eastAsia="bg-BG" w:bidi="ar-SA"/>
        </w:rPr>
        <w:t xml:space="preserve">17.6 m </w:t>
      </w:r>
      <w:r w:rsidR="002F6231">
        <w:rPr>
          <w:rFonts w:ascii="Arial Narrow" w:hAnsi="Arial Narrow" w:cs="Times New Roman"/>
          <w:sz w:val="20"/>
          <w:szCs w:val="20"/>
          <w:lang w:eastAsia="bg-BG" w:bidi="ar-SA"/>
        </w:rPr>
        <w:t xml:space="preserve">for the buoyancy induced </w:t>
      </w:r>
      <w:r w:rsidR="00B01E58">
        <w:rPr>
          <w:rFonts w:ascii="Arial Narrow" w:hAnsi="Arial Narrow" w:cs="Times New Roman"/>
          <w:sz w:val="20"/>
          <w:szCs w:val="20"/>
          <w:lang w:eastAsia="bg-BG" w:bidi="ar-SA"/>
        </w:rPr>
        <w:t>plume rise height</w:t>
      </w:r>
      <w:r w:rsidR="002F6231">
        <w:rPr>
          <w:rFonts w:ascii="Arial Narrow" w:hAnsi="Arial Narrow" w:cs="Times New Roman"/>
          <w:sz w:val="20"/>
          <w:szCs w:val="20"/>
          <w:lang w:eastAsia="bg-BG" w:bidi="ar-SA"/>
        </w:rPr>
        <w:t xml:space="preserve"> (∆h), respectively, which shown that almost</w:t>
      </w:r>
      <w:r w:rsidR="009C20F5">
        <w:rPr>
          <w:rFonts w:ascii="Arial Narrow" w:hAnsi="Arial Narrow" w:cs="Times New Roman"/>
          <w:sz w:val="20"/>
          <w:szCs w:val="20"/>
          <w:lang w:eastAsia="bg-BG" w:bidi="ar-SA"/>
        </w:rPr>
        <w:t xml:space="preserve"> the</w:t>
      </w:r>
      <w:r w:rsidR="002F6231">
        <w:rPr>
          <w:rFonts w:ascii="Arial Narrow" w:hAnsi="Arial Narrow" w:cs="Times New Roman"/>
          <w:sz w:val="20"/>
          <w:szCs w:val="20"/>
          <w:lang w:eastAsia="bg-BG" w:bidi="ar-SA"/>
        </w:rPr>
        <w:t xml:space="preserve"> insignificant difference in the wind speed determined the significant difference in the effective plume rise when </w:t>
      </w:r>
      <w:r w:rsidR="004546D7">
        <w:rPr>
          <w:rFonts w:ascii="Arial Narrow" w:hAnsi="Arial Narrow" w:cs="Times New Roman"/>
          <w:sz w:val="20"/>
          <w:szCs w:val="20"/>
          <w:lang w:eastAsia="bg-BG" w:bidi="ar-SA"/>
        </w:rPr>
        <w:t>the hot released flue gas</w:t>
      </w:r>
      <w:r w:rsidR="002F6231">
        <w:rPr>
          <w:rFonts w:ascii="Arial Narrow" w:hAnsi="Arial Narrow" w:cs="Times New Roman"/>
          <w:sz w:val="20"/>
          <w:szCs w:val="20"/>
          <w:lang w:eastAsia="bg-BG" w:bidi="ar-SA"/>
        </w:rPr>
        <w:t xml:space="preserve"> </w:t>
      </w:r>
      <w:r w:rsidR="00416E45">
        <w:rPr>
          <w:rFonts w:ascii="Arial Narrow" w:hAnsi="Arial Narrow" w:cs="Times New Roman"/>
          <w:sz w:val="20"/>
          <w:szCs w:val="20"/>
          <w:lang w:eastAsia="bg-BG" w:bidi="ar-SA"/>
        </w:rPr>
        <w:t>would be</w:t>
      </w:r>
      <w:r w:rsidR="002F6231">
        <w:rPr>
          <w:rFonts w:ascii="Arial Narrow" w:hAnsi="Arial Narrow" w:cs="Times New Roman"/>
          <w:sz w:val="20"/>
          <w:szCs w:val="20"/>
          <w:lang w:eastAsia="bg-BG" w:bidi="ar-SA"/>
        </w:rPr>
        <w:t xml:space="preserve"> released in the atmosphere</w:t>
      </w:r>
      <w:r w:rsidR="004546D7">
        <w:rPr>
          <w:rFonts w:ascii="Arial Narrow" w:hAnsi="Arial Narrow" w:cs="Times New Roman"/>
          <w:sz w:val="20"/>
          <w:szCs w:val="20"/>
          <w:lang w:eastAsia="bg-BG" w:bidi="ar-SA"/>
        </w:rPr>
        <w:t xml:space="preserve"> with </w:t>
      </w:r>
      <w:r w:rsidR="002F6231">
        <w:rPr>
          <w:rFonts w:ascii="Arial Narrow" w:hAnsi="Arial Narrow" w:cs="Times New Roman"/>
          <w:sz w:val="20"/>
          <w:szCs w:val="20"/>
          <w:lang w:eastAsia="bg-BG" w:bidi="ar-SA"/>
        </w:rPr>
        <w:t xml:space="preserve">significantly </w:t>
      </w:r>
      <w:r w:rsidR="004546D7">
        <w:rPr>
          <w:rFonts w:ascii="Arial Narrow" w:hAnsi="Arial Narrow" w:cs="Times New Roman"/>
          <w:sz w:val="20"/>
          <w:szCs w:val="20"/>
          <w:lang w:eastAsia="bg-BG" w:bidi="ar-SA"/>
        </w:rPr>
        <w:t xml:space="preserve">lower </w:t>
      </w:r>
      <w:r w:rsidR="002F6231">
        <w:rPr>
          <w:rFonts w:ascii="Arial Narrow" w:hAnsi="Arial Narrow" w:cs="Times New Roman"/>
          <w:sz w:val="20"/>
          <w:szCs w:val="20"/>
          <w:lang w:eastAsia="bg-BG" w:bidi="ar-SA"/>
        </w:rPr>
        <w:t>temperature</w:t>
      </w:r>
      <w:r w:rsidR="009C20F5">
        <w:rPr>
          <w:rFonts w:ascii="Arial Narrow" w:hAnsi="Arial Narrow" w:cs="Times New Roman"/>
          <w:sz w:val="20"/>
          <w:szCs w:val="20"/>
          <w:lang w:eastAsia="bg-BG" w:bidi="ar-SA"/>
        </w:rPr>
        <w:t xml:space="preserve"> and wind speed</w:t>
      </w:r>
      <w:r w:rsidR="002F6231">
        <w:rPr>
          <w:rFonts w:ascii="Arial Narrow" w:hAnsi="Arial Narrow" w:cs="Times New Roman"/>
          <w:sz w:val="20"/>
          <w:szCs w:val="20"/>
          <w:lang w:eastAsia="bg-BG" w:bidi="ar-SA"/>
        </w:rPr>
        <w:t xml:space="preserve">. </w:t>
      </w:r>
      <w:r w:rsidR="006B0BEF">
        <w:rPr>
          <w:rFonts w:ascii="Arial Narrow" w:hAnsi="Arial Narrow" w:cs="Times New Roman"/>
          <w:sz w:val="20"/>
          <w:szCs w:val="20"/>
          <w:lang w:eastAsia="bg-BG" w:bidi="ar-SA"/>
        </w:rPr>
        <w:t>S</w:t>
      </w:r>
      <w:r w:rsidR="00472F86">
        <w:rPr>
          <w:rFonts w:ascii="Arial Narrow" w:hAnsi="Arial Narrow" w:cs="Times New Roman"/>
          <w:sz w:val="20"/>
          <w:szCs w:val="20"/>
          <w:lang w:eastAsia="bg-BG" w:bidi="ar-SA"/>
        </w:rPr>
        <w:t>ulfur</w:t>
      </w:r>
      <w:r w:rsidR="006B0BEF">
        <w:rPr>
          <w:rFonts w:ascii="Arial Narrow" w:hAnsi="Arial Narrow" w:cs="Times New Roman"/>
          <w:sz w:val="20"/>
          <w:szCs w:val="20"/>
          <w:lang w:eastAsia="bg-BG" w:bidi="ar-SA"/>
        </w:rPr>
        <w:t xml:space="preserve"> </w:t>
      </w:r>
      <w:r w:rsidR="00472F86">
        <w:rPr>
          <w:rFonts w:ascii="Arial Narrow" w:hAnsi="Arial Narrow" w:cs="Times New Roman"/>
          <w:sz w:val="20"/>
          <w:szCs w:val="20"/>
          <w:lang w:eastAsia="bg-BG" w:bidi="ar-SA"/>
        </w:rPr>
        <w:t>dioxide was dispersed in horizontal direction solely and</w:t>
      </w:r>
      <w:r w:rsidR="00191DC4" w:rsidRPr="00191DC4">
        <w:rPr>
          <w:rFonts w:ascii="Arial Narrow" w:hAnsi="Arial Narrow" w:cs="Times New Roman"/>
          <w:sz w:val="20"/>
          <w:szCs w:val="20"/>
          <w:lang w:eastAsia="bg-BG" w:bidi="ar-SA"/>
        </w:rPr>
        <w:t xml:space="preserve"> </w:t>
      </w:r>
      <w:r w:rsidR="00191DC4">
        <w:rPr>
          <w:rFonts w:ascii="Arial Narrow" w:hAnsi="Arial Narrow" w:cs="Times New Roman"/>
          <w:sz w:val="20"/>
          <w:szCs w:val="20"/>
          <w:lang w:eastAsia="bg-BG" w:bidi="ar-SA"/>
        </w:rPr>
        <w:t>at a distance of 5 km from TPP “</w:t>
      </w:r>
      <w:proofErr w:type="spellStart"/>
      <w:r w:rsidR="00191DC4">
        <w:rPr>
          <w:rFonts w:ascii="Arial Narrow" w:hAnsi="Arial Narrow" w:cs="Times New Roman"/>
          <w:sz w:val="20"/>
          <w:szCs w:val="20"/>
          <w:lang w:eastAsia="bg-BG" w:bidi="ar-SA"/>
        </w:rPr>
        <w:t>Bobov</w:t>
      </w:r>
      <w:proofErr w:type="spellEnd"/>
      <w:r w:rsidR="00191DC4">
        <w:rPr>
          <w:rFonts w:ascii="Arial Narrow" w:hAnsi="Arial Narrow" w:cs="Times New Roman"/>
          <w:sz w:val="20"/>
          <w:szCs w:val="20"/>
          <w:lang w:eastAsia="bg-BG" w:bidi="ar-SA"/>
        </w:rPr>
        <w:t xml:space="preserve"> </w:t>
      </w:r>
      <w:proofErr w:type="spellStart"/>
      <w:r w:rsidR="00191DC4">
        <w:rPr>
          <w:rFonts w:ascii="Arial Narrow" w:hAnsi="Arial Narrow" w:cs="Times New Roman"/>
          <w:sz w:val="20"/>
          <w:szCs w:val="20"/>
          <w:lang w:eastAsia="bg-BG" w:bidi="ar-SA"/>
        </w:rPr>
        <w:t>dol</w:t>
      </w:r>
      <w:proofErr w:type="spellEnd"/>
      <w:r w:rsidR="00191DC4">
        <w:rPr>
          <w:rFonts w:ascii="Arial Narrow" w:hAnsi="Arial Narrow" w:cs="Times New Roman"/>
          <w:sz w:val="20"/>
          <w:szCs w:val="20"/>
          <w:lang w:eastAsia="bg-BG" w:bidi="ar-SA"/>
        </w:rPr>
        <w:t>”</w:t>
      </w:r>
      <w:r w:rsidR="00472F86">
        <w:rPr>
          <w:rFonts w:ascii="Arial Narrow" w:hAnsi="Arial Narrow" w:cs="Times New Roman"/>
          <w:sz w:val="20"/>
          <w:szCs w:val="20"/>
          <w:lang w:eastAsia="bg-BG" w:bidi="ar-SA"/>
        </w:rPr>
        <w:t xml:space="preserve"> </w:t>
      </w:r>
      <w:r w:rsidR="00B03794">
        <w:rPr>
          <w:rFonts w:ascii="Arial Narrow" w:hAnsi="Arial Narrow" w:cs="Times New Roman"/>
          <w:sz w:val="20"/>
          <w:szCs w:val="20"/>
          <w:lang w:eastAsia="bg-BG" w:bidi="ar-SA"/>
        </w:rPr>
        <w:t>its</w:t>
      </w:r>
      <w:r w:rsidR="00191DC4">
        <w:rPr>
          <w:rFonts w:ascii="Arial Narrow" w:hAnsi="Arial Narrow" w:cs="Times New Roman"/>
          <w:sz w:val="20"/>
          <w:szCs w:val="20"/>
          <w:lang w:eastAsia="bg-BG" w:bidi="ar-SA"/>
        </w:rPr>
        <w:t xml:space="preserve"> </w:t>
      </w:r>
      <w:r w:rsidR="00472F86">
        <w:rPr>
          <w:rFonts w:ascii="Arial Narrow" w:hAnsi="Arial Narrow" w:cs="Times New Roman"/>
          <w:sz w:val="20"/>
          <w:szCs w:val="20"/>
          <w:lang w:eastAsia="bg-BG" w:bidi="ar-SA"/>
        </w:rPr>
        <w:t xml:space="preserve">highest concentration in the below ground air was </w:t>
      </w:r>
      <w:r w:rsidR="00BA63BC">
        <w:rPr>
          <w:rFonts w:ascii="Arial Narrow" w:hAnsi="Arial Narrow" w:cs="Times New Roman"/>
          <w:sz w:val="20"/>
          <w:szCs w:val="20"/>
          <w:lang w:eastAsia="bg-BG" w:bidi="ar-SA"/>
        </w:rPr>
        <w:t xml:space="preserve">predicted </w:t>
      </w:r>
      <w:r w:rsidR="00472F86">
        <w:rPr>
          <w:rFonts w:ascii="Arial Narrow" w:hAnsi="Arial Narrow" w:cs="Times New Roman"/>
          <w:sz w:val="20"/>
          <w:szCs w:val="20"/>
          <w:lang w:eastAsia="bg-BG" w:bidi="ar-SA"/>
        </w:rPr>
        <w:t xml:space="preserve">by this model (Table 5, Figure 3). However, the pollutant concentration determined by this model </w:t>
      </w:r>
      <w:r w:rsidR="006B0BEF">
        <w:rPr>
          <w:rFonts w:ascii="Arial Narrow" w:hAnsi="Arial Narrow" w:cs="Times New Roman"/>
          <w:sz w:val="20"/>
          <w:szCs w:val="20"/>
          <w:lang w:eastAsia="bg-BG" w:bidi="ar-SA"/>
        </w:rPr>
        <w:t xml:space="preserve">for the prevailing atmospheric conditions of the observed period </w:t>
      </w:r>
      <w:r w:rsidR="00472F86">
        <w:rPr>
          <w:rFonts w:ascii="Arial Narrow" w:hAnsi="Arial Narrow" w:cs="Times New Roman"/>
          <w:sz w:val="20"/>
          <w:szCs w:val="20"/>
          <w:lang w:eastAsia="bg-BG" w:bidi="ar-SA"/>
        </w:rPr>
        <w:t xml:space="preserve">was quite lower in comparison to the MAC. The additional calculation which was made shown that if the </w:t>
      </w:r>
      <w:r w:rsidR="00B03794">
        <w:rPr>
          <w:rFonts w:ascii="Arial Narrow" w:hAnsi="Arial Narrow" w:cs="Times New Roman"/>
          <w:sz w:val="20"/>
          <w:szCs w:val="20"/>
          <w:lang w:eastAsia="bg-BG" w:bidi="ar-SA"/>
        </w:rPr>
        <w:t xml:space="preserve">ground level </w:t>
      </w:r>
      <w:r w:rsidR="00472F86">
        <w:rPr>
          <w:rFonts w:ascii="Arial Narrow" w:hAnsi="Arial Narrow" w:cs="Times New Roman"/>
          <w:sz w:val="20"/>
          <w:szCs w:val="20"/>
          <w:lang w:eastAsia="bg-BG" w:bidi="ar-SA"/>
        </w:rPr>
        <w:t>wind speed drop</w:t>
      </w:r>
      <w:r w:rsidR="003134CF">
        <w:rPr>
          <w:rFonts w:ascii="Arial Narrow" w:hAnsi="Arial Narrow" w:cs="Times New Roman"/>
          <w:sz w:val="20"/>
          <w:szCs w:val="20"/>
          <w:lang w:eastAsia="bg-BG" w:bidi="ar-SA"/>
        </w:rPr>
        <w:t>ped</w:t>
      </w:r>
      <w:r w:rsidR="00472F86">
        <w:rPr>
          <w:rFonts w:ascii="Arial Narrow" w:hAnsi="Arial Narrow" w:cs="Times New Roman"/>
          <w:sz w:val="20"/>
          <w:szCs w:val="20"/>
          <w:lang w:eastAsia="bg-BG" w:bidi="ar-SA"/>
        </w:rPr>
        <w:t xml:space="preserve"> below</w:t>
      </w:r>
      <w:r w:rsidR="00B03794">
        <w:rPr>
          <w:rFonts w:ascii="Arial Narrow" w:hAnsi="Arial Narrow" w:cs="Times New Roman"/>
          <w:sz w:val="20"/>
          <w:szCs w:val="20"/>
          <w:lang w:eastAsia="bg-BG" w:bidi="ar-SA"/>
        </w:rPr>
        <w:t xml:space="preserve"> 1.0-1.2 </w:t>
      </w:r>
      <w:r w:rsidR="00472F86">
        <w:rPr>
          <w:rFonts w:ascii="Arial Narrow" w:hAnsi="Arial Narrow" w:cs="Times New Roman"/>
          <w:sz w:val="20"/>
          <w:szCs w:val="20"/>
          <w:lang w:eastAsia="bg-BG" w:bidi="ar-SA"/>
        </w:rPr>
        <w:t xml:space="preserve">m/s, the ground air concentration of sulfur dioxide </w:t>
      </w:r>
      <w:r w:rsidR="00B03794">
        <w:rPr>
          <w:rFonts w:ascii="Arial Narrow" w:hAnsi="Arial Narrow" w:cs="Times New Roman"/>
          <w:sz w:val="20"/>
          <w:szCs w:val="20"/>
          <w:lang w:eastAsia="bg-BG" w:bidi="ar-SA"/>
        </w:rPr>
        <w:t>at 2.5 km from the point source wo</w:t>
      </w:r>
      <w:r w:rsidR="00472F86">
        <w:rPr>
          <w:rFonts w:ascii="Arial Narrow" w:hAnsi="Arial Narrow" w:cs="Times New Roman"/>
          <w:sz w:val="20"/>
          <w:szCs w:val="20"/>
          <w:lang w:eastAsia="bg-BG" w:bidi="ar-SA"/>
        </w:rPr>
        <w:t xml:space="preserve">uld be </w:t>
      </w:r>
      <w:r w:rsidR="000677A5">
        <w:rPr>
          <w:rFonts w:ascii="Arial Narrow" w:hAnsi="Arial Narrow" w:cs="Times New Roman"/>
          <w:sz w:val="20"/>
          <w:szCs w:val="20"/>
          <w:lang w:eastAsia="bg-BG" w:bidi="ar-SA"/>
        </w:rPr>
        <w:t xml:space="preserve">higher than </w:t>
      </w:r>
      <w:r w:rsidR="00B03794">
        <w:rPr>
          <w:rFonts w:ascii="Arial Narrow" w:hAnsi="Arial Narrow" w:cs="Times New Roman"/>
          <w:sz w:val="20"/>
          <w:szCs w:val="20"/>
          <w:lang w:eastAsia="bg-BG" w:bidi="ar-SA"/>
        </w:rPr>
        <w:t xml:space="preserve">the </w:t>
      </w:r>
      <w:r w:rsidR="000677A5">
        <w:rPr>
          <w:rFonts w:ascii="Arial Narrow" w:hAnsi="Arial Narrow" w:cs="Times New Roman"/>
          <w:sz w:val="20"/>
          <w:szCs w:val="20"/>
          <w:lang w:eastAsia="bg-BG" w:bidi="ar-SA"/>
        </w:rPr>
        <w:t>permissible level</w:t>
      </w:r>
      <w:r w:rsidR="006B0BEF">
        <w:rPr>
          <w:rFonts w:ascii="Arial Narrow" w:hAnsi="Arial Narrow" w:cs="Times New Roman"/>
          <w:sz w:val="20"/>
          <w:szCs w:val="20"/>
          <w:lang w:eastAsia="bg-BG" w:bidi="ar-SA"/>
        </w:rPr>
        <w:t xml:space="preserve"> of 350 </w:t>
      </w:r>
      <w:r w:rsidR="006B0BEF">
        <w:rPr>
          <w:rFonts w:ascii="Calibri" w:hAnsi="Calibri" w:cs="Times New Roman"/>
          <w:sz w:val="20"/>
          <w:szCs w:val="20"/>
          <w:lang w:eastAsia="bg-BG" w:bidi="ar-SA"/>
        </w:rPr>
        <w:t>µ</w:t>
      </w:r>
      <w:r w:rsidR="006B0BEF">
        <w:rPr>
          <w:rFonts w:ascii="Arial Narrow" w:hAnsi="Arial Narrow" w:cs="Times New Roman"/>
          <w:sz w:val="20"/>
          <w:szCs w:val="20"/>
          <w:lang w:eastAsia="bg-BG" w:bidi="ar-SA"/>
        </w:rPr>
        <w:t>g/m</w:t>
      </w:r>
      <w:r w:rsidR="006B0BEF" w:rsidRPr="006B0BEF">
        <w:rPr>
          <w:rFonts w:ascii="Arial Narrow" w:hAnsi="Arial Narrow" w:cs="Times New Roman"/>
          <w:sz w:val="20"/>
          <w:szCs w:val="20"/>
          <w:vertAlign w:val="superscript"/>
          <w:lang w:eastAsia="bg-BG" w:bidi="ar-SA"/>
        </w:rPr>
        <w:t>3</w:t>
      </w:r>
      <w:r w:rsidR="000677A5">
        <w:rPr>
          <w:rFonts w:ascii="Arial Narrow" w:hAnsi="Arial Narrow" w:cs="Times New Roman"/>
          <w:sz w:val="20"/>
          <w:szCs w:val="20"/>
          <w:lang w:eastAsia="bg-BG" w:bidi="ar-SA"/>
        </w:rPr>
        <w:t xml:space="preserve">. </w:t>
      </w:r>
      <w:r w:rsidR="00253B6B">
        <w:rPr>
          <w:rFonts w:ascii="Arial Narrow" w:hAnsi="Arial Narrow" w:cs="Times New Roman"/>
          <w:sz w:val="20"/>
          <w:szCs w:val="20"/>
          <w:lang w:eastAsia="bg-BG" w:bidi="ar-SA"/>
        </w:rPr>
        <w:t xml:space="preserve">The south wind which was the most typical wind during the observed period would transported the pollutant in north direction and its concentration in </w:t>
      </w:r>
      <w:proofErr w:type="spellStart"/>
      <w:r w:rsidR="00253B6B">
        <w:rPr>
          <w:rFonts w:ascii="Arial Narrow" w:hAnsi="Arial Narrow" w:cs="Times New Roman"/>
          <w:sz w:val="20"/>
          <w:szCs w:val="20"/>
          <w:lang w:eastAsia="bg-BG" w:bidi="ar-SA"/>
        </w:rPr>
        <w:t>Radomir</w:t>
      </w:r>
      <w:proofErr w:type="spellEnd"/>
      <w:r w:rsidR="00253B6B">
        <w:rPr>
          <w:rFonts w:ascii="Arial Narrow" w:hAnsi="Arial Narrow" w:cs="Times New Roman"/>
          <w:sz w:val="20"/>
          <w:szCs w:val="20"/>
          <w:lang w:eastAsia="bg-BG" w:bidi="ar-SA"/>
        </w:rPr>
        <w:t xml:space="preserve"> (</w:t>
      </w:r>
      <w:r w:rsidR="00BA63BC">
        <w:rPr>
          <w:rFonts w:ascii="Arial Narrow" w:hAnsi="Arial Narrow" w:cs="Times New Roman"/>
          <w:sz w:val="20"/>
          <w:szCs w:val="20"/>
          <w:lang w:eastAsia="bg-BG" w:bidi="ar-SA"/>
        </w:rPr>
        <w:t xml:space="preserve">situated </w:t>
      </w:r>
      <w:r w:rsidR="00253B6B">
        <w:rPr>
          <w:rFonts w:ascii="Arial Narrow" w:hAnsi="Arial Narrow" w:cs="Times New Roman"/>
          <w:sz w:val="20"/>
          <w:szCs w:val="20"/>
          <w:lang w:eastAsia="bg-BG" w:bidi="ar-SA"/>
        </w:rPr>
        <w:t>at 20 km from TPP “</w:t>
      </w:r>
      <w:proofErr w:type="spellStart"/>
      <w:r w:rsidR="00253B6B">
        <w:rPr>
          <w:rFonts w:ascii="Arial Narrow" w:hAnsi="Arial Narrow" w:cs="Times New Roman"/>
          <w:sz w:val="20"/>
          <w:szCs w:val="20"/>
          <w:lang w:eastAsia="bg-BG" w:bidi="ar-SA"/>
        </w:rPr>
        <w:t>Bobov</w:t>
      </w:r>
      <w:proofErr w:type="spellEnd"/>
      <w:r w:rsidR="00253B6B">
        <w:rPr>
          <w:rFonts w:ascii="Arial Narrow" w:hAnsi="Arial Narrow" w:cs="Times New Roman"/>
          <w:sz w:val="20"/>
          <w:szCs w:val="20"/>
          <w:lang w:eastAsia="bg-BG" w:bidi="ar-SA"/>
        </w:rPr>
        <w:t xml:space="preserve"> </w:t>
      </w:r>
      <w:proofErr w:type="spellStart"/>
      <w:r w:rsidR="00253B6B">
        <w:rPr>
          <w:rFonts w:ascii="Arial Narrow" w:hAnsi="Arial Narrow" w:cs="Times New Roman"/>
          <w:sz w:val="20"/>
          <w:szCs w:val="20"/>
          <w:lang w:eastAsia="bg-BG" w:bidi="ar-SA"/>
        </w:rPr>
        <w:t>dol</w:t>
      </w:r>
      <w:proofErr w:type="spellEnd"/>
      <w:r w:rsidR="00253B6B">
        <w:rPr>
          <w:rFonts w:ascii="Arial Narrow" w:hAnsi="Arial Narrow" w:cs="Times New Roman"/>
          <w:sz w:val="20"/>
          <w:szCs w:val="20"/>
          <w:lang w:eastAsia="bg-BG" w:bidi="ar-SA"/>
        </w:rPr>
        <w:t>”</w:t>
      </w:r>
      <w:r w:rsidR="00BA63BC">
        <w:rPr>
          <w:rFonts w:ascii="Arial Narrow" w:hAnsi="Arial Narrow" w:cs="Times New Roman"/>
          <w:sz w:val="20"/>
          <w:szCs w:val="20"/>
          <w:lang w:eastAsia="bg-BG" w:bidi="ar-SA"/>
        </w:rPr>
        <w:t xml:space="preserve"> by air</w:t>
      </w:r>
      <w:r w:rsidR="00253B6B">
        <w:rPr>
          <w:rFonts w:ascii="Arial Narrow" w:hAnsi="Arial Narrow" w:cs="Times New Roman"/>
          <w:sz w:val="20"/>
          <w:szCs w:val="20"/>
          <w:lang w:eastAsia="bg-BG" w:bidi="ar-SA"/>
        </w:rPr>
        <w:t>) would be in the range 4</w:t>
      </w:r>
      <w:r w:rsidR="003134CF">
        <w:rPr>
          <w:rFonts w:ascii="Arial Narrow" w:hAnsi="Arial Narrow" w:cs="Times New Roman"/>
          <w:sz w:val="20"/>
          <w:szCs w:val="20"/>
          <w:lang w:eastAsia="bg-BG" w:bidi="ar-SA"/>
        </w:rPr>
        <w:t>.0</w:t>
      </w:r>
      <w:r w:rsidR="00253B6B">
        <w:rPr>
          <w:rFonts w:ascii="Arial Narrow" w:hAnsi="Arial Narrow" w:cs="Times New Roman"/>
          <w:sz w:val="20"/>
          <w:szCs w:val="20"/>
          <w:lang w:eastAsia="bg-BG" w:bidi="ar-SA"/>
        </w:rPr>
        <w:t xml:space="preserve">-6.5 </w:t>
      </w:r>
      <w:r w:rsidR="00253B6B">
        <w:rPr>
          <w:rFonts w:ascii="Calibri" w:hAnsi="Calibri" w:cs="Times New Roman"/>
          <w:sz w:val="20"/>
          <w:szCs w:val="20"/>
          <w:lang w:eastAsia="bg-BG" w:bidi="ar-SA"/>
        </w:rPr>
        <w:t>µ</w:t>
      </w:r>
      <w:r w:rsidR="00253B6B">
        <w:rPr>
          <w:rFonts w:ascii="Arial Narrow" w:hAnsi="Arial Narrow" w:cs="Times New Roman"/>
          <w:sz w:val="20"/>
          <w:szCs w:val="20"/>
          <w:lang w:eastAsia="bg-BG" w:bidi="ar-SA"/>
        </w:rPr>
        <w:t>g/m</w:t>
      </w:r>
      <w:r w:rsidR="00253B6B" w:rsidRPr="006B0BEF">
        <w:rPr>
          <w:rFonts w:ascii="Arial Narrow" w:hAnsi="Arial Narrow" w:cs="Times New Roman"/>
          <w:sz w:val="20"/>
          <w:szCs w:val="20"/>
          <w:vertAlign w:val="superscript"/>
          <w:lang w:eastAsia="bg-BG" w:bidi="ar-SA"/>
        </w:rPr>
        <w:t>3</w:t>
      </w:r>
      <w:r w:rsidR="00253B6B">
        <w:rPr>
          <w:rFonts w:ascii="Arial Narrow" w:hAnsi="Arial Narrow" w:cs="Times New Roman"/>
          <w:sz w:val="20"/>
          <w:szCs w:val="20"/>
          <w:lang w:eastAsia="bg-BG" w:bidi="ar-SA"/>
        </w:rPr>
        <w:t xml:space="preserve">. The pollutants dispersion at these climatic conditions would be carried out in horizontal as well as radial directions and as a result sulfur dioxide concentration would steadily decreased from </w:t>
      </w:r>
      <w:r w:rsidR="00BA63BC">
        <w:rPr>
          <w:rFonts w:ascii="Arial Narrow" w:hAnsi="Arial Narrow" w:cs="Times New Roman"/>
          <w:sz w:val="20"/>
          <w:szCs w:val="20"/>
          <w:lang w:eastAsia="bg-BG" w:bidi="ar-SA"/>
        </w:rPr>
        <w:t xml:space="preserve">the </w:t>
      </w:r>
      <w:r w:rsidR="00253B6B">
        <w:rPr>
          <w:rFonts w:ascii="Arial Narrow" w:hAnsi="Arial Narrow" w:cs="Times New Roman"/>
          <w:sz w:val="20"/>
          <w:szCs w:val="20"/>
          <w:lang w:eastAsia="bg-BG" w:bidi="ar-SA"/>
        </w:rPr>
        <w:t xml:space="preserve">plume`s centerline (Table 6, Figure 4). </w:t>
      </w:r>
    </w:p>
    <w:p w:rsidR="002F0581" w:rsidRDefault="003A5694" w:rsidP="003B1283">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The class C is classified as a slightly unstable and it was typical at about 25 % of the daily time of observed period. </w:t>
      </w:r>
      <w:r w:rsidR="00BA1F21">
        <w:rPr>
          <w:rFonts w:ascii="Arial Narrow" w:hAnsi="Arial Narrow" w:cs="Times New Roman"/>
          <w:sz w:val="20"/>
          <w:szCs w:val="20"/>
          <w:lang w:eastAsia="bg-BG" w:bidi="ar-SA"/>
        </w:rPr>
        <w:t xml:space="preserve">The south wind determined </w:t>
      </w:r>
      <w:r w:rsidR="003134CF">
        <w:rPr>
          <w:rFonts w:ascii="Arial Narrow" w:hAnsi="Arial Narrow" w:cs="Times New Roman"/>
          <w:sz w:val="20"/>
          <w:szCs w:val="20"/>
          <w:lang w:eastAsia="bg-BG" w:bidi="ar-SA"/>
        </w:rPr>
        <w:t>solely</w:t>
      </w:r>
      <w:r w:rsidR="00BA1F21">
        <w:rPr>
          <w:rFonts w:ascii="Arial Narrow" w:hAnsi="Arial Narrow" w:cs="Times New Roman"/>
          <w:sz w:val="20"/>
          <w:szCs w:val="20"/>
          <w:lang w:eastAsia="bg-BG" w:bidi="ar-SA"/>
        </w:rPr>
        <w:t xml:space="preserve"> this class</w:t>
      </w:r>
      <w:r w:rsidR="00CD2D41">
        <w:rPr>
          <w:rFonts w:ascii="Arial Narrow" w:hAnsi="Arial Narrow" w:cs="Times New Roman"/>
          <w:sz w:val="20"/>
          <w:szCs w:val="20"/>
          <w:lang w:eastAsia="bg-BG" w:bidi="ar-SA"/>
        </w:rPr>
        <w:t xml:space="preserve"> of atmospher</w:t>
      </w:r>
      <w:r w:rsidR="005F2E0A">
        <w:rPr>
          <w:rFonts w:ascii="Arial Narrow" w:hAnsi="Arial Narrow" w:cs="Times New Roman"/>
          <w:sz w:val="20"/>
          <w:szCs w:val="20"/>
          <w:lang w:eastAsia="bg-BG" w:bidi="ar-SA"/>
        </w:rPr>
        <w:t xml:space="preserve">e </w:t>
      </w:r>
      <w:r w:rsidR="00CD2D41">
        <w:rPr>
          <w:rFonts w:ascii="Arial Narrow" w:hAnsi="Arial Narrow" w:cs="Times New Roman"/>
          <w:sz w:val="20"/>
          <w:szCs w:val="20"/>
          <w:lang w:eastAsia="bg-BG" w:bidi="ar-SA"/>
        </w:rPr>
        <w:t>stability</w:t>
      </w:r>
      <w:r w:rsidR="00BA1F21">
        <w:rPr>
          <w:rFonts w:ascii="Arial Narrow" w:hAnsi="Arial Narrow" w:cs="Times New Roman"/>
          <w:sz w:val="20"/>
          <w:szCs w:val="20"/>
          <w:lang w:eastAsia="bg-BG" w:bidi="ar-SA"/>
        </w:rPr>
        <w:t>, as the ground wind speed was in the range of 2.85-3.80 m/s</w:t>
      </w:r>
      <w:r w:rsidR="00CD2D41">
        <w:rPr>
          <w:rFonts w:ascii="Arial Narrow" w:hAnsi="Arial Narrow" w:cs="Times New Roman"/>
          <w:sz w:val="20"/>
          <w:szCs w:val="20"/>
          <w:lang w:eastAsia="bg-BG" w:bidi="ar-SA"/>
        </w:rPr>
        <w:t xml:space="preserve"> and </w:t>
      </w:r>
      <w:r w:rsidR="001B7D77">
        <w:rPr>
          <w:rFonts w:ascii="Arial Narrow" w:hAnsi="Arial Narrow" w:cs="Times New Roman"/>
          <w:sz w:val="20"/>
          <w:szCs w:val="20"/>
          <w:lang w:eastAsia="bg-BG" w:bidi="ar-SA"/>
        </w:rPr>
        <w:t xml:space="preserve">between </w:t>
      </w:r>
      <w:r w:rsidR="00CD2D41">
        <w:rPr>
          <w:rFonts w:ascii="Arial Narrow" w:hAnsi="Arial Narrow" w:cs="Times New Roman"/>
          <w:sz w:val="20"/>
          <w:szCs w:val="20"/>
          <w:lang w:eastAsia="bg-BG" w:bidi="ar-SA"/>
        </w:rPr>
        <w:t>4.52</w:t>
      </w:r>
      <w:r w:rsidR="001B7D77">
        <w:rPr>
          <w:rFonts w:ascii="Arial Narrow" w:hAnsi="Arial Narrow" w:cs="Times New Roman"/>
          <w:sz w:val="20"/>
          <w:szCs w:val="20"/>
          <w:lang w:eastAsia="bg-BG" w:bidi="ar-SA"/>
        </w:rPr>
        <w:t>-</w:t>
      </w:r>
      <w:r w:rsidR="00CD2D41">
        <w:rPr>
          <w:rFonts w:ascii="Arial Narrow" w:hAnsi="Arial Narrow" w:cs="Times New Roman"/>
          <w:sz w:val="20"/>
          <w:szCs w:val="20"/>
          <w:lang w:eastAsia="bg-BG" w:bidi="ar-SA"/>
        </w:rPr>
        <w:t xml:space="preserve">6.00 </w:t>
      </w:r>
      <w:proofErr w:type="gramStart"/>
      <w:r w:rsidR="00CD2D41">
        <w:rPr>
          <w:rFonts w:ascii="Arial Narrow" w:hAnsi="Arial Narrow" w:cs="Times New Roman"/>
          <w:sz w:val="20"/>
          <w:szCs w:val="20"/>
          <w:lang w:eastAsia="bg-BG" w:bidi="ar-SA"/>
        </w:rPr>
        <w:t>m/s</w:t>
      </w:r>
      <w:proofErr w:type="gramEnd"/>
      <w:r w:rsidR="00CD2D41">
        <w:rPr>
          <w:rFonts w:ascii="Arial Narrow" w:hAnsi="Arial Narrow" w:cs="Times New Roman"/>
          <w:sz w:val="20"/>
          <w:szCs w:val="20"/>
          <w:lang w:eastAsia="bg-BG" w:bidi="ar-SA"/>
        </w:rPr>
        <w:t xml:space="preserve"> </w:t>
      </w:r>
      <w:r w:rsidR="001B7D77">
        <w:rPr>
          <w:rFonts w:ascii="Arial Narrow" w:hAnsi="Arial Narrow" w:cs="Times New Roman"/>
          <w:sz w:val="20"/>
          <w:szCs w:val="20"/>
          <w:lang w:eastAsia="bg-BG" w:bidi="ar-SA"/>
        </w:rPr>
        <w:t xml:space="preserve">was the variation of </w:t>
      </w:r>
      <w:r w:rsidR="00CD2D41">
        <w:rPr>
          <w:rFonts w:ascii="Arial Narrow" w:hAnsi="Arial Narrow" w:cs="Times New Roman"/>
          <w:sz w:val="20"/>
          <w:szCs w:val="20"/>
          <w:lang w:eastAsia="bg-BG" w:bidi="ar-SA"/>
        </w:rPr>
        <w:t xml:space="preserve">the wind speed at 200 m height, respectively. </w:t>
      </w:r>
      <w:r w:rsidR="009B308C">
        <w:rPr>
          <w:rFonts w:ascii="Arial Narrow" w:hAnsi="Arial Narrow" w:cs="Times New Roman"/>
          <w:sz w:val="20"/>
          <w:szCs w:val="20"/>
          <w:lang w:eastAsia="bg-BG" w:bidi="ar-SA"/>
        </w:rPr>
        <w:t>At these climatic conditions, the buoyancy induced plume rise height (∆h) w</w:t>
      </w:r>
      <w:r w:rsidR="005F2E0A">
        <w:rPr>
          <w:rFonts w:ascii="Arial Narrow" w:hAnsi="Arial Narrow" w:cs="Times New Roman"/>
          <w:sz w:val="20"/>
          <w:szCs w:val="20"/>
          <w:lang w:eastAsia="bg-BG" w:bidi="ar-SA"/>
        </w:rPr>
        <w:t>ould be</w:t>
      </w:r>
      <w:r w:rsidR="009B308C">
        <w:rPr>
          <w:rFonts w:ascii="Arial Narrow" w:hAnsi="Arial Narrow" w:cs="Times New Roman"/>
          <w:sz w:val="20"/>
          <w:szCs w:val="20"/>
          <w:lang w:eastAsia="bg-BG" w:bidi="ar-SA"/>
        </w:rPr>
        <w:t xml:space="preserve"> in the range of 12.25-14.75 m. </w:t>
      </w:r>
      <w:r w:rsidR="001E4627">
        <w:rPr>
          <w:rFonts w:ascii="Arial Narrow" w:hAnsi="Arial Narrow" w:cs="Times New Roman"/>
          <w:sz w:val="20"/>
          <w:szCs w:val="20"/>
          <w:lang w:eastAsia="bg-BG" w:bidi="ar-SA"/>
        </w:rPr>
        <w:t>This would determine lower concentration of sulfur dioxide at a closer distance to TPP “</w:t>
      </w:r>
      <w:proofErr w:type="spellStart"/>
      <w:r w:rsidR="001E4627">
        <w:rPr>
          <w:rFonts w:ascii="Arial Narrow" w:hAnsi="Arial Narrow" w:cs="Times New Roman"/>
          <w:sz w:val="20"/>
          <w:szCs w:val="20"/>
          <w:lang w:eastAsia="bg-BG" w:bidi="ar-SA"/>
        </w:rPr>
        <w:t>Bobov</w:t>
      </w:r>
      <w:proofErr w:type="spellEnd"/>
      <w:r w:rsidR="001E4627">
        <w:rPr>
          <w:rFonts w:ascii="Arial Narrow" w:hAnsi="Arial Narrow" w:cs="Times New Roman"/>
          <w:sz w:val="20"/>
          <w:szCs w:val="20"/>
          <w:lang w:eastAsia="bg-BG" w:bidi="ar-SA"/>
        </w:rPr>
        <w:t xml:space="preserve"> </w:t>
      </w:r>
      <w:proofErr w:type="spellStart"/>
      <w:r w:rsidR="001E4627">
        <w:rPr>
          <w:rFonts w:ascii="Arial Narrow" w:hAnsi="Arial Narrow" w:cs="Times New Roman"/>
          <w:sz w:val="20"/>
          <w:szCs w:val="20"/>
          <w:lang w:eastAsia="bg-BG" w:bidi="ar-SA"/>
        </w:rPr>
        <w:t>dol</w:t>
      </w:r>
      <w:proofErr w:type="spellEnd"/>
      <w:r w:rsidR="001E4627">
        <w:rPr>
          <w:rFonts w:ascii="Arial Narrow" w:hAnsi="Arial Narrow" w:cs="Times New Roman"/>
          <w:sz w:val="20"/>
          <w:szCs w:val="20"/>
          <w:lang w:eastAsia="bg-BG" w:bidi="ar-SA"/>
        </w:rPr>
        <w:t xml:space="preserve">” in comparison to the stability classes A and B, and </w:t>
      </w:r>
      <w:r w:rsidR="005F2E0A">
        <w:rPr>
          <w:rFonts w:ascii="Arial Narrow" w:hAnsi="Arial Narrow" w:cs="Times New Roman"/>
          <w:sz w:val="20"/>
          <w:szCs w:val="20"/>
          <w:lang w:eastAsia="bg-BG" w:bidi="ar-SA"/>
        </w:rPr>
        <w:t xml:space="preserve">at a </w:t>
      </w:r>
      <w:r w:rsidR="001E4627">
        <w:rPr>
          <w:rFonts w:ascii="Arial Narrow" w:hAnsi="Arial Narrow" w:cs="Times New Roman"/>
          <w:sz w:val="20"/>
          <w:szCs w:val="20"/>
          <w:lang w:eastAsia="bg-BG" w:bidi="ar-SA"/>
        </w:rPr>
        <w:t xml:space="preserve">distance </w:t>
      </w:r>
      <w:r w:rsidR="003134CF">
        <w:rPr>
          <w:rFonts w:ascii="Arial Narrow" w:hAnsi="Arial Narrow" w:cs="Times New Roman"/>
          <w:sz w:val="20"/>
          <w:szCs w:val="20"/>
          <w:lang w:eastAsia="bg-BG" w:bidi="ar-SA"/>
        </w:rPr>
        <w:t xml:space="preserve">to the power plant </w:t>
      </w:r>
      <w:r w:rsidR="001E4627">
        <w:rPr>
          <w:rFonts w:ascii="Arial Narrow" w:hAnsi="Arial Narrow" w:cs="Times New Roman"/>
          <w:sz w:val="20"/>
          <w:szCs w:val="20"/>
          <w:lang w:eastAsia="bg-BG" w:bidi="ar-SA"/>
        </w:rPr>
        <w:t>higher than 10 km the pollutants concentration w</w:t>
      </w:r>
      <w:r w:rsidR="003134CF">
        <w:rPr>
          <w:rFonts w:ascii="Arial Narrow" w:hAnsi="Arial Narrow" w:cs="Times New Roman"/>
          <w:sz w:val="20"/>
          <w:szCs w:val="20"/>
          <w:lang w:eastAsia="bg-BG" w:bidi="ar-SA"/>
        </w:rPr>
        <w:t>ould be</w:t>
      </w:r>
      <w:r w:rsidR="001E4627">
        <w:rPr>
          <w:rFonts w:ascii="Arial Narrow" w:hAnsi="Arial Narrow" w:cs="Times New Roman"/>
          <w:sz w:val="20"/>
          <w:szCs w:val="20"/>
          <w:lang w:eastAsia="bg-BG" w:bidi="ar-SA"/>
        </w:rPr>
        <w:t xml:space="preserve"> higher than the concentration determined for the classes</w:t>
      </w:r>
      <w:r w:rsidR="006D27B3">
        <w:rPr>
          <w:rFonts w:ascii="Arial Narrow" w:hAnsi="Arial Narrow" w:cs="Times New Roman"/>
          <w:sz w:val="20"/>
          <w:szCs w:val="20"/>
          <w:lang w:eastAsia="bg-BG" w:bidi="ar-SA"/>
        </w:rPr>
        <w:t xml:space="preserve"> A and B</w:t>
      </w:r>
      <w:r w:rsidR="001E4627">
        <w:rPr>
          <w:rFonts w:ascii="Arial Narrow" w:hAnsi="Arial Narrow" w:cs="Times New Roman"/>
          <w:sz w:val="20"/>
          <w:szCs w:val="20"/>
          <w:lang w:eastAsia="bg-BG" w:bidi="ar-SA"/>
        </w:rPr>
        <w:t xml:space="preserve">. </w:t>
      </w:r>
      <w:r w:rsidR="006D27B3">
        <w:rPr>
          <w:rFonts w:ascii="Arial Narrow" w:hAnsi="Arial Narrow" w:cs="Times New Roman"/>
          <w:sz w:val="20"/>
          <w:szCs w:val="20"/>
          <w:lang w:eastAsia="bg-BG" w:bidi="ar-SA"/>
        </w:rPr>
        <w:t>Meanwhile</w:t>
      </w:r>
      <w:r w:rsidR="009377E5">
        <w:rPr>
          <w:rFonts w:ascii="Arial Narrow" w:hAnsi="Arial Narrow" w:cs="Times New Roman"/>
          <w:sz w:val="20"/>
          <w:szCs w:val="20"/>
          <w:lang w:eastAsia="bg-BG" w:bidi="ar-SA"/>
        </w:rPr>
        <w:t>, the speed of radial pollutant dispersion in</w:t>
      </w:r>
      <w:r w:rsidR="002B4393">
        <w:rPr>
          <w:rFonts w:ascii="Arial Narrow" w:hAnsi="Arial Narrow" w:cs="Times New Roman"/>
          <w:sz w:val="20"/>
          <w:szCs w:val="20"/>
          <w:lang w:eastAsia="bg-BG" w:bidi="ar-SA"/>
        </w:rPr>
        <w:t xml:space="preserve"> the</w:t>
      </w:r>
      <w:r w:rsidR="009377E5">
        <w:rPr>
          <w:rFonts w:ascii="Arial Narrow" w:hAnsi="Arial Narrow" w:cs="Times New Roman"/>
          <w:sz w:val="20"/>
          <w:szCs w:val="20"/>
          <w:lang w:eastAsia="bg-BG" w:bidi="ar-SA"/>
        </w:rPr>
        <w:t xml:space="preserve"> atmosphere steadily decreased and at a distance </w:t>
      </w:r>
      <w:r w:rsidR="006D27B3">
        <w:rPr>
          <w:rFonts w:ascii="Arial Narrow" w:hAnsi="Arial Narrow" w:cs="Times New Roman"/>
          <w:sz w:val="20"/>
          <w:szCs w:val="20"/>
          <w:lang w:eastAsia="bg-BG" w:bidi="ar-SA"/>
        </w:rPr>
        <w:t xml:space="preserve">higher than </w:t>
      </w:r>
      <w:r w:rsidR="009377E5">
        <w:rPr>
          <w:rFonts w:ascii="Arial Narrow" w:hAnsi="Arial Narrow" w:cs="Times New Roman"/>
          <w:sz w:val="20"/>
          <w:szCs w:val="20"/>
          <w:lang w:eastAsia="bg-BG" w:bidi="ar-SA"/>
        </w:rPr>
        <w:t xml:space="preserve">25 m from the plume`s centerline </w:t>
      </w:r>
      <w:r w:rsidR="002B4393">
        <w:rPr>
          <w:rFonts w:ascii="Arial Narrow" w:hAnsi="Arial Narrow" w:cs="Times New Roman"/>
          <w:sz w:val="20"/>
          <w:szCs w:val="20"/>
          <w:lang w:eastAsia="bg-BG" w:bidi="ar-SA"/>
        </w:rPr>
        <w:t>the pollutant concentration</w:t>
      </w:r>
      <w:r w:rsidR="009377E5">
        <w:rPr>
          <w:rFonts w:ascii="Arial Narrow" w:hAnsi="Arial Narrow" w:cs="Times New Roman"/>
          <w:sz w:val="20"/>
          <w:szCs w:val="20"/>
          <w:lang w:eastAsia="bg-BG" w:bidi="ar-SA"/>
        </w:rPr>
        <w:t xml:space="preserve"> </w:t>
      </w:r>
      <w:r w:rsidR="006D27B3">
        <w:rPr>
          <w:rFonts w:ascii="Arial Narrow" w:hAnsi="Arial Narrow" w:cs="Times New Roman"/>
          <w:sz w:val="20"/>
          <w:szCs w:val="20"/>
          <w:lang w:eastAsia="bg-BG" w:bidi="ar-SA"/>
        </w:rPr>
        <w:t xml:space="preserve">would be </w:t>
      </w:r>
      <w:r w:rsidR="009377E5">
        <w:rPr>
          <w:rFonts w:ascii="Arial Narrow" w:hAnsi="Arial Narrow" w:cs="Times New Roman"/>
          <w:sz w:val="20"/>
          <w:szCs w:val="20"/>
          <w:lang w:eastAsia="bg-BG" w:bidi="ar-SA"/>
        </w:rPr>
        <w:t>drop significantly (Table 6, Figure 4).</w:t>
      </w:r>
    </w:p>
    <w:p w:rsidR="00082BA8" w:rsidRPr="00FE0574" w:rsidRDefault="006F356E" w:rsidP="003B1283">
      <w:pPr>
        <w:spacing w:before="120"/>
        <w:ind w:firstLine="170"/>
        <w:jc w:val="both"/>
        <w:rPr>
          <w:rFonts w:ascii="Arial Narrow" w:hAnsi="Arial Narrow" w:cs="Times New Roman"/>
          <w:sz w:val="20"/>
          <w:szCs w:val="20"/>
          <w:lang w:val="bg-BG" w:eastAsia="bg-BG" w:bidi="ar-SA"/>
        </w:rPr>
      </w:pPr>
      <w:r>
        <w:rPr>
          <w:rFonts w:ascii="Arial Narrow" w:hAnsi="Arial Narrow" w:cs="Times New Roman"/>
          <w:sz w:val="20"/>
          <w:szCs w:val="20"/>
          <w:lang w:eastAsia="bg-BG" w:bidi="ar-SA"/>
        </w:rPr>
        <w:t xml:space="preserve">The class D is classified as neutral and it </w:t>
      </w:r>
      <w:r w:rsidR="00FE629A">
        <w:rPr>
          <w:rFonts w:ascii="Arial Narrow" w:hAnsi="Arial Narrow" w:cs="Times New Roman"/>
          <w:sz w:val="20"/>
          <w:szCs w:val="20"/>
          <w:lang w:eastAsia="bg-BG" w:bidi="ar-SA"/>
        </w:rPr>
        <w:t>was</w:t>
      </w:r>
      <w:r>
        <w:rPr>
          <w:rFonts w:ascii="Arial Narrow" w:hAnsi="Arial Narrow" w:cs="Times New Roman"/>
          <w:sz w:val="20"/>
          <w:szCs w:val="20"/>
          <w:lang w:eastAsia="bg-BG" w:bidi="ar-SA"/>
        </w:rPr>
        <w:t xml:space="preserve"> the only class </w:t>
      </w:r>
      <w:r w:rsidR="009B79D1">
        <w:rPr>
          <w:rFonts w:ascii="Arial Narrow" w:hAnsi="Arial Narrow" w:cs="Times New Roman"/>
          <w:sz w:val="20"/>
          <w:szCs w:val="20"/>
          <w:lang w:eastAsia="bg-BG" w:bidi="ar-SA"/>
        </w:rPr>
        <w:t xml:space="preserve">observed during the day </w:t>
      </w:r>
      <w:r w:rsidR="001A46AA">
        <w:rPr>
          <w:rFonts w:ascii="Arial Narrow" w:hAnsi="Arial Narrow" w:cs="Times New Roman"/>
          <w:sz w:val="20"/>
          <w:szCs w:val="20"/>
          <w:lang w:eastAsia="bg-BG" w:bidi="ar-SA"/>
        </w:rPr>
        <w:t xml:space="preserve">and </w:t>
      </w:r>
      <w:r w:rsidR="009B79D1">
        <w:rPr>
          <w:rFonts w:ascii="Arial Narrow" w:hAnsi="Arial Narrow" w:cs="Times New Roman"/>
          <w:sz w:val="20"/>
          <w:szCs w:val="20"/>
          <w:lang w:eastAsia="bg-BG" w:bidi="ar-SA"/>
        </w:rPr>
        <w:t xml:space="preserve">night when the sky cloud cover was higher </w:t>
      </w:r>
      <w:r w:rsidR="00FE629A">
        <w:rPr>
          <w:rFonts w:ascii="Arial Narrow" w:hAnsi="Arial Narrow" w:cs="Times New Roman"/>
          <w:sz w:val="20"/>
          <w:szCs w:val="20"/>
          <w:lang w:eastAsia="bg-BG" w:bidi="ar-SA"/>
        </w:rPr>
        <w:t>as well as</w:t>
      </w:r>
      <w:r w:rsidR="009B79D1">
        <w:rPr>
          <w:rFonts w:ascii="Arial Narrow" w:hAnsi="Arial Narrow" w:cs="Times New Roman"/>
          <w:sz w:val="20"/>
          <w:szCs w:val="20"/>
          <w:lang w:eastAsia="bg-BG" w:bidi="ar-SA"/>
        </w:rPr>
        <w:t xml:space="preserve"> </w:t>
      </w:r>
      <w:r w:rsidR="001A46AA">
        <w:rPr>
          <w:rFonts w:ascii="Arial Narrow" w:hAnsi="Arial Narrow" w:cs="Times New Roman"/>
          <w:sz w:val="20"/>
          <w:szCs w:val="20"/>
          <w:lang w:eastAsia="bg-BG" w:bidi="ar-SA"/>
        </w:rPr>
        <w:t xml:space="preserve">the </w:t>
      </w:r>
      <w:r w:rsidR="009B79D1">
        <w:rPr>
          <w:rFonts w:ascii="Arial Narrow" w:hAnsi="Arial Narrow" w:cs="Times New Roman"/>
          <w:sz w:val="20"/>
          <w:szCs w:val="20"/>
          <w:lang w:eastAsia="bg-BG" w:bidi="ar-SA"/>
        </w:rPr>
        <w:t>wind`s speed</w:t>
      </w:r>
      <w:r w:rsidR="001A46AA">
        <w:rPr>
          <w:rFonts w:ascii="Arial Narrow" w:hAnsi="Arial Narrow" w:cs="Times New Roman"/>
          <w:sz w:val="20"/>
          <w:szCs w:val="20"/>
          <w:lang w:eastAsia="bg-BG" w:bidi="ar-SA"/>
        </w:rPr>
        <w:t xml:space="preserve"> was</w:t>
      </w:r>
      <w:r w:rsidR="009B79D1">
        <w:rPr>
          <w:rFonts w:ascii="Arial Narrow" w:hAnsi="Arial Narrow" w:cs="Times New Roman"/>
          <w:sz w:val="20"/>
          <w:szCs w:val="20"/>
          <w:lang w:eastAsia="bg-BG" w:bidi="ar-SA"/>
        </w:rPr>
        <w:t xml:space="preserve"> </w:t>
      </w:r>
      <w:r w:rsidR="00F4037A">
        <w:rPr>
          <w:rFonts w:ascii="Arial Narrow" w:hAnsi="Arial Narrow" w:cs="Times New Roman"/>
          <w:sz w:val="20"/>
          <w:szCs w:val="20"/>
          <w:lang w:eastAsia="bg-BG" w:bidi="ar-SA"/>
        </w:rPr>
        <w:t>higher than 5 m/s. In that case</w:t>
      </w:r>
      <w:r w:rsidR="00F43ECD">
        <w:rPr>
          <w:rFonts w:ascii="Arial Narrow" w:hAnsi="Arial Narrow" w:cs="Times New Roman"/>
          <w:sz w:val="20"/>
          <w:szCs w:val="20"/>
          <w:lang w:eastAsia="bg-BG" w:bidi="ar-SA"/>
        </w:rPr>
        <w:t>,</w:t>
      </w:r>
      <w:r w:rsidR="00F4037A">
        <w:rPr>
          <w:rFonts w:ascii="Arial Narrow" w:hAnsi="Arial Narrow" w:cs="Times New Roman"/>
          <w:sz w:val="20"/>
          <w:szCs w:val="20"/>
          <w:lang w:eastAsia="bg-BG" w:bidi="ar-SA"/>
        </w:rPr>
        <w:t xml:space="preserve"> the wind speed at 200 m and the buoyancy induced plume rise height (∆h) w</w:t>
      </w:r>
      <w:r w:rsidR="005F2E0A">
        <w:rPr>
          <w:rFonts w:ascii="Arial Narrow" w:hAnsi="Arial Narrow" w:cs="Times New Roman"/>
          <w:sz w:val="20"/>
          <w:szCs w:val="20"/>
          <w:lang w:eastAsia="bg-BG" w:bidi="ar-SA"/>
        </w:rPr>
        <w:t xml:space="preserve">ould be </w:t>
      </w:r>
      <w:r w:rsidR="00F4037A">
        <w:rPr>
          <w:rFonts w:ascii="Arial Narrow" w:hAnsi="Arial Narrow" w:cs="Times New Roman"/>
          <w:sz w:val="20"/>
          <w:szCs w:val="20"/>
          <w:lang w:eastAsia="bg-BG" w:bidi="ar-SA"/>
        </w:rPr>
        <w:t xml:space="preserve">changed in very narrow range (13.17–13.25 m/s and </w:t>
      </w:r>
      <w:r w:rsidR="00F4037A">
        <w:rPr>
          <w:rFonts w:ascii="Arial Narrow" w:hAnsi="Arial Narrow" w:cs="Times New Roman"/>
          <w:sz w:val="20"/>
          <w:szCs w:val="20"/>
          <w:lang w:val="bg-BG" w:eastAsia="bg-BG" w:bidi="ar-SA"/>
        </w:rPr>
        <w:t>6</w:t>
      </w:r>
      <w:r w:rsidR="00F4037A">
        <w:rPr>
          <w:rFonts w:ascii="Arial Narrow" w:hAnsi="Arial Narrow" w:cs="Times New Roman"/>
          <w:sz w:val="20"/>
          <w:szCs w:val="20"/>
          <w:lang w:eastAsia="bg-BG" w:bidi="ar-SA"/>
        </w:rPr>
        <w:t>.6–7.0</w:t>
      </w:r>
      <w:r w:rsidR="00F4037A">
        <w:rPr>
          <w:rFonts w:ascii="Arial Narrow" w:hAnsi="Arial Narrow" w:cs="Times New Roman"/>
          <w:sz w:val="20"/>
          <w:szCs w:val="20"/>
          <w:lang w:val="bg-BG" w:eastAsia="bg-BG" w:bidi="ar-SA"/>
        </w:rPr>
        <w:t xml:space="preserve"> </w:t>
      </w:r>
      <w:r w:rsidR="00F4037A">
        <w:rPr>
          <w:rFonts w:ascii="Arial Narrow" w:hAnsi="Arial Narrow" w:cs="Times New Roman"/>
          <w:sz w:val="20"/>
          <w:szCs w:val="20"/>
          <w:lang w:eastAsia="bg-BG" w:bidi="ar-SA"/>
        </w:rPr>
        <w:t>m), respectively. At these climatic conditions, the accidentally released plume would be dispersed in the atmosphere in horizontal and vertical directions solely with higher rate which would determine the highest ground level concentration of sulfur dioxide at a distance of 10 km from TPP “</w:t>
      </w:r>
      <w:proofErr w:type="spellStart"/>
      <w:r w:rsidR="00F4037A">
        <w:rPr>
          <w:rFonts w:ascii="Arial Narrow" w:hAnsi="Arial Narrow" w:cs="Times New Roman"/>
          <w:sz w:val="20"/>
          <w:szCs w:val="20"/>
          <w:lang w:eastAsia="bg-BG" w:bidi="ar-SA"/>
        </w:rPr>
        <w:t>Bobov</w:t>
      </w:r>
      <w:proofErr w:type="spellEnd"/>
      <w:r w:rsidR="00F4037A">
        <w:rPr>
          <w:rFonts w:ascii="Arial Narrow" w:hAnsi="Arial Narrow" w:cs="Times New Roman"/>
          <w:sz w:val="20"/>
          <w:szCs w:val="20"/>
          <w:lang w:eastAsia="bg-BG" w:bidi="ar-SA"/>
        </w:rPr>
        <w:t xml:space="preserve"> </w:t>
      </w:r>
      <w:proofErr w:type="spellStart"/>
      <w:r w:rsidR="00F4037A">
        <w:rPr>
          <w:rFonts w:ascii="Arial Narrow" w:hAnsi="Arial Narrow" w:cs="Times New Roman"/>
          <w:sz w:val="20"/>
          <w:szCs w:val="20"/>
          <w:lang w:eastAsia="bg-BG" w:bidi="ar-SA"/>
        </w:rPr>
        <w:t>dol</w:t>
      </w:r>
      <w:proofErr w:type="spellEnd"/>
      <w:r w:rsidR="00F4037A">
        <w:rPr>
          <w:rFonts w:ascii="Arial Narrow" w:hAnsi="Arial Narrow" w:cs="Times New Roman"/>
          <w:sz w:val="20"/>
          <w:szCs w:val="20"/>
          <w:lang w:eastAsia="bg-BG" w:bidi="ar-SA"/>
        </w:rPr>
        <w:t>” (Table 5). At the same</w:t>
      </w:r>
      <w:r w:rsidR="00F43ECD">
        <w:rPr>
          <w:rFonts w:ascii="Arial Narrow" w:hAnsi="Arial Narrow" w:cs="Times New Roman"/>
          <w:sz w:val="20"/>
          <w:szCs w:val="20"/>
          <w:lang w:eastAsia="bg-BG" w:bidi="ar-SA"/>
        </w:rPr>
        <w:t xml:space="preserve"> time</w:t>
      </w:r>
      <w:r w:rsidR="00F4037A">
        <w:rPr>
          <w:rFonts w:ascii="Arial Narrow" w:hAnsi="Arial Narrow" w:cs="Times New Roman"/>
          <w:sz w:val="20"/>
          <w:szCs w:val="20"/>
          <w:lang w:eastAsia="bg-BG" w:bidi="ar-SA"/>
        </w:rPr>
        <w:t>, the variation in the pollutants concentration in vertical direction at the same distance would</w:t>
      </w:r>
      <w:r w:rsidR="00082BA8">
        <w:rPr>
          <w:rFonts w:ascii="Arial Narrow" w:hAnsi="Arial Narrow" w:cs="Times New Roman"/>
          <w:sz w:val="20"/>
          <w:szCs w:val="20"/>
          <w:lang w:eastAsia="bg-BG" w:bidi="ar-SA"/>
        </w:rPr>
        <w:t xml:space="preserve"> be</w:t>
      </w:r>
      <w:r w:rsidR="00082BA8">
        <w:rPr>
          <w:rFonts w:ascii="Arial Narrow" w:hAnsi="Arial Narrow" w:cs="Times New Roman"/>
          <w:sz w:val="20"/>
          <w:szCs w:val="20"/>
          <w:lang w:val="bg-BG" w:eastAsia="bg-BG" w:bidi="ar-SA"/>
        </w:rPr>
        <w:t xml:space="preserve"> </w:t>
      </w:r>
      <w:r w:rsidR="00082BA8">
        <w:rPr>
          <w:rFonts w:ascii="Arial Narrow" w:hAnsi="Arial Narrow" w:cs="Times New Roman"/>
          <w:sz w:val="20"/>
          <w:szCs w:val="20"/>
          <w:lang w:eastAsia="bg-BG" w:bidi="ar-SA"/>
        </w:rPr>
        <w:t xml:space="preserve">also in a narrow range (Figure 5). </w:t>
      </w:r>
    </w:p>
    <w:p w:rsidR="007605BB" w:rsidRDefault="00082BA8" w:rsidP="003B1283">
      <w:pPr>
        <w:spacing w:before="120"/>
        <w:ind w:firstLine="170"/>
        <w:jc w:val="both"/>
        <w:rPr>
          <w:rFonts w:ascii="Arial Narrow" w:hAnsi="Arial Narrow" w:cs="Arial Narrow"/>
          <w:sz w:val="20"/>
          <w:szCs w:val="20"/>
          <w:lang w:eastAsia="bg-BG" w:bidi="ar-SA"/>
        </w:rPr>
      </w:pPr>
      <w:r>
        <w:rPr>
          <w:rFonts w:ascii="Arial Narrow" w:hAnsi="Arial Narrow" w:cs="Times New Roman"/>
          <w:sz w:val="20"/>
          <w:szCs w:val="20"/>
          <w:lang w:eastAsia="bg-BG" w:bidi="ar-SA"/>
        </w:rPr>
        <w:t xml:space="preserve">The classes E and F were observed during the night and both classes related to the stable atmospheric conditions expressed with minimal vertical transfer of masses and energy. The northeast, southeast, and southwest winds associated </w:t>
      </w:r>
      <w:r w:rsidR="00637159">
        <w:rPr>
          <w:rFonts w:ascii="Arial Narrow" w:hAnsi="Arial Narrow" w:cs="Times New Roman"/>
          <w:sz w:val="20"/>
          <w:szCs w:val="20"/>
          <w:lang w:eastAsia="bg-BG" w:bidi="ar-SA"/>
        </w:rPr>
        <w:br w:type="column"/>
      </w:r>
      <w:r w:rsidR="007605BB">
        <w:rPr>
          <w:rFonts w:ascii="Arial Narrow" w:hAnsi="Arial Narrow" w:cs="Arial Narrow"/>
          <w:sz w:val="20"/>
          <w:szCs w:val="20"/>
          <w:lang w:eastAsia="bg-BG" w:bidi="ar-SA"/>
        </w:rPr>
        <w:lastRenderedPageBreak/>
        <w:t>Table 5.</w:t>
      </w:r>
    </w:p>
    <w:p w:rsidR="00EE4474" w:rsidRPr="00EE4474" w:rsidRDefault="007605BB" w:rsidP="003B1283">
      <w:pPr>
        <w:spacing w:after="60"/>
        <w:jc w:val="both"/>
        <w:rPr>
          <w:rFonts w:ascii="Arial Narrow" w:hAnsi="Arial Narrow" w:cs="Arial Narrow"/>
          <w:i/>
          <w:sz w:val="16"/>
          <w:szCs w:val="16"/>
          <w:lang w:eastAsia="bg-BG" w:bidi="ar-SA"/>
        </w:rPr>
      </w:pPr>
      <w:proofErr w:type="gramStart"/>
      <w:r w:rsidRPr="00EE4474">
        <w:rPr>
          <w:rFonts w:ascii="Arial Narrow" w:hAnsi="Arial Narrow" w:cs="Arial Narrow"/>
          <w:i/>
          <w:sz w:val="20"/>
          <w:szCs w:val="20"/>
          <w:lang w:eastAsia="bg-BG" w:bidi="ar-SA"/>
        </w:rPr>
        <w:t>Concentration range of SO</w:t>
      </w:r>
      <w:r w:rsidRPr="00EE4474">
        <w:rPr>
          <w:rFonts w:ascii="Arial Narrow" w:hAnsi="Arial Narrow" w:cs="Arial Narrow"/>
          <w:i/>
          <w:sz w:val="20"/>
          <w:szCs w:val="20"/>
          <w:vertAlign w:val="subscript"/>
          <w:lang w:eastAsia="bg-BG" w:bidi="ar-SA"/>
        </w:rPr>
        <w:t>2</w:t>
      </w:r>
      <w:r w:rsidR="00742ED7">
        <w:rPr>
          <w:rFonts w:ascii="Arial Narrow" w:hAnsi="Arial Narrow" w:cs="Arial Narrow"/>
          <w:i/>
          <w:sz w:val="20"/>
          <w:szCs w:val="20"/>
          <w:vertAlign w:val="subscript"/>
          <w:lang w:eastAsia="bg-BG" w:bidi="ar-SA"/>
        </w:rPr>
        <w:t xml:space="preserve"> </w:t>
      </w:r>
      <w:r w:rsidR="00742ED7" w:rsidRPr="00742ED7">
        <w:rPr>
          <w:rFonts w:ascii="Arial Narrow" w:hAnsi="Arial Narrow" w:cs="Arial Narrow"/>
          <w:i/>
          <w:sz w:val="20"/>
          <w:szCs w:val="20"/>
          <w:lang w:eastAsia="bg-BG" w:bidi="ar-SA"/>
        </w:rPr>
        <w:t>(</w:t>
      </w:r>
      <w:r w:rsidR="00742ED7">
        <w:rPr>
          <w:rFonts w:ascii="Calibri" w:hAnsi="Calibri" w:cs="Arial Narrow"/>
          <w:i/>
          <w:sz w:val="20"/>
          <w:szCs w:val="20"/>
          <w:lang w:eastAsia="bg-BG" w:bidi="ar-SA"/>
        </w:rPr>
        <w:t>µg/m</w:t>
      </w:r>
      <w:r w:rsidR="00742ED7" w:rsidRPr="00742ED7">
        <w:rPr>
          <w:rFonts w:ascii="Calibri" w:hAnsi="Calibri" w:cs="Arial Narrow"/>
          <w:i/>
          <w:sz w:val="20"/>
          <w:szCs w:val="20"/>
          <w:vertAlign w:val="superscript"/>
          <w:lang w:eastAsia="bg-BG" w:bidi="ar-SA"/>
        </w:rPr>
        <w:t>3</w:t>
      </w:r>
      <w:r w:rsidR="00742ED7" w:rsidRPr="00742ED7">
        <w:rPr>
          <w:rFonts w:ascii="Arial Narrow" w:hAnsi="Arial Narrow" w:cs="Arial Narrow"/>
          <w:i/>
          <w:sz w:val="20"/>
          <w:szCs w:val="20"/>
          <w:lang w:eastAsia="bg-BG" w:bidi="ar-SA"/>
        </w:rPr>
        <w:t>)</w:t>
      </w:r>
      <w:r w:rsidRPr="00EE4474">
        <w:rPr>
          <w:rFonts w:ascii="Arial Narrow" w:hAnsi="Arial Narrow" w:cs="Arial Narrow"/>
          <w:i/>
          <w:sz w:val="20"/>
          <w:szCs w:val="20"/>
          <w:lang w:eastAsia="bg-BG" w:bidi="ar-SA"/>
        </w:rPr>
        <w:t xml:space="preserve"> </w:t>
      </w:r>
      <w:r w:rsidR="00EE4474" w:rsidRPr="00EE4474">
        <w:rPr>
          <w:rFonts w:ascii="Arial Narrow" w:hAnsi="Arial Narrow" w:cs="Arial Narrow"/>
          <w:i/>
          <w:sz w:val="20"/>
          <w:szCs w:val="20"/>
          <w:lang w:eastAsia="bg-BG" w:bidi="ar-SA"/>
        </w:rPr>
        <w:t>in the below ground atmospheric layer (2 m) in dependence on the atmospheric stability and the distance to TPP “</w:t>
      </w:r>
      <w:proofErr w:type="spellStart"/>
      <w:r w:rsidR="00EE4474" w:rsidRPr="00EE4474">
        <w:rPr>
          <w:rFonts w:ascii="Arial Narrow" w:hAnsi="Arial Narrow" w:cs="Arial Narrow"/>
          <w:i/>
          <w:sz w:val="20"/>
          <w:szCs w:val="20"/>
          <w:lang w:eastAsia="bg-BG" w:bidi="ar-SA"/>
        </w:rPr>
        <w:t>Bobov</w:t>
      </w:r>
      <w:proofErr w:type="spellEnd"/>
      <w:r w:rsidR="00EE4474" w:rsidRPr="00EE4474">
        <w:rPr>
          <w:rFonts w:ascii="Arial Narrow" w:hAnsi="Arial Narrow" w:cs="Arial Narrow"/>
          <w:i/>
          <w:sz w:val="20"/>
          <w:szCs w:val="20"/>
          <w:lang w:eastAsia="bg-BG" w:bidi="ar-SA"/>
        </w:rPr>
        <w:t xml:space="preserve"> </w:t>
      </w:r>
      <w:proofErr w:type="spellStart"/>
      <w:r w:rsidR="00EE4474" w:rsidRPr="00EE4474">
        <w:rPr>
          <w:rFonts w:ascii="Arial Narrow" w:hAnsi="Arial Narrow" w:cs="Arial Narrow"/>
          <w:i/>
          <w:sz w:val="20"/>
          <w:szCs w:val="20"/>
          <w:lang w:eastAsia="bg-BG" w:bidi="ar-SA"/>
        </w:rPr>
        <w:t>dol</w:t>
      </w:r>
      <w:proofErr w:type="spellEnd"/>
      <w:r w:rsidR="00EE4474" w:rsidRPr="00EE4474">
        <w:rPr>
          <w:rFonts w:ascii="Arial Narrow" w:hAnsi="Arial Narrow" w:cs="Arial Narrow"/>
          <w:i/>
          <w:sz w:val="20"/>
          <w:szCs w:val="20"/>
          <w:lang w:eastAsia="bg-BG" w:bidi="ar-SA"/>
        </w:rPr>
        <w:t>”.</w:t>
      </w:r>
      <w:proofErr w:type="gramEnd"/>
      <w:r w:rsidR="00EE4474" w:rsidRPr="00EE4474">
        <w:rPr>
          <w:rFonts w:ascii="Arial Narrow" w:hAnsi="Arial Narrow" w:cs="Arial Narrow"/>
          <w:i/>
          <w:sz w:val="20"/>
          <w:szCs w:val="20"/>
          <w:lang w:eastAsia="bg-BG" w:bidi="ar-SA"/>
        </w:rPr>
        <w:t xml:space="preserve"> </w:t>
      </w:r>
    </w:p>
    <w:tbl>
      <w:tblPr>
        <w:tblStyle w:val="TableGrid"/>
        <w:tblW w:w="0" w:type="auto"/>
        <w:tblInd w:w="108" w:type="dxa"/>
        <w:tblLayout w:type="fixed"/>
        <w:tblLook w:val="04A0" w:firstRow="1" w:lastRow="0" w:firstColumn="1" w:lastColumn="0" w:noHBand="0" w:noVBand="1"/>
      </w:tblPr>
      <w:tblGrid>
        <w:gridCol w:w="791"/>
        <w:gridCol w:w="624"/>
        <w:gridCol w:w="624"/>
        <w:gridCol w:w="624"/>
        <w:gridCol w:w="624"/>
        <w:gridCol w:w="624"/>
        <w:gridCol w:w="625"/>
      </w:tblGrid>
      <w:tr w:rsidR="00822B0D" w:rsidTr="00B469FA">
        <w:tc>
          <w:tcPr>
            <w:tcW w:w="791" w:type="dxa"/>
            <w:vMerge w:val="restart"/>
          </w:tcPr>
          <w:p w:rsidR="00822B0D" w:rsidRDefault="00822B0D" w:rsidP="003B1283">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Stability </w:t>
            </w:r>
          </w:p>
          <w:p w:rsidR="00822B0D" w:rsidRPr="00822B0D" w:rsidRDefault="00822B0D" w:rsidP="003B1283">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class</w:t>
            </w:r>
          </w:p>
        </w:tc>
        <w:tc>
          <w:tcPr>
            <w:tcW w:w="3745" w:type="dxa"/>
            <w:gridSpan w:val="6"/>
          </w:tcPr>
          <w:p w:rsidR="00822B0D" w:rsidRPr="00822B0D" w:rsidRDefault="00822B0D"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Distance from TPP “</w:t>
            </w:r>
            <w:proofErr w:type="spellStart"/>
            <w:r>
              <w:rPr>
                <w:rFonts w:ascii="Arial Narrow" w:hAnsi="Arial Narrow" w:cs="Times New Roman"/>
                <w:sz w:val="20"/>
                <w:szCs w:val="20"/>
                <w:lang w:eastAsia="bg-BG" w:bidi="ar-SA"/>
              </w:rPr>
              <w:t>Bobov</w:t>
            </w:r>
            <w:proofErr w:type="spell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dol</w:t>
            </w:r>
            <w:proofErr w:type="spellEnd"/>
            <w:r>
              <w:rPr>
                <w:rFonts w:ascii="Arial Narrow" w:hAnsi="Arial Narrow" w:cs="Times New Roman"/>
                <w:sz w:val="20"/>
                <w:szCs w:val="20"/>
                <w:lang w:eastAsia="bg-BG" w:bidi="ar-SA"/>
              </w:rPr>
              <w:t>”, km</w:t>
            </w:r>
          </w:p>
        </w:tc>
      </w:tr>
      <w:tr w:rsidR="007605BB" w:rsidTr="00B469FA">
        <w:tc>
          <w:tcPr>
            <w:tcW w:w="791" w:type="dxa"/>
            <w:vMerge/>
          </w:tcPr>
          <w:p w:rsidR="00822B0D" w:rsidRDefault="00822B0D" w:rsidP="003B1283">
            <w:pPr>
              <w:jc w:val="both"/>
              <w:rPr>
                <w:rFonts w:ascii="Arial Narrow" w:hAnsi="Arial Narrow" w:cs="Times New Roman"/>
                <w:sz w:val="20"/>
                <w:szCs w:val="20"/>
                <w:lang w:val="bg-BG" w:eastAsia="bg-BG" w:bidi="ar-SA"/>
              </w:rPr>
            </w:pPr>
          </w:p>
        </w:tc>
        <w:tc>
          <w:tcPr>
            <w:tcW w:w="624" w:type="dxa"/>
          </w:tcPr>
          <w:p w:rsidR="00822B0D" w:rsidRPr="00822B0D" w:rsidRDefault="00822B0D"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624" w:type="dxa"/>
          </w:tcPr>
          <w:p w:rsidR="00822B0D" w:rsidRPr="00822B0D" w:rsidRDefault="00822B0D"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5.0</w:t>
            </w:r>
          </w:p>
        </w:tc>
        <w:tc>
          <w:tcPr>
            <w:tcW w:w="624" w:type="dxa"/>
          </w:tcPr>
          <w:p w:rsidR="00822B0D" w:rsidRPr="00822B0D" w:rsidRDefault="00822B0D"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10.0</w:t>
            </w:r>
          </w:p>
        </w:tc>
        <w:tc>
          <w:tcPr>
            <w:tcW w:w="624" w:type="dxa"/>
          </w:tcPr>
          <w:p w:rsidR="00822B0D" w:rsidRPr="00822B0D" w:rsidRDefault="00822B0D"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15.0</w:t>
            </w:r>
          </w:p>
        </w:tc>
        <w:tc>
          <w:tcPr>
            <w:tcW w:w="624" w:type="dxa"/>
          </w:tcPr>
          <w:p w:rsidR="00822B0D" w:rsidRPr="00822B0D" w:rsidRDefault="00822B0D"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20.0</w:t>
            </w:r>
          </w:p>
        </w:tc>
        <w:tc>
          <w:tcPr>
            <w:tcW w:w="625" w:type="dxa"/>
          </w:tcPr>
          <w:p w:rsidR="00822B0D" w:rsidRPr="00822B0D" w:rsidRDefault="00822B0D"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30.0</w:t>
            </w:r>
          </w:p>
        </w:tc>
      </w:tr>
      <w:tr w:rsidR="00A57D4E" w:rsidTr="00B469FA">
        <w:tc>
          <w:tcPr>
            <w:tcW w:w="791" w:type="dxa"/>
            <w:vAlign w:val="center"/>
          </w:tcPr>
          <w:p w:rsidR="00822B0D" w:rsidRPr="00822B0D" w:rsidRDefault="00822B0D"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A</w:t>
            </w:r>
          </w:p>
        </w:tc>
        <w:tc>
          <w:tcPr>
            <w:tcW w:w="624" w:type="dxa"/>
          </w:tcPr>
          <w:p w:rsidR="00822B0D" w:rsidRPr="00E50B06" w:rsidRDefault="00CC7090"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176</w:t>
            </w:r>
            <w:r w:rsidR="00BB4346" w:rsidRPr="00E50B06">
              <w:rPr>
                <w:rFonts w:ascii="Arial Narrow" w:hAnsi="Arial Narrow" w:cs="Times New Roman"/>
                <w:sz w:val="18"/>
                <w:szCs w:val="18"/>
                <w:lang w:eastAsia="bg-BG" w:bidi="ar-SA"/>
              </w:rPr>
              <w:t>-285</w:t>
            </w:r>
          </w:p>
        </w:tc>
        <w:tc>
          <w:tcPr>
            <w:tcW w:w="624" w:type="dxa"/>
          </w:tcPr>
          <w:p w:rsidR="00822B0D" w:rsidRPr="00E50B06" w:rsidRDefault="00CC7090"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56.7</w:t>
            </w:r>
            <w:r w:rsidR="00BB4346" w:rsidRPr="00E50B06">
              <w:rPr>
                <w:rFonts w:ascii="Arial Narrow" w:hAnsi="Arial Narrow" w:cs="Times New Roman"/>
                <w:sz w:val="18"/>
                <w:szCs w:val="18"/>
                <w:lang w:eastAsia="bg-BG" w:bidi="ar-SA"/>
              </w:rPr>
              <w:t>-94</w:t>
            </w:r>
          </w:p>
        </w:tc>
        <w:tc>
          <w:tcPr>
            <w:tcW w:w="624" w:type="dxa"/>
          </w:tcPr>
          <w:p w:rsidR="00822B0D" w:rsidRPr="00E50B06" w:rsidRDefault="00CC7090"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15.2</w:t>
            </w:r>
            <w:r w:rsidR="00BB4346" w:rsidRPr="00E50B06">
              <w:rPr>
                <w:rFonts w:ascii="Arial Narrow" w:hAnsi="Arial Narrow" w:cs="Times New Roman"/>
                <w:sz w:val="18"/>
                <w:szCs w:val="18"/>
                <w:lang w:eastAsia="bg-BG" w:bidi="ar-SA"/>
              </w:rPr>
              <w:t>-25.4</w:t>
            </w:r>
          </w:p>
        </w:tc>
        <w:tc>
          <w:tcPr>
            <w:tcW w:w="624" w:type="dxa"/>
          </w:tcPr>
          <w:p w:rsidR="00822B0D" w:rsidRPr="00E50B06" w:rsidRDefault="00CC7090"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6.9</w:t>
            </w:r>
            <w:r w:rsidR="00BB4346" w:rsidRPr="00E50B06">
              <w:rPr>
                <w:rFonts w:ascii="Arial Narrow" w:hAnsi="Arial Narrow" w:cs="Times New Roman"/>
                <w:sz w:val="18"/>
                <w:szCs w:val="18"/>
                <w:lang w:eastAsia="bg-BG" w:bidi="ar-SA"/>
              </w:rPr>
              <w:t>-11.6</w:t>
            </w:r>
          </w:p>
        </w:tc>
        <w:tc>
          <w:tcPr>
            <w:tcW w:w="624" w:type="dxa"/>
          </w:tcPr>
          <w:p w:rsidR="00822B0D" w:rsidRPr="00E50B06" w:rsidRDefault="00CC7090"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4.0</w:t>
            </w:r>
            <w:r w:rsidR="00BB4346" w:rsidRPr="00E50B06">
              <w:rPr>
                <w:rFonts w:ascii="Arial Narrow" w:hAnsi="Arial Narrow" w:cs="Times New Roman"/>
                <w:sz w:val="18"/>
                <w:szCs w:val="18"/>
                <w:lang w:eastAsia="bg-BG" w:bidi="ar-SA"/>
              </w:rPr>
              <w:t>-6.6</w:t>
            </w:r>
          </w:p>
        </w:tc>
        <w:tc>
          <w:tcPr>
            <w:tcW w:w="625" w:type="dxa"/>
          </w:tcPr>
          <w:p w:rsidR="00822B0D" w:rsidRPr="00E50B06" w:rsidRDefault="00CC7090"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1.0</w:t>
            </w:r>
            <w:r w:rsidR="00BB4346" w:rsidRPr="00E50B06">
              <w:rPr>
                <w:rFonts w:ascii="Arial Narrow" w:hAnsi="Arial Narrow" w:cs="Times New Roman"/>
                <w:sz w:val="18"/>
                <w:szCs w:val="18"/>
                <w:lang w:eastAsia="bg-BG" w:bidi="ar-SA"/>
              </w:rPr>
              <w:t>-3.0</w:t>
            </w:r>
          </w:p>
        </w:tc>
      </w:tr>
      <w:tr w:rsidR="00A57D4E" w:rsidTr="00B469FA">
        <w:tc>
          <w:tcPr>
            <w:tcW w:w="791" w:type="dxa"/>
            <w:vAlign w:val="center"/>
          </w:tcPr>
          <w:p w:rsidR="00822B0D" w:rsidRPr="00822B0D" w:rsidRDefault="00822B0D"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B</w:t>
            </w:r>
          </w:p>
        </w:tc>
        <w:tc>
          <w:tcPr>
            <w:tcW w:w="624" w:type="dxa"/>
          </w:tcPr>
          <w:p w:rsidR="00822B0D" w:rsidRPr="00E479B2" w:rsidRDefault="00E479B2"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134-288</w:t>
            </w:r>
          </w:p>
        </w:tc>
        <w:tc>
          <w:tcPr>
            <w:tcW w:w="624" w:type="dxa"/>
          </w:tcPr>
          <w:p w:rsidR="00822B0D" w:rsidRPr="00E479B2" w:rsidRDefault="00E479B2"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45.7-93.4</w:t>
            </w:r>
          </w:p>
        </w:tc>
        <w:tc>
          <w:tcPr>
            <w:tcW w:w="624" w:type="dxa"/>
          </w:tcPr>
          <w:p w:rsidR="00822B0D" w:rsidRPr="00E479B2" w:rsidRDefault="00E479B2"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12.2-25.1</w:t>
            </w:r>
          </w:p>
        </w:tc>
        <w:tc>
          <w:tcPr>
            <w:tcW w:w="624" w:type="dxa"/>
          </w:tcPr>
          <w:p w:rsidR="00822B0D" w:rsidRPr="00524A83" w:rsidRDefault="00A57D4E"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5.1-</w:t>
            </w:r>
            <w:r w:rsidR="00524A83">
              <w:rPr>
                <w:rFonts w:ascii="Arial Narrow" w:hAnsi="Arial Narrow" w:cs="Times New Roman"/>
                <w:sz w:val="18"/>
                <w:szCs w:val="18"/>
                <w:lang w:eastAsia="bg-BG" w:bidi="ar-SA"/>
              </w:rPr>
              <w:t>11.4</w:t>
            </w:r>
          </w:p>
        </w:tc>
        <w:tc>
          <w:tcPr>
            <w:tcW w:w="624" w:type="dxa"/>
          </w:tcPr>
          <w:p w:rsidR="00822B0D" w:rsidRPr="00E479B2" w:rsidRDefault="00E479B2"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3.2-6.5</w:t>
            </w:r>
          </w:p>
        </w:tc>
        <w:tc>
          <w:tcPr>
            <w:tcW w:w="625" w:type="dxa"/>
          </w:tcPr>
          <w:p w:rsidR="00822B0D" w:rsidRPr="00E479B2" w:rsidRDefault="00E479B2"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1.4-2.9</w:t>
            </w:r>
          </w:p>
        </w:tc>
      </w:tr>
      <w:tr w:rsidR="00A57D4E" w:rsidTr="00B469FA">
        <w:tc>
          <w:tcPr>
            <w:tcW w:w="791" w:type="dxa"/>
            <w:vAlign w:val="center"/>
          </w:tcPr>
          <w:p w:rsidR="00822B0D" w:rsidRPr="00822B0D" w:rsidRDefault="00822B0D"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C</w:t>
            </w:r>
          </w:p>
        </w:tc>
        <w:tc>
          <w:tcPr>
            <w:tcW w:w="624" w:type="dxa"/>
          </w:tcPr>
          <w:p w:rsidR="00822B0D" w:rsidRPr="002B4393" w:rsidRDefault="00BB4346" w:rsidP="003B1283">
            <w:pPr>
              <w:jc w:val="center"/>
              <w:rPr>
                <w:rFonts w:ascii="Arial Narrow" w:hAnsi="Arial Narrow" w:cs="Times New Roman"/>
                <w:color w:val="000000" w:themeColor="text1"/>
                <w:sz w:val="16"/>
                <w:szCs w:val="16"/>
                <w:lang w:eastAsia="bg-BG" w:bidi="ar-SA"/>
              </w:rPr>
            </w:pPr>
            <w:r w:rsidRPr="002B4393">
              <w:rPr>
                <w:rFonts w:ascii="Arial Narrow" w:hAnsi="Arial Narrow" w:cs="Times New Roman"/>
                <w:color w:val="000000" w:themeColor="text1"/>
                <w:sz w:val="16"/>
                <w:szCs w:val="16"/>
                <w:lang w:eastAsia="bg-BG" w:bidi="ar-SA"/>
              </w:rPr>
              <w:t>103.4</w:t>
            </w:r>
            <w:r w:rsidR="00B469FA" w:rsidRPr="002B4393">
              <w:rPr>
                <w:rFonts w:ascii="Arial Narrow" w:hAnsi="Arial Narrow" w:cs="Times New Roman"/>
                <w:color w:val="000000" w:themeColor="text1"/>
                <w:sz w:val="16"/>
                <w:szCs w:val="16"/>
                <w:lang w:eastAsia="bg-BG" w:bidi="ar-SA"/>
              </w:rPr>
              <w:t>-</w:t>
            </w:r>
            <w:r w:rsidRPr="002B4393">
              <w:rPr>
                <w:rFonts w:ascii="Arial Narrow" w:hAnsi="Arial Narrow" w:cs="Times New Roman"/>
                <w:color w:val="000000" w:themeColor="text1"/>
                <w:sz w:val="16"/>
                <w:szCs w:val="16"/>
                <w:lang w:eastAsia="bg-BG" w:bidi="ar-SA"/>
              </w:rPr>
              <w:t>133.7</w:t>
            </w:r>
          </w:p>
        </w:tc>
        <w:tc>
          <w:tcPr>
            <w:tcW w:w="624" w:type="dxa"/>
          </w:tcPr>
          <w:p w:rsidR="00822B0D" w:rsidRPr="00E50B06" w:rsidRDefault="00BB434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67.4-88.8</w:t>
            </w:r>
          </w:p>
        </w:tc>
        <w:tc>
          <w:tcPr>
            <w:tcW w:w="624" w:type="dxa"/>
          </w:tcPr>
          <w:p w:rsidR="00822B0D" w:rsidRPr="00E50B06" w:rsidRDefault="00BB434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24.3-32.2</w:t>
            </w:r>
          </w:p>
        </w:tc>
        <w:tc>
          <w:tcPr>
            <w:tcW w:w="624" w:type="dxa"/>
          </w:tcPr>
          <w:p w:rsidR="00822B0D" w:rsidRPr="00E50B06" w:rsidRDefault="00BB434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12.3-16.3</w:t>
            </w:r>
          </w:p>
        </w:tc>
        <w:tc>
          <w:tcPr>
            <w:tcW w:w="624" w:type="dxa"/>
          </w:tcPr>
          <w:p w:rsidR="00822B0D" w:rsidRPr="00E50B06" w:rsidRDefault="00BB434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7.4-9.9</w:t>
            </w:r>
          </w:p>
        </w:tc>
        <w:tc>
          <w:tcPr>
            <w:tcW w:w="625" w:type="dxa"/>
          </w:tcPr>
          <w:p w:rsidR="00822B0D" w:rsidRPr="00E50B06" w:rsidRDefault="00BB434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3.6-4.8</w:t>
            </w:r>
          </w:p>
        </w:tc>
      </w:tr>
      <w:tr w:rsidR="00A57D4E" w:rsidTr="00B469FA">
        <w:tc>
          <w:tcPr>
            <w:tcW w:w="791" w:type="dxa"/>
            <w:vAlign w:val="center"/>
          </w:tcPr>
          <w:p w:rsidR="00822B0D" w:rsidRPr="00822B0D" w:rsidRDefault="00822B0D"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D</w:t>
            </w:r>
          </w:p>
        </w:tc>
        <w:tc>
          <w:tcPr>
            <w:tcW w:w="624" w:type="dxa"/>
          </w:tcPr>
          <w:p w:rsidR="00822B0D" w:rsidRPr="00BF7D96" w:rsidRDefault="00BF7D96"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0.9</w:t>
            </w:r>
          </w:p>
        </w:tc>
        <w:tc>
          <w:tcPr>
            <w:tcW w:w="624" w:type="dxa"/>
          </w:tcPr>
          <w:p w:rsidR="00822B0D" w:rsidRPr="00BF7D96" w:rsidRDefault="00BF7D96"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12.4</w:t>
            </w:r>
          </w:p>
        </w:tc>
        <w:tc>
          <w:tcPr>
            <w:tcW w:w="624" w:type="dxa"/>
          </w:tcPr>
          <w:p w:rsidR="00822B0D" w:rsidRPr="00BF7D96" w:rsidRDefault="00BF7D96"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20.7</w:t>
            </w:r>
          </w:p>
        </w:tc>
        <w:tc>
          <w:tcPr>
            <w:tcW w:w="624" w:type="dxa"/>
          </w:tcPr>
          <w:p w:rsidR="00822B0D" w:rsidRPr="00BF7D96" w:rsidRDefault="00BF7D96"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17.7</w:t>
            </w:r>
          </w:p>
        </w:tc>
        <w:tc>
          <w:tcPr>
            <w:tcW w:w="624" w:type="dxa"/>
          </w:tcPr>
          <w:p w:rsidR="00822B0D" w:rsidRPr="00BF7D96" w:rsidRDefault="00BF7D96"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14.4</w:t>
            </w:r>
          </w:p>
        </w:tc>
        <w:tc>
          <w:tcPr>
            <w:tcW w:w="625" w:type="dxa"/>
          </w:tcPr>
          <w:p w:rsidR="00822B0D" w:rsidRPr="00BF7D96" w:rsidRDefault="00BF7D96" w:rsidP="003B1283">
            <w:pPr>
              <w:jc w:val="center"/>
              <w:rPr>
                <w:rFonts w:ascii="Arial Narrow" w:hAnsi="Arial Narrow" w:cs="Times New Roman"/>
                <w:sz w:val="18"/>
                <w:szCs w:val="18"/>
                <w:lang w:eastAsia="bg-BG" w:bidi="ar-SA"/>
              </w:rPr>
            </w:pPr>
            <w:r>
              <w:rPr>
                <w:rFonts w:ascii="Arial Narrow" w:hAnsi="Arial Narrow" w:cs="Times New Roman"/>
                <w:sz w:val="18"/>
                <w:szCs w:val="18"/>
                <w:lang w:eastAsia="bg-BG" w:bidi="ar-SA"/>
              </w:rPr>
              <w:t>9.8</w:t>
            </w:r>
          </w:p>
        </w:tc>
      </w:tr>
      <w:tr w:rsidR="00A57D4E" w:rsidTr="00B469FA">
        <w:tc>
          <w:tcPr>
            <w:tcW w:w="791" w:type="dxa"/>
            <w:vAlign w:val="center"/>
          </w:tcPr>
          <w:p w:rsidR="00822B0D" w:rsidRPr="00822B0D" w:rsidRDefault="00822B0D"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E</w:t>
            </w:r>
          </w:p>
        </w:tc>
        <w:tc>
          <w:tcPr>
            <w:tcW w:w="624" w:type="dxa"/>
            <w:vAlign w:val="center"/>
          </w:tcPr>
          <w:p w:rsidR="00822B0D" w:rsidRPr="00E50B06" w:rsidRDefault="0072150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 xml:space="preserve">&lt; </w:t>
            </w:r>
            <w:r w:rsidR="00B824DF">
              <w:rPr>
                <w:rFonts w:ascii="Arial Narrow" w:hAnsi="Arial Narrow" w:cs="Times New Roman"/>
                <w:sz w:val="18"/>
                <w:szCs w:val="18"/>
                <w:lang w:eastAsia="bg-BG" w:bidi="ar-SA"/>
              </w:rPr>
              <w:t>0</w:t>
            </w:r>
            <w:r w:rsidRPr="00E50B06">
              <w:rPr>
                <w:rFonts w:ascii="Arial Narrow" w:hAnsi="Arial Narrow" w:cs="Times New Roman"/>
                <w:sz w:val="18"/>
                <w:szCs w:val="18"/>
                <w:lang w:eastAsia="bg-BG" w:bidi="ar-SA"/>
              </w:rPr>
              <w:t>.0</w:t>
            </w:r>
            <w:r w:rsidR="00B824DF">
              <w:rPr>
                <w:rFonts w:ascii="Arial Narrow" w:hAnsi="Arial Narrow" w:cs="Times New Roman"/>
                <w:sz w:val="18"/>
                <w:szCs w:val="18"/>
                <w:lang w:eastAsia="bg-BG" w:bidi="ar-SA"/>
              </w:rPr>
              <w:t>5</w:t>
            </w:r>
          </w:p>
        </w:tc>
        <w:tc>
          <w:tcPr>
            <w:tcW w:w="624" w:type="dxa"/>
          </w:tcPr>
          <w:p w:rsidR="00822B0D" w:rsidRPr="00E50B06" w:rsidRDefault="0072150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0.4-0.9</w:t>
            </w:r>
          </w:p>
        </w:tc>
        <w:tc>
          <w:tcPr>
            <w:tcW w:w="624" w:type="dxa"/>
          </w:tcPr>
          <w:p w:rsidR="00822B0D" w:rsidRPr="00E50B06" w:rsidRDefault="0072150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4.7-13.2</w:t>
            </w:r>
          </w:p>
        </w:tc>
        <w:tc>
          <w:tcPr>
            <w:tcW w:w="624" w:type="dxa"/>
          </w:tcPr>
          <w:p w:rsidR="00822B0D" w:rsidRPr="00E50B06" w:rsidRDefault="0072150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6.3-18.4</w:t>
            </w:r>
          </w:p>
        </w:tc>
        <w:tc>
          <w:tcPr>
            <w:tcW w:w="624" w:type="dxa"/>
          </w:tcPr>
          <w:p w:rsidR="00822B0D" w:rsidRPr="00E50B06" w:rsidRDefault="0072150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9.4-28.4</w:t>
            </w:r>
          </w:p>
        </w:tc>
        <w:tc>
          <w:tcPr>
            <w:tcW w:w="625" w:type="dxa"/>
          </w:tcPr>
          <w:p w:rsidR="00822B0D" w:rsidRPr="00E50B06" w:rsidRDefault="00721506"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8.3-27.5</w:t>
            </w:r>
          </w:p>
        </w:tc>
      </w:tr>
      <w:tr w:rsidR="00A57D4E" w:rsidTr="00B469FA">
        <w:tc>
          <w:tcPr>
            <w:tcW w:w="791" w:type="dxa"/>
            <w:vAlign w:val="center"/>
          </w:tcPr>
          <w:p w:rsidR="00822B0D" w:rsidRPr="00822B0D" w:rsidRDefault="00822B0D"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F</w:t>
            </w:r>
          </w:p>
        </w:tc>
        <w:tc>
          <w:tcPr>
            <w:tcW w:w="624" w:type="dxa"/>
          </w:tcPr>
          <w:p w:rsidR="00822B0D" w:rsidRPr="00E50B06" w:rsidRDefault="00B824DF" w:rsidP="003B1283">
            <w:pPr>
              <w:jc w:val="center"/>
              <w:rPr>
                <w:rFonts w:ascii="Arial Narrow" w:hAnsi="Arial Narrow" w:cs="Times New Roman"/>
                <w:sz w:val="18"/>
                <w:szCs w:val="18"/>
                <w:lang w:val="bg-BG" w:eastAsia="bg-BG" w:bidi="ar-SA"/>
              </w:rPr>
            </w:pPr>
            <w:r w:rsidRPr="00E50B06">
              <w:rPr>
                <w:rFonts w:ascii="Arial Narrow" w:hAnsi="Arial Narrow" w:cs="Times New Roman"/>
                <w:sz w:val="18"/>
                <w:szCs w:val="18"/>
                <w:lang w:eastAsia="bg-BG" w:bidi="ar-SA"/>
              </w:rPr>
              <w:t>&lt;</w:t>
            </w:r>
            <w:r>
              <w:rPr>
                <w:rFonts w:ascii="Arial Narrow" w:hAnsi="Arial Narrow" w:cs="Times New Roman"/>
                <w:sz w:val="18"/>
                <w:szCs w:val="18"/>
                <w:lang w:eastAsia="bg-BG" w:bidi="ar-SA"/>
              </w:rPr>
              <w:t>0</w:t>
            </w:r>
            <w:r w:rsidRPr="00E50B06">
              <w:rPr>
                <w:rFonts w:ascii="Arial Narrow" w:hAnsi="Arial Narrow" w:cs="Times New Roman"/>
                <w:sz w:val="18"/>
                <w:szCs w:val="18"/>
                <w:lang w:eastAsia="bg-BG" w:bidi="ar-SA"/>
              </w:rPr>
              <w:t>.0</w:t>
            </w:r>
            <w:r>
              <w:rPr>
                <w:rFonts w:ascii="Arial Narrow" w:hAnsi="Arial Narrow" w:cs="Times New Roman"/>
                <w:sz w:val="18"/>
                <w:szCs w:val="18"/>
                <w:lang w:eastAsia="bg-BG" w:bidi="ar-SA"/>
              </w:rPr>
              <w:t>5</w:t>
            </w:r>
          </w:p>
        </w:tc>
        <w:tc>
          <w:tcPr>
            <w:tcW w:w="624" w:type="dxa"/>
          </w:tcPr>
          <w:p w:rsidR="00822B0D" w:rsidRPr="00B824DF" w:rsidRDefault="00B824DF"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&lt;</w:t>
            </w:r>
            <w:r>
              <w:rPr>
                <w:rFonts w:ascii="Arial Narrow" w:hAnsi="Arial Narrow" w:cs="Times New Roman"/>
                <w:sz w:val="18"/>
                <w:szCs w:val="18"/>
                <w:lang w:eastAsia="bg-BG" w:bidi="ar-SA"/>
              </w:rPr>
              <w:t>0</w:t>
            </w:r>
            <w:r w:rsidRPr="00E50B06">
              <w:rPr>
                <w:rFonts w:ascii="Arial Narrow" w:hAnsi="Arial Narrow" w:cs="Times New Roman"/>
                <w:sz w:val="18"/>
                <w:szCs w:val="18"/>
                <w:lang w:eastAsia="bg-BG" w:bidi="ar-SA"/>
              </w:rPr>
              <w:t>.0</w:t>
            </w:r>
            <w:r>
              <w:rPr>
                <w:rFonts w:ascii="Arial Narrow" w:hAnsi="Arial Narrow" w:cs="Times New Roman"/>
                <w:sz w:val="18"/>
                <w:szCs w:val="18"/>
                <w:lang w:eastAsia="bg-BG" w:bidi="ar-SA"/>
              </w:rPr>
              <w:t>5</w:t>
            </w:r>
          </w:p>
        </w:tc>
        <w:tc>
          <w:tcPr>
            <w:tcW w:w="624" w:type="dxa"/>
          </w:tcPr>
          <w:p w:rsidR="00822B0D" w:rsidRPr="00B824DF" w:rsidRDefault="00B824DF"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&lt;</w:t>
            </w:r>
            <w:r w:rsidR="00F51AA5">
              <w:rPr>
                <w:rFonts w:ascii="Arial Narrow" w:hAnsi="Arial Narrow" w:cs="Times New Roman"/>
                <w:sz w:val="18"/>
                <w:szCs w:val="18"/>
                <w:lang w:eastAsia="bg-BG" w:bidi="ar-SA"/>
              </w:rPr>
              <w:t>0</w:t>
            </w:r>
            <w:r w:rsidRPr="00E50B06">
              <w:rPr>
                <w:rFonts w:ascii="Arial Narrow" w:hAnsi="Arial Narrow" w:cs="Times New Roman"/>
                <w:sz w:val="18"/>
                <w:szCs w:val="18"/>
                <w:lang w:eastAsia="bg-BG" w:bidi="ar-SA"/>
              </w:rPr>
              <w:t>.0</w:t>
            </w:r>
            <w:r>
              <w:rPr>
                <w:rFonts w:ascii="Arial Narrow" w:hAnsi="Arial Narrow" w:cs="Times New Roman"/>
                <w:sz w:val="18"/>
                <w:szCs w:val="18"/>
                <w:lang w:eastAsia="bg-BG" w:bidi="ar-SA"/>
              </w:rPr>
              <w:t>5</w:t>
            </w:r>
          </w:p>
        </w:tc>
        <w:tc>
          <w:tcPr>
            <w:tcW w:w="624" w:type="dxa"/>
          </w:tcPr>
          <w:p w:rsidR="00822B0D" w:rsidRPr="00B824DF" w:rsidRDefault="00B824DF"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&lt;</w:t>
            </w:r>
            <w:r>
              <w:rPr>
                <w:rFonts w:ascii="Arial Narrow" w:hAnsi="Arial Narrow" w:cs="Times New Roman"/>
                <w:sz w:val="18"/>
                <w:szCs w:val="18"/>
                <w:lang w:eastAsia="bg-BG" w:bidi="ar-SA"/>
              </w:rPr>
              <w:t>0</w:t>
            </w:r>
            <w:r w:rsidRPr="00E50B06">
              <w:rPr>
                <w:rFonts w:ascii="Arial Narrow" w:hAnsi="Arial Narrow" w:cs="Times New Roman"/>
                <w:sz w:val="18"/>
                <w:szCs w:val="18"/>
                <w:lang w:eastAsia="bg-BG" w:bidi="ar-SA"/>
              </w:rPr>
              <w:t>.0</w:t>
            </w:r>
            <w:r>
              <w:rPr>
                <w:rFonts w:ascii="Arial Narrow" w:hAnsi="Arial Narrow" w:cs="Times New Roman"/>
                <w:sz w:val="18"/>
                <w:szCs w:val="18"/>
                <w:lang w:eastAsia="bg-BG" w:bidi="ar-SA"/>
              </w:rPr>
              <w:t>5</w:t>
            </w:r>
          </w:p>
        </w:tc>
        <w:tc>
          <w:tcPr>
            <w:tcW w:w="624" w:type="dxa"/>
          </w:tcPr>
          <w:p w:rsidR="00822B0D" w:rsidRPr="00B824DF" w:rsidRDefault="00B824DF" w:rsidP="003B1283">
            <w:pPr>
              <w:jc w:val="center"/>
              <w:rPr>
                <w:rFonts w:ascii="Arial Narrow" w:hAnsi="Arial Narrow" w:cs="Times New Roman"/>
                <w:sz w:val="18"/>
                <w:szCs w:val="18"/>
                <w:lang w:eastAsia="bg-BG" w:bidi="ar-SA"/>
              </w:rPr>
            </w:pPr>
            <w:r w:rsidRPr="00E50B06">
              <w:rPr>
                <w:rFonts w:ascii="Arial Narrow" w:hAnsi="Arial Narrow" w:cs="Times New Roman"/>
                <w:sz w:val="18"/>
                <w:szCs w:val="18"/>
                <w:lang w:eastAsia="bg-BG" w:bidi="ar-SA"/>
              </w:rPr>
              <w:t>&lt;</w:t>
            </w:r>
            <w:r>
              <w:rPr>
                <w:rFonts w:ascii="Arial Narrow" w:hAnsi="Arial Narrow" w:cs="Times New Roman"/>
                <w:sz w:val="18"/>
                <w:szCs w:val="18"/>
                <w:lang w:eastAsia="bg-BG" w:bidi="ar-SA"/>
              </w:rPr>
              <w:t>0</w:t>
            </w:r>
            <w:r w:rsidRPr="00E50B06">
              <w:rPr>
                <w:rFonts w:ascii="Arial Narrow" w:hAnsi="Arial Narrow" w:cs="Times New Roman"/>
                <w:sz w:val="18"/>
                <w:szCs w:val="18"/>
                <w:lang w:eastAsia="bg-BG" w:bidi="ar-SA"/>
              </w:rPr>
              <w:t>.0</w:t>
            </w:r>
            <w:r>
              <w:rPr>
                <w:rFonts w:ascii="Arial Narrow" w:hAnsi="Arial Narrow" w:cs="Times New Roman"/>
                <w:sz w:val="18"/>
                <w:szCs w:val="18"/>
                <w:lang w:eastAsia="bg-BG" w:bidi="ar-SA"/>
              </w:rPr>
              <w:t>5</w:t>
            </w:r>
          </w:p>
        </w:tc>
        <w:tc>
          <w:tcPr>
            <w:tcW w:w="625" w:type="dxa"/>
          </w:tcPr>
          <w:p w:rsidR="00822B0D" w:rsidRPr="00396DE2" w:rsidRDefault="00E6445D" w:rsidP="003B1283">
            <w:pPr>
              <w:jc w:val="center"/>
              <w:rPr>
                <w:rFonts w:ascii="Arial Narrow" w:hAnsi="Arial Narrow" w:cs="Times New Roman"/>
                <w:sz w:val="16"/>
                <w:szCs w:val="16"/>
                <w:lang w:eastAsia="bg-BG" w:bidi="ar-SA"/>
              </w:rPr>
            </w:pPr>
            <w:r w:rsidRPr="00396DE2">
              <w:rPr>
                <w:rFonts w:ascii="Arial Narrow" w:hAnsi="Arial Narrow" w:cs="Times New Roman"/>
                <w:sz w:val="16"/>
                <w:szCs w:val="16"/>
                <w:lang w:eastAsia="bg-BG" w:bidi="ar-SA"/>
              </w:rPr>
              <w:t>0.5-</w:t>
            </w:r>
            <w:r w:rsidR="00B824DF" w:rsidRPr="00396DE2">
              <w:rPr>
                <w:rFonts w:ascii="Arial Narrow" w:hAnsi="Arial Narrow" w:cs="Times New Roman"/>
                <w:sz w:val="16"/>
                <w:szCs w:val="16"/>
                <w:lang w:eastAsia="bg-BG" w:bidi="ar-SA"/>
              </w:rPr>
              <w:t>0.9</w:t>
            </w:r>
          </w:p>
        </w:tc>
      </w:tr>
    </w:tbl>
    <w:p w:rsidR="00B971A7" w:rsidRPr="00822B0D" w:rsidRDefault="00B971A7" w:rsidP="003B1283">
      <w:pPr>
        <w:jc w:val="both"/>
        <w:rPr>
          <w:rFonts w:ascii="Arial Narrow" w:hAnsi="Arial Narrow" w:cs="Times New Roman"/>
          <w:sz w:val="20"/>
          <w:szCs w:val="20"/>
          <w:lang w:val="bg-BG" w:eastAsia="bg-BG" w:bidi="ar-SA"/>
        </w:rPr>
      </w:pPr>
    </w:p>
    <w:p w:rsidR="00980266" w:rsidRDefault="00980266" w:rsidP="003B1283">
      <w:pPr>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Table 6.</w:t>
      </w:r>
      <w:proofErr w:type="gramEnd"/>
    </w:p>
    <w:p w:rsidR="00980266" w:rsidRPr="00EE4474" w:rsidRDefault="00742ED7" w:rsidP="003B1283">
      <w:pPr>
        <w:spacing w:after="60"/>
        <w:jc w:val="both"/>
        <w:rPr>
          <w:rFonts w:ascii="Arial Narrow" w:hAnsi="Arial Narrow" w:cs="Arial Narrow"/>
          <w:i/>
          <w:sz w:val="16"/>
          <w:szCs w:val="16"/>
          <w:lang w:eastAsia="bg-BG" w:bidi="ar-SA"/>
        </w:rPr>
      </w:pPr>
      <w:proofErr w:type="gramStart"/>
      <w:r>
        <w:rPr>
          <w:rFonts w:ascii="Arial Narrow" w:hAnsi="Arial Narrow" w:cs="Arial Narrow"/>
          <w:i/>
          <w:sz w:val="20"/>
          <w:szCs w:val="20"/>
          <w:lang w:eastAsia="bg-BG" w:bidi="ar-SA"/>
        </w:rPr>
        <w:t xml:space="preserve">Radial concentration of </w:t>
      </w:r>
      <w:r w:rsidR="00980266" w:rsidRPr="00EE4474">
        <w:rPr>
          <w:rFonts w:ascii="Arial Narrow" w:hAnsi="Arial Narrow" w:cs="Arial Narrow"/>
          <w:i/>
          <w:sz w:val="20"/>
          <w:szCs w:val="20"/>
          <w:lang w:eastAsia="bg-BG" w:bidi="ar-SA"/>
        </w:rPr>
        <w:t>SO</w:t>
      </w:r>
      <w:r w:rsidR="00980266" w:rsidRPr="00EE4474">
        <w:rPr>
          <w:rFonts w:ascii="Arial Narrow" w:hAnsi="Arial Narrow" w:cs="Arial Narrow"/>
          <w:i/>
          <w:sz w:val="20"/>
          <w:szCs w:val="20"/>
          <w:vertAlign w:val="subscript"/>
          <w:lang w:eastAsia="bg-BG" w:bidi="ar-SA"/>
        </w:rPr>
        <w:t>2</w:t>
      </w:r>
      <w:r>
        <w:rPr>
          <w:rFonts w:ascii="Arial Narrow" w:hAnsi="Arial Narrow" w:cs="Arial Narrow"/>
          <w:i/>
          <w:sz w:val="20"/>
          <w:szCs w:val="20"/>
          <w:vertAlign w:val="subscript"/>
          <w:lang w:eastAsia="bg-BG" w:bidi="ar-SA"/>
        </w:rPr>
        <w:t xml:space="preserve"> </w:t>
      </w:r>
      <w:r w:rsidRPr="00742ED7">
        <w:rPr>
          <w:rFonts w:ascii="Arial Narrow" w:hAnsi="Arial Narrow" w:cs="Arial Narrow"/>
          <w:i/>
          <w:sz w:val="20"/>
          <w:szCs w:val="20"/>
          <w:lang w:eastAsia="bg-BG" w:bidi="ar-SA"/>
        </w:rPr>
        <w:t>(</w:t>
      </w:r>
      <w:r>
        <w:rPr>
          <w:rFonts w:ascii="Calibri" w:hAnsi="Calibri" w:cs="Arial Narrow"/>
          <w:i/>
          <w:sz w:val="20"/>
          <w:szCs w:val="20"/>
          <w:lang w:eastAsia="bg-BG" w:bidi="ar-SA"/>
        </w:rPr>
        <w:t>µg/m</w:t>
      </w:r>
      <w:r w:rsidRPr="00742ED7">
        <w:rPr>
          <w:rFonts w:ascii="Calibri" w:hAnsi="Calibri" w:cs="Arial Narrow"/>
          <w:i/>
          <w:sz w:val="20"/>
          <w:szCs w:val="20"/>
          <w:vertAlign w:val="superscript"/>
          <w:lang w:eastAsia="bg-BG" w:bidi="ar-SA"/>
        </w:rPr>
        <w:t>3</w:t>
      </w:r>
      <w:r w:rsidRPr="00742ED7">
        <w:rPr>
          <w:rFonts w:ascii="Arial Narrow" w:hAnsi="Arial Narrow" w:cs="Arial Narrow"/>
          <w:i/>
          <w:sz w:val="20"/>
          <w:szCs w:val="20"/>
          <w:lang w:eastAsia="bg-BG" w:bidi="ar-SA"/>
        </w:rPr>
        <w:t>)</w:t>
      </w:r>
      <w:r w:rsidR="00980266" w:rsidRPr="00EE4474">
        <w:rPr>
          <w:rFonts w:ascii="Arial Narrow" w:hAnsi="Arial Narrow" w:cs="Arial Narrow"/>
          <w:i/>
          <w:sz w:val="20"/>
          <w:szCs w:val="20"/>
          <w:lang w:eastAsia="bg-BG" w:bidi="ar-SA"/>
        </w:rPr>
        <w:t xml:space="preserve"> in the below ground atmospheric layer (2 m) </w:t>
      </w:r>
      <w:r>
        <w:rPr>
          <w:rFonts w:ascii="Arial Narrow" w:hAnsi="Arial Narrow" w:cs="Arial Narrow"/>
          <w:i/>
          <w:sz w:val="20"/>
          <w:szCs w:val="20"/>
          <w:lang w:eastAsia="bg-BG" w:bidi="ar-SA"/>
        </w:rPr>
        <w:t>at a distance of 20 km</w:t>
      </w:r>
      <w:r w:rsidR="00980266" w:rsidRPr="00EE4474">
        <w:rPr>
          <w:rFonts w:ascii="Arial Narrow" w:hAnsi="Arial Narrow" w:cs="Arial Narrow"/>
          <w:i/>
          <w:sz w:val="20"/>
          <w:szCs w:val="20"/>
          <w:lang w:eastAsia="bg-BG" w:bidi="ar-SA"/>
        </w:rPr>
        <w:t xml:space="preserve"> to TPP “</w:t>
      </w:r>
      <w:proofErr w:type="spellStart"/>
      <w:r w:rsidR="00980266" w:rsidRPr="00EE4474">
        <w:rPr>
          <w:rFonts w:ascii="Arial Narrow" w:hAnsi="Arial Narrow" w:cs="Arial Narrow"/>
          <w:i/>
          <w:sz w:val="20"/>
          <w:szCs w:val="20"/>
          <w:lang w:eastAsia="bg-BG" w:bidi="ar-SA"/>
        </w:rPr>
        <w:t>Bobov</w:t>
      </w:r>
      <w:proofErr w:type="spellEnd"/>
      <w:r w:rsidR="00980266" w:rsidRPr="00EE4474">
        <w:rPr>
          <w:rFonts w:ascii="Arial Narrow" w:hAnsi="Arial Narrow" w:cs="Arial Narrow"/>
          <w:i/>
          <w:sz w:val="20"/>
          <w:szCs w:val="20"/>
          <w:lang w:eastAsia="bg-BG" w:bidi="ar-SA"/>
        </w:rPr>
        <w:t xml:space="preserve"> </w:t>
      </w:r>
      <w:proofErr w:type="spellStart"/>
      <w:r w:rsidR="00980266" w:rsidRPr="00EE4474">
        <w:rPr>
          <w:rFonts w:ascii="Arial Narrow" w:hAnsi="Arial Narrow" w:cs="Arial Narrow"/>
          <w:i/>
          <w:sz w:val="20"/>
          <w:szCs w:val="20"/>
          <w:lang w:eastAsia="bg-BG" w:bidi="ar-SA"/>
        </w:rPr>
        <w:t>dol</w:t>
      </w:r>
      <w:proofErr w:type="spellEnd"/>
      <w:r w:rsidR="00980266" w:rsidRPr="00EE4474">
        <w:rPr>
          <w:rFonts w:ascii="Arial Narrow" w:hAnsi="Arial Narrow" w:cs="Arial Narrow"/>
          <w:i/>
          <w:sz w:val="20"/>
          <w:szCs w:val="20"/>
          <w:lang w:eastAsia="bg-BG" w:bidi="ar-SA"/>
        </w:rPr>
        <w:t>”</w:t>
      </w:r>
      <w:r>
        <w:rPr>
          <w:rFonts w:ascii="Arial Narrow" w:hAnsi="Arial Narrow" w:cs="Arial Narrow"/>
          <w:i/>
          <w:sz w:val="20"/>
          <w:szCs w:val="20"/>
          <w:lang w:eastAsia="bg-BG" w:bidi="ar-SA"/>
        </w:rPr>
        <w:t xml:space="preserve"> and </w:t>
      </w:r>
      <w:r w:rsidR="00656395">
        <w:rPr>
          <w:rFonts w:ascii="Arial Narrow" w:hAnsi="Arial Narrow" w:cs="Arial Narrow"/>
          <w:i/>
          <w:sz w:val="20"/>
          <w:szCs w:val="20"/>
          <w:lang w:eastAsia="bg-BG" w:bidi="ar-SA"/>
        </w:rPr>
        <w:t xml:space="preserve">at </w:t>
      </w:r>
      <w:r>
        <w:rPr>
          <w:rFonts w:ascii="Arial Narrow" w:hAnsi="Arial Narrow" w:cs="Arial Narrow"/>
          <w:i/>
          <w:sz w:val="20"/>
          <w:szCs w:val="20"/>
          <w:lang w:eastAsia="bg-BG" w:bidi="ar-SA"/>
        </w:rPr>
        <w:t>different climatic conditions</w:t>
      </w:r>
      <w:r w:rsidR="00980266" w:rsidRPr="00EE4474">
        <w:rPr>
          <w:rFonts w:ascii="Arial Narrow" w:hAnsi="Arial Narrow" w:cs="Arial Narrow"/>
          <w:i/>
          <w:sz w:val="20"/>
          <w:szCs w:val="20"/>
          <w:lang w:eastAsia="bg-BG" w:bidi="ar-SA"/>
        </w:rPr>
        <w:t>.</w:t>
      </w:r>
      <w:proofErr w:type="gramEnd"/>
      <w:r w:rsidR="00980266" w:rsidRPr="00EE4474">
        <w:rPr>
          <w:rFonts w:ascii="Arial Narrow" w:hAnsi="Arial Narrow" w:cs="Arial Narrow"/>
          <w:i/>
          <w:sz w:val="20"/>
          <w:szCs w:val="20"/>
          <w:lang w:eastAsia="bg-BG" w:bidi="ar-SA"/>
        </w:rPr>
        <w:t xml:space="preserve"> </w:t>
      </w:r>
    </w:p>
    <w:tbl>
      <w:tblPr>
        <w:tblStyle w:val="TableGrid"/>
        <w:tblW w:w="0" w:type="auto"/>
        <w:tblInd w:w="108" w:type="dxa"/>
        <w:tblLook w:val="04A0" w:firstRow="1" w:lastRow="0" w:firstColumn="1" w:lastColumn="0" w:noHBand="0" w:noVBand="1"/>
      </w:tblPr>
      <w:tblGrid>
        <w:gridCol w:w="791"/>
        <w:gridCol w:w="768"/>
        <w:gridCol w:w="769"/>
        <w:gridCol w:w="768"/>
        <w:gridCol w:w="769"/>
        <w:gridCol w:w="769"/>
      </w:tblGrid>
      <w:tr w:rsidR="00742ED7" w:rsidTr="00742ED7">
        <w:tc>
          <w:tcPr>
            <w:tcW w:w="791" w:type="dxa"/>
            <w:vMerge w:val="restart"/>
          </w:tcPr>
          <w:p w:rsidR="00742ED7" w:rsidRDefault="00742ED7" w:rsidP="003B1283">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Stability </w:t>
            </w:r>
          </w:p>
          <w:p w:rsidR="00742ED7" w:rsidRPr="00822B0D" w:rsidRDefault="00742ED7" w:rsidP="003B1283">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class</w:t>
            </w:r>
          </w:p>
        </w:tc>
        <w:tc>
          <w:tcPr>
            <w:tcW w:w="3843" w:type="dxa"/>
            <w:gridSpan w:val="5"/>
          </w:tcPr>
          <w:p w:rsidR="00742ED7" w:rsidRDefault="00742ED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Distance from the plume</w:t>
            </w:r>
            <w:r w:rsidR="00C925A3">
              <w:rPr>
                <w:rFonts w:ascii="Arial Narrow" w:hAnsi="Arial Narrow" w:cs="Times New Roman"/>
                <w:sz w:val="20"/>
                <w:szCs w:val="20"/>
                <w:lang w:eastAsia="bg-BG" w:bidi="ar-SA"/>
              </w:rPr>
              <w:t>`s</w:t>
            </w:r>
            <w:r>
              <w:rPr>
                <w:rFonts w:ascii="Arial Narrow" w:hAnsi="Arial Narrow" w:cs="Times New Roman"/>
                <w:sz w:val="20"/>
                <w:szCs w:val="20"/>
                <w:lang w:eastAsia="bg-BG" w:bidi="ar-SA"/>
              </w:rPr>
              <w:t xml:space="preserve"> centerline, m</w:t>
            </w:r>
          </w:p>
        </w:tc>
      </w:tr>
      <w:tr w:rsidR="00742ED7" w:rsidTr="00396DE2">
        <w:tc>
          <w:tcPr>
            <w:tcW w:w="791" w:type="dxa"/>
            <w:vMerge/>
          </w:tcPr>
          <w:p w:rsidR="00742ED7" w:rsidRDefault="00742ED7" w:rsidP="003B1283">
            <w:pPr>
              <w:jc w:val="both"/>
              <w:rPr>
                <w:rFonts w:ascii="Arial Narrow" w:hAnsi="Arial Narrow" w:cs="Times New Roman"/>
                <w:sz w:val="20"/>
                <w:szCs w:val="20"/>
                <w:lang w:eastAsia="bg-BG" w:bidi="ar-SA"/>
              </w:rPr>
            </w:pPr>
          </w:p>
        </w:tc>
        <w:tc>
          <w:tcPr>
            <w:tcW w:w="768" w:type="dxa"/>
          </w:tcPr>
          <w:p w:rsidR="00742ED7" w:rsidRPr="00822B0D" w:rsidRDefault="00742ED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w:t>
            </w:r>
          </w:p>
        </w:tc>
        <w:tc>
          <w:tcPr>
            <w:tcW w:w="769" w:type="dxa"/>
          </w:tcPr>
          <w:p w:rsidR="00742ED7" w:rsidRPr="00822B0D" w:rsidRDefault="00742ED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25</w:t>
            </w:r>
          </w:p>
        </w:tc>
        <w:tc>
          <w:tcPr>
            <w:tcW w:w="768" w:type="dxa"/>
          </w:tcPr>
          <w:p w:rsidR="00742ED7" w:rsidRPr="00822B0D" w:rsidRDefault="00742ED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50</w:t>
            </w:r>
          </w:p>
        </w:tc>
        <w:tc>
          <w:tcPr>
            <w:tcW w:w="769" w:type="dxa"/>
          </w:tcPr>
          <w:p w:rsidR="00742ED7" w:rsidRPr="00822B0D" w:rsidRDefault="00742ED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75</w:t>
            </w:r>
          </w:p>
        </w:tc>
        <w:tc>
          <w:tcPr>
            <w:tcW w:w="769" w:type="dxa"/>
          </w:tcPr>
          <w:p w:rsidR="00742ED7" w:rsidRDefault="00742ED7" w:rsidP="003B1283">
            <w:pPr>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100</w:t>
            </w:r>
          </w:p>
        </w:tc>
      </w:tr>
      <w:tr w:rsidR="00396DE2" w:rsidTr="00396DE2">
        <w:tc>
          <w:tcPr>
            <w:tcW w:w="791" w:type="dxa"/>
            <w:vAlign w:val="center"/>
          </w:tcPr>
          <w:p w:rsidR="00396DE2" w:rsidRPr="00822B0D" w:rsidRDefault="00396DE2"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A</w:t>
            </w:r>
          </w:p>
        </w:tc>
        <w:tc>
          <w:tcPr>
            <w:tcW w:w="768"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4-6.7</w:t>
            </w:r>
          </w:p>
        </w:tc>
        <w:tc>
          <w:tcPr>
            <w:tcW w:w="769"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3.5-5.8</w:t>
            </w:r>
          </w:p>
        </w:tc>
        <w:tc>
          <w:tcPr>
            <w:tcW w:w="768"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2.3-3.8</w:t>
            </w:r>
          </w:p>
        </w:tc>
        <w:tc>
          <w:tcPr>
            <w:tcW w:w="769"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1.1-1.8</w:t>
            </w:r>
          </w:p>
        </w:tc>
        <w:tc>
          <w:tcPr>
            <w:tcW w:w="769"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0.4-0.7-</w:t>
            </w:r>
          </w:p>
        </w:tc>
      </w:tr>
      <w:tr w:rsidR="00396DE2" w:rsidTr="00396DE2">
        <w:tc>
          <w:tcPr>
            <w:tcW w:w="791" w:type="dxa"/>
            <w:vAlign w:val="center"/>
          </w:tcPr>
          <w:p w:rsidR="00396DE2" w:rsidRPr="00822B0D" w:rsidRDefault="00396DE2"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B</w:t>
            </w:r>
          </w:p>
        </w:tc>
        <w:tc>
          <w:tcPr>
            <w:tcW w:w="768"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3.2-6.5</w:t>
            </w:r>
          </w:p>
        </w:tc>
        <w:tc>
          <w:tcPr>
            <w:tcW w:w="769"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2.5-5.1</w:t>
            </w:r>
          </w:p>
        </w:tc>
        <w:tc>
          <w:tcPr>
            <w:tcW w:w="768"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1.2-2.5</w:t>
            </w:r>
          </w:p>
        </w:tc>
        <w:tc>
          <w:tcPr>
            <w:tcW w:w="769" w:type="dxa"/>
          </w:tcPr>
          <w:p w:rsidR="00396DE2" w:rsidRPr="006B0BEF" w:rsidRDefault="00396DE2"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0.3-0.8</w:t>
            </w:r>
          </w:p>
        </w:tc>
        <w:tc>
          <w:tcPr>
            <w:tcW w:w="769" w:type="dxa"/>
          </w:tcPr>
          <w:p w:rsidR="00396DE2" w:rsidRPr="006B0BEF" w:rsidRDefault="00004206"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&lt;0.05</w:t>
            </w:r>
          </w:p>
        </w:tc>
      </w:tr>
      <w:tr w:rsidR="00396DE2" w:rsidTr="00396DE2">
        <w:tc>
          <w:tcPr>
            <w:tcW w:w="791" w:type="dxa"/>
            <w:vAlign w:val="center"/>
          </w:tcPr>
          <w:p w:rsidR="00396DE2" w:rsidRPr="00822B0D" w:rsidRDefault="00396DE2"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C</w:t>
            </w:r>
          </w:p>
        </w:tc>
        <w:tc>
          <w:tcPr>
            <w:tcW w:w="768" w:type="dxa"/>
          </w:tcPr>
          <w:p w:rsidR="00396DE2" w:rsidRPr="006B0BEF" w:rsidRDefault="00A766B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7.5-9.9</w:t>
            </w:r>
          </w:p>
        </w:tc>
        <w:tc>
          <w:tcPr>
            <w:tcW w:w="769" w:type="dxa"/>
          </w:tcPr>
          <w:p w:rsidR="00396DE2" w:rsidRPr="006B0BEF" w:rsidRDefault="00A766B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4.8-6.3</w:t>
            </w:r>
          </w:p>
        </w:tc>
        <w:tc>
          <w:tcPr>
            <w:tcW w:w="768" w:type="dxa"/>
          </w:tcPr>
          <w:p w:rsidR="00396DE2" w:rsidRPr="006B0BEF" w:rsidRDefault="00A766B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1.2-1.6</w:t>
            </w:r>
          </w:p>
        </w:tc>
        <w:tc>
          <w:tcPr>
            <w:tcW w:w="769" w:type="dxa"/>
          </w:tcPr>
          <w:p w:rsidR="00396DE2" w:rsidRPr="006B0BEF" w:rsidRDefault="00A766B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0.1-0.2</w:t>
            </w:r>
          </w:p>
        </w:tc>
        <w:tc>
          <w:tcPr>
            <w:tcW w:w="769" w:type="dxa"/>
          </w:tcPr>
          <w:p w:rsidR="00396DE2" w:rsidRPr="006B0BEF" w:rsidRDefault="00004206"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&lt;0.05</w:t>
            </w:r>
          </w:p>
        </w:tc>
      </w:tr>
      <w:tr w:rsidR="00592DE3" w:rsidTr="00396DE2">
        <w:tc>
          <w:tcPr>
            <w:tcW w:w="791" w:type="dxa"/>
            <w:vAlign w:val="center"/>
          </w:tcPr>
          <w:p w:rsidR="00592DE3" w:rsidRPr="00822B0D" w:rsidRDefault="00592DE3"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D</w:t>
            </w:r>
          </w:p>
        </w:tc>
        <w:tc>
          <w:tcPr>
            <w:tcW w:w="768" w:type="dxa"/>
          </w:tcPr>
          <w:p w:rsidR="00592DE3" w:rsidRPr="006B0BEF" w:rsidRDefault="00592DE3"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14.4</w:t>
            </w:r>
          </w:p>
        </w:tc>
        <w:tc>
          <w:tcPr>
            <w:tcW w:w="769" w:type="dxa"/>
          </w:tcPr>
          <w:p w:rsidR="00592DE3" w:rsidRPr="006B0BEF" w:rsidRDefault="00592DE3"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5.2</w:t>
            </w:r>
          </w:p>
        </w:tc>
        <w:tc>
          <w:tcPr>
            <w:tcW w:w="768" w:type="dxa"/>
          </w:tcPr>
          <w:p w:rsidR="00592DE3" w:rsidRPr="006B0BEF" w:rsidRDefault="00592DE3"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0.2</w:t>
            </w:r>
          </w:p>
        </w:tc>
        <w:tc>
          <w:tcPr>
            <w:tcW w:w="769" w:type="dxa"/>
          </w:tcPr>
          <w:p w:rsidR="00592DE3" w:rsidRPr="006B0BEF" w:rsidRDefault="00592DE3"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&lt;0.05</w:t>
            </w:r>
          </w:p>
        </w:tc>
        <w:tc>
          <w:tcPr>
            <w:tcW w:w="769" w:type="dxa"/>
          </w:tcPr>
          <w:p w:rsidR="00592DE3" w:rsidRPr="006B0BEF" w:rsidRDefault="00592DE3"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&lt;0.05</w:t>
            </w:r>
          </w:p>
        </w:tc>
      </w:tr>
      <w:tr w:rsidR="00004206" w:rsidTr="00396DE2">
        <w:tc>
          <w:tcPr>
            <w:tcW w:w="791" w:type="dxa"/>
            <w:vAlign w:val="center"/>
          </w:tcPr>
          <w:p w:rsidR="00004206" w:rsidRPr="00822B0D" w:rsidRDefault="00004206"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E</w:t>
            </w:r>
          </w:p>
        </w:tc>
        <w:tc>
          <w:tcPr>
            <w:tcW w:w="768" w:type="dxa"/>
          </w:tcPr>
          <w:p w:rsidR="00004206" w:rsidRPr="006B0BEF" w:rsidRDefault="00004206"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9.5-28.4</w:t>
            </w:r>
          </w:p>
        </w:tc>
        <w:tc>
          <w:tcPr>
            <w:tcW w:w="769" w:type="dxa"/>
          </w:tcPr>
          <w:p w:rsidR="00004206" w:rsidRPr="006B0BEF" w:rsidRDefault="00004206"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1.5-4.6</w:t>
            </w:r>
          </w:p>
        </w:tc>
        <w:tc>
          <w:tcPr>
            <w:tcW w:w="768" w:type="dxa"/>
          </w:tcPr>
          <w:p w:rsidR="00004206" w:rsidRPr="006B0BEF" w:rsidRDefault="00004206" w:rsidP="003B1283">
            <w:pPr>
              <w:rPr>
                <w:sz w:val="18"/>
                <w:szCs w:val="18"/>
              </w:rPr>
            </w:pPr>
            <w:r w:rsidRPr="006B0BEF">
              <w:rPr>
                <w:rFonts w:ascii="Arial Narrow" w:hAnsi="Arial Narrow" w:cs="Times New Roman"/>
                <w:sz w:val="18"/>
                <w:szCs w:val="18"/>
                <w:lang w:eastAsia="bg-BG" w:bidi="ar-SA"/>
              </w:rPr>
              <w:t>&lt;0.05</w:t>
            </w:r>
          </w:p>
        </w:tc>
        <w:tc>
          <w:tcPr>
            <w:tcW w:w="769" w:type="dxa"/>
          </w:tcPr>
          <w:p w:rsidR="00004206" w:rsidRPr="006B0BEF" w:rsidRDefault="00004206" w:rsidP="003B1283">
            <w:pPr>
              <w:rPr>
                <w:sz w:val="18"/>
                <w:szCs w:val="18"/>
              </w:rPr>
            </w:pPr>
            <w:r w:rsidRPr="006B0BEF">
              <w:rPr>
                <w:rFonts w:ascii="Arial Narrow" w:hAnsi="Arial Narrow" w:cs="Times New Roman"/>
                <w:sz w:val="18"/>
                <w:szCs w:val="18"/>
                <w:lang w:eastAsia="bg-BG" w:bidi="ar-SA"/>
              </w:rPr>
              <w:t>&lt;0.05</w:t>
            </w:r>
          </w:p>
        </w:tc>
        <w:tc>
          <w:tcPr>
            <w:tcW w:w="769" w:type="dxa"/>
          </w:tcPr>
          <w:p w:rsidR="00004206" w:rsidRPr="006B0BEF" w:rsidRDefault="00004206" w:rsidP="003B1283">
            <w:pPr>
              <w:rPr>
                <w:sz w:val="18"/>
                <w:szCs w:val="18"/>
              </w:rPr>
            </w:pPr>
            <w:r w:rsidRPr="006B0BEF">
              <w:rPr>
                <w:rFonts w:ascii="Arial Narrow" w:hAnsi="Arial Narrow" w:cs="Times New Roman"/>
                <w:sz w:val="18"/>
                <w:szCs w:val="18"/>
                <w:lang w:eastAsia="bg-BG" w:bidi="ar-SA"/>
              </w:rPr>
              <w:t>&lt;0.05</w:t>
            </w:r>
          </w:p>
        </w:tc>
      </w:tr>
      <w:tr w:rsidR="00F51AA5" w:rsidTr="00396DE2">
        <w:tc>
          <w:tcPr>
            <w:tcW w:w="791" w:type="dxa"/>
            <w:vAlign w:val="center"/>
          </w:tcPr>
          <w:p w:rsidR="00F51AA5" w:rsidRPr="00822B0D" w:rsidRDefault="00F51AA5" w:rsidP="003B1283">
            <w:pPr>
              <w:rPr>
                <w:rFonts w:ascii="Arial Narrow" w:hAnsi="Arial Narrow" w:cs="Times New Roman"/>
                <w:sz w:val="20"/>
                <w:szCs w:val="20"/>
                <w:lang w:eastAsia="bg-BG" w:bidi="ar-SA"/>
              </w:rPr>
            </w:pPr>
            <w:r>
              <w:rPr>
                <w:rFonts w:ascii="Arial Narrow" w:hAnsi="Arial Narrow" w:cs="Times New Roman"/>
                <w:sz w:val="20"/>
                <w:szCs w:val="20"/>
                <w:lang w:eastAsia="bg-BG" w:bidi="ar-SA"/>
              </w:rPr>
              <w:t>F</w:t>
            </w:r>
          </w:p>
        </w:tc>
        <w:tc>
          <w:tcPr>
            <w:tcW w:w="768" w:type="dxa"/>
          </w:tcPr>
          <w:p w:rsidR="00F51AA5" w:rsidRPr="006B0BEF" w:rsidRDefault="00F51AA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0.2-0.4</w:t>
            </w:r>
          </w:p>
        </w:tc>
        <w:tc>
          <w:tcPr>
            <w:tcW w:w="769" w:type="dxa"/>
          </w:tcPr>
          <w:p w:rsidR="00F51AA5" w:rsidRPr="006B0BEF" w:rsidRDefault="00F51AA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0.05</w:t>
            </w:r>
          </w:p>
        </w:tc>
        <w:tc>
          <w:tcPr>
            <w:tcW w:w="768" w:type="dxa"/>
          </w:tcPr>
          <w:p w:rsidR="00F51AA5" w:rsidRPr="006B0BEF" w:rsidRDefault="00F51AA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&lt;0.05</w:t>
            </w:r>
          </w:p>
        </w:tc>
        <w:tc>
          <w:tcPr>
            <w:tcW w:w="769" w:type="dxa"/>
          </w:tcPr>
          <w:p w:rsidR="00F51AA5" w:rsidRPr="006B0BEF" w:rsidRDefault="00F51AA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&lt;0.05</w:t>
            </w:r>
          </w:p>
        </w:tc>
        <w:tc>
          <w:tcPr>
            <w:tcW w:w="769" w:type="dxa"/>
          </w:tcPr>
          <w:p w:rsidR="00F51AA5" w:rsidRPr="006B0BEF" w:rsidRDefault="00F51AA5" w:rsidP="003B1283">
            <w:pPr>
              <w:jc w:val="center"/>
              <w:rPr>
                <w:rFonts w:ascii="Arial Narrow" w:hAnsi="Arial Narrow" w:cs="Times New Roman"/>
                <w:sz w:val="18"/>
                <w:szCs w:val="18"/>
                <w:lang w:eastAsia="bg-BG" w:bidi="ar-SA"/>
              </w:rPr>
            </w:pPr>
            <w:r w:rsidRPr="006B0BEF">
              <w:rPr>
                <w:rFonts w:ascii="Arial Narrow" w:hAnsi="Arial Narrow" w:cs="Times New Roman"/>
                <w:sz w:val="18"/>
                <w:szCs w:val="18"/>
                <w:lang w:eastAsia="bg-BG" w:bidi="ar-SA"/>
              </w:rPr>
              <w:t>&lt;0.05</w:t>
            </w:r>
          </w:p>
        </w:tc>
      </w:tr>
    </w:tbl>
    <w:p w:rsidR="00742ED7" w:rsidRDefault="00742ED7" w:rsidP="003B1283">
      <w:pPr>
        <w:jc w:val="both"/>
        <w:rPr>
          <w:rFonts w:ascii="Arial Narrow" w:hAnsi="Arial Narrow" w:cs="Times New Roman"/>
          <w:sz w:val="20"/>
          <w:szCs w:val="20"/>
          <w:lang w:eastAsia="bg-BG" w:bidi="ar-SA"/>
        </w:rPr>
      </w:pPr>
    </w:p>
    <w:p w:rsidR="00EE3769" w:rsidRDefault="00EE3769" w:rsidP="003B1283">
      <w:pPr>
        <w:spacing w:before="60"/>
        <w:jc w:val="both"/>
        <w:rPr>
          <w:rFonts w:ascii="Arial Narrow" w:hAnsi="Arial Narrow" w:cs="Times New Roman"/>
          <w:sz w:val="20"/>
          <w:szCs w:val="20"/>
          <w:lang w:eastAsia="bg-BG" w:bidi="ar-SA"/>
        </w:rPr>
      </w:pPr>
      <w:proofErr w:type="gramStart"/>
      <w:r>
        <w:rPr>
          <w:rFonts w:ascii="Arial Narrow" w:hAnsi="Arial Narrow" w:cs="Times New Roman"/>
          <w:sz w:val="20"/>
          <w:szCs w:val="20"/>
          <w:lang w:eastAsia="bg-BG" w:bidi="ar-SA"/>
        </w:rPr>
        <w:t>almost</w:t>
      </w:r>
      <w:proofErr w:type="gramEnd"/>
      <w:r>
        <w:rPr>
          <w:rFonts w:ascii="Arial Narrow" w:hAnsi="Arial Narrow" w:cs="Times New Roman"/>
          <w:sz w:val="20"/>
          <w:szCs w:val="20"/>
          <w:lang w:eastAsia="bg-BG" w:bidi="ar-SA"/>
        </w:rPr>
        <w:t xml:space="preserve"> equally to both atmospheric classes. However, the winds associated with class F had speed higher with 20-40 % than the winds associated with class E. For example, 1.1-1.2 m/s was the typical ground level speed of northeast and southeast winds which related to class F</w:t>
      </w:r>
      <w:r>
        <w:rPr>
          <w:rFonts w:ascii="Arial Narrow" w:hAnsi="Arial Narrow" w:cs="Times New Roman"/>
          <w:sz w:val="20"/>
          <w:szCs w:val="20"/>
          <w:lang w:val="bg-BG" w:eastAsia="bg-BG" w:bidi="ar-SA"/>
        </w:rPr>
        <w:t xml:space="preserve"> </w:t>
      </w:r>
      <w:r>
        <w:rPr>
          <w:rFonts w:ascii="Arial Narrow" w:hAnsi="Arial Narrow" w:cs="Times New Roman"/>
          <w:sz w:val="20"/>
          <w:szCs w:val="20"/>
          <w:lang w:eastAsia="bg-BG" w:bidi="ar-SA"/>
        </w:rPr>
        <w:t xml:space="preserve">and the winds speed at 200 m and the buoyancy induced plume rise height (∆h) would be in the range of 14-15 m/s and 6-6.5 m, respectively. In contrast, 0.8-0.9 m/s was the typical ground level speed of both winds related to class E and 4.3 m/s and 11.3 m would be the </w:t>
      </w:r>
      <w:proofErr w:type="spellStart"/>
      <w:r w:rsidR="00C0562D">
        <w:rPr>
          <w:rFonts w:ascii="Arial Narrow" w:hAnsi="Arial Narrow" w:cs="Times New Roman"/>
          <w:sz w:val="20"/>
          <w:szCs w:val="20"/>
          <w:lang w:eastAsia="bg-BG" w:bidi="ar-SA"/>
        </w:rPr>
        <w:t>mean</w:t>
      </w:r>
      <w:r>
        <w:rPr>
          <w:rFonts w:ascii="Arial Narrow" w:hAnsi="Arial Narrow" w:cs="Times New Roman"/>
          <w:sz w:val="20"/>
          <w:szCs w:val="20"/>
          <w:lang w:eastAsia="bg-BG" w:bidi="ar-SA"/>
        </w:rPr>
        <w:t>d</w:t>
      </w:r>
      <w:proofErr w:type="spellEnd"/>
      <w:r>
        <w:rPr>
          <w:rFonts w:ascii="Arial Narrow" w:hAnsi="Arial Narrow" w:cs="Times New Roman"/>
          <w:sz w:val="20"/>
          <w:szCs w:val="20"/>
          <w:lang w:eastAsia="bg-BG" w:bidi="ar-SA"/>
        </w:rPr>
        <w:t xml:space="preserve"> values for the wind speed at 200 m and the buoyancy induced plume rise height (∆h), respectively.</w:t>
      </w:r>
    </w:p>
    <w:p w:rsidR="00BC4765" w:rsidRDefault="00CE058A" w:rsidP="003B1283">
      <w:pPr>
        <w:spacing w:before="120"/>
        <w:ind w:firstLine="170"/>
        <w:jc w:val="both"/>
        <w:rPr>
          <w:rFonts w:ascii="Arial Narrow" w:hAnsi="Arial Narrow" w:cs="Times New Roman"/>
          <w:sz w:val="20"/>
          <w:szCs w:val="20"/>
          <w:lang w:val="bg-BG" w:eastAsia="bg-BG" w:bidi="ar-SA"/>
        </w:rPr>
      </w:pPr>
      <w:r>
        <w:rPr>
          <w:rFonts w:ascii="Arial Narrow" w:hAnsi="Arial Narrow" w:cs="Times New Roman"/>
          <w:sz w:val="20"/>
          <w:szCs w:val="20"/>
          <w:lang w:eastAsia="bg-BG" w:bidi="ar-SA"/>
        </w:rPr>
        <w:t>The south wind, which was dominating in the area of TPP “</w:t>
      </w:r>
      <w:proofErr w:type="spellStart"/>
      <w:r>
        <w:rPr>
          <w:rFonts w:ascii="Arial Narrow" w:hAnsi="Arial Narrow" w:cs="Times New Roman"/>
          <w:sz w:val="20"/>
          <w:szCs w:val="20"/>
          <w:lang w:eastAsia="bg-BG" w:bidi="ar-SA"/>
        </w:rPr>
        <w:t>Bobov</w:t>
      </w:r>
      <w:proofErr w:type="spell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dol</w:t>
      </w:r>
      <w:proofErr w:type="spellEnd"/>
      <w:r>
        <w:rPr>
          <w:rFonts w:ascii="Arial Narrow" w:hAnsi="Arial Narrow" w:cs="Times New Roman"/>
          <w:sz w:val="20"/>
          <w:szCs w:val="20"/>
          <w:lang w:eastAsia="bg-BG" w:bidi="ar-SA"/>
        </w:rPr>
        <w:t>” also during the night, determined such kind of climatic conditions associated with clear dominance of class E over class F. Nevertheless, the wind speed for both</w:t>
      </w:r>
      <w:r w:rsidRPr="005F2E0A">
        <w:rPr>
          <w:rFonts w:ascii="Arial Narrow" w:hAnsi="Arial Narrow" w:cs="Times New Roman"/>
          <w:sz w:val="20"/>
          <w:szCs w:val="20"/>
          <w:lang w:eastAsia="bg-BG" w:bidi="ar-SA"/>
        </w:rPr>
        <w:t xml:space="preserve"> </w:t>
      </w:r>
      <w:r>
        <w:rPr>
          <w:rFonts w:ascii="Arial Narrow" w:hAnsi="Arial Narrow" w:cs="Times New Roman"/>
          <w:sz w:val="20"/>
          <w:szCs w:val="20"/>
          <w:lang w:eastAsia="bg-BG" w:bidi="ar-SA"/>
        </w:rPr>
        <w:t xml:space="preserve">classes was almost equal. For example, the </w:t>
      </w:r>
      <w:r w:rsidR="0084482F">
        <w:rPr>
          <w:rFonts w:ascii="Arial Narrow" w:hAnsi="Arial Narrow" w:cs="Times New Roman"/>
          <w:sz w:val="20"/>
          <w:szCs w:val="20"/>
          <w:lang w:eastAsia="bg-BG" w:bidi="ar-SA"/>
        </w:rPr>
        <w:t>mean</w:t>
      </w:r>
      <w:r>
        <w:rPr>
          <w:rFonts w:ascii="Arial Narrow" w:hAnsi="Arial Narrow" w:cs="Times New Roman"/>
          <w:sz w:val="20"/>
          <w:szCs w:val="20"/>
          <w:lang w:eastAsia="bg-BG" w:bidi="ar-SA"/>
        </w:rPr>
        <w:t xml:space="preserve"> value of south wind speed associated with class F </w:t>
      </w:r>
      <w:r w:rsidR="00253B6B">
        <w:rPr>
          <w:rFonts w:ascii="Arial Narrow" w:hAnsi="Arial Narrow" w:cs="Times New Roman"/>
          <w:sz w:val="20"/>
          <w:szCs w:val="20"/>
          <w:lang w:eastAsia="bg-BG" w:bidi="ar-SA"/>
        </w:rPr>
        <w:t xml:space="preserve">was in the </w:t>
      </w:r>
      <w:r w:rsidR="00F4037A">
        <w:rPr>
          <w:rFonts w:ascii="Arial Narrow" w:hAnsi="Arial Narrow" w:cs="Times New Roman"/>
          <w:sz w:val="20"/>
          <w:szCs w:val="20"/>
          <w:lang w:eastAsia="bg-BG" w:bidi="ar-SA"/>
        </w:rPr>
        <w:t>range of 1.3-1.5 and 2.3-2.9 m/s, while the values of the same wind related to class E w</w:t>
      </w:r>
      <w:r w:rsidR="0084482F">
        <w:rPr>
          <w:rFonts w:ascii="Arial Narrow" w:hAnsi="Arial Narrow" w:cs="Times New Roman"/>
          <w:sz w:val="20"/>
          <w:szCs w:val="20"/>
          <w:lang w:eastAsia="bg-BG" w:bidi="ar-SA"/>
        </w:rPr>
        <w:t xml:space="preserve">ere </w:t>
      </w:r>
      <w:r w:rsidR="00F4037A">
        <w:rPr>
          <w:rFonts w:ascii="Arial Narrow" w:hAnsi="Arial Narrow" w:cs="Times New Roman"/>
          <w:sz w:val="20"/>
          <w:szCs w:val="20"/>
          <w:lang w:eastAsia="bg-BG" w:bidi="ar-SA"/>
        </w:rPr>
        <w:t xml:space="preserve">in the range 1.1-1.3 and 2.6-2.8 m/s. Despite the higher difference of the wind`s speed related to class F </w:t>
      </w:r>
      <w:r w:rsidR="00211B74">
        <w:rPr>
          <w:rFonts w:ascii="Arial Narrow" w:hAnsi="Arial Narrow" w:cs="Times New Roman"/>
          <w:sz w:val="20"/>
          <w:szCs w:val="20"/>
          <w:lang w:eastAsia="bg-BG" w:bidi="ar-SA"/>
        </w:rPr>
        <w:t xml:space="preserve">and </w:t>
      </w:r>
      <w:r w:rsidR="00F4037A">
        <w:rPr>
          <w:rFonts w:ascii="Arial Narrow" w:hAnsi="Arial Narrow" w:cs="Times New Roman"/>
          <w:sz w:val="20"/>
          <w:szCs w:val="20"/>
          <w:lang w:eastAsia="bg-BG" w:bidi="ar-SA"/>
        </w:rPr>
        <w:t>the higher variance of the wind speed at 200 m (between 16.5-36.0 m), the values of buoyancy induced plume rise height (∆h) was in a narrow range (between 3.15-5.75 m). In relation to class E, the wind speed at 200 m was in range of 5.5-14.00 m/s, while the buoyancy induced plume rise height (∆h) varied in a wide</w:t>
      </w:r>
      <w:r w:rsidR="00BC4765">
        <w:rPr>
          <w:rFonts w:ascii="Arial Narrow" w:hAnsi="Arial Narrow" w:cs="Times New Roman"/>
          <w:sz w:val="20"/>
          <w:szCs w:val="20"/>
          <w:lang w:eastAsia="bg-BG" w:bidi="ar-SA"/>
        </w:rPr>
        <w:t xml:space="preserve"> range (6.5-13.0 m). </w:t>
      </w:r>
    </w:p>
    <w:p w:rsidR="00E10A9A" w:rsidRDefault="00BC4765" w:rsidP="003B1283">
      <w:pPr>
        <w:spacing w:before="120"/>
        <w:ind w:firstLine="170"/>
        <w:jc w:val="both"/>
        <w:rPr>
          <w:rFonts w:ascii="Arial Narrow" w:hAnsi="Arial Narrow" w:cs="Arial Narrow"/>
          <w:b/>
          <w:sz w:val="20"/>
          <w:szCs w:val="20"/>
          <w:lang w:eastAsia="bg-BG" w:bidi="ar-SA"/>
        </w:rPr>
      </w:pPr>
      <w:r>
        <w:rPr>
          <w:rFonts w:ascii="Arial Narrow" w:hAnsi="Arial Narrow" w:cs="Times New Roman"/>
          <w:sz w:val="20"/>
          <w:szCs w:val="20"/>
          <w:lang w:eastAsia="bg-BG" w:bidi="ar-SA"/>
        </w:rPr>
        <w:t>For atmospheric classes E and F</w:t>
      </w:r>
      <w:r>
        <w:rPr>
          <w:rFonts w:ascii="Arial Narrow" w:hAnsi="Arial Narrow" w:cs="Times New Roman"/>
          <w:sz w:val="20"/>
          <w:szCs w:val="20"/>
          <w:lang w:val="bg-BG" w:eastAsia="bg-BG" w:bidi="ar-SA"/>
        </w:rPr>
        <w:t xml:space="preserve"> </w:t>
      </w:r>
      <w:r>
        <w:rPr>
          <w:rFonts w:ascii="Arial Narrow" w:hAnsi="Arial Narrow" w:cs="Times New Roman"/>
          <w:sz w:val="20"/>
          <w:szCs w:val="20"/>
          <w:lang w:eastAsia="bg-BG" w:bidi="ar-SA"/>
        </w:rPr>
        <w:t xml:space="preserve">the pollutant`s dispersion would be realized at a higher height and for that reason relatively lower concentration of sulfur dioxide would be expected to be detected </w:t>
      </w:r>
      <w:r w:rsidR="00495169">
        <w:rPr>
          <w:rFonts w:ascii="Arial Narrow" w:hAnsi="Arial Narrow" w:cs="Times New Roman"/>
          <w:sz w:val="20"/>
          <w:szCs w:val="20"/>
          <w:lang w:eastAsia="bg-BG" w:bidi="ar-SA"/>
        </w:rPr>
        <w:t>at</w:t>
      </w:r>
      <w:r>
        <w:rPr>
          <w:rFonts w:ascii="Arial Narrow" w:hAnsi="Arial Narrow" w:cs="Times New Roman"/>
          <w:sz w:val="20"/>
          <w:szCs w:val="20"/>
          <w:lang w:eastAsia="bg-BG" w:bidi="ar-SA"/>
        </w:rPr>
        <w:t xml:space="preserve"> ground level layer. For example, the highest concentration of sulfur dioxide for class E would be in</w:t>
      </w:r>
      <w:r w:rsidR="003B70F9">
        <w:rPr>
          <w:rFonts w:ascii="Arial Narrow" w:hAnsi="Arial Narrow" w:cs="Times New Roman"/>
          <w:sz w:val="20"/>
          <w:szCs w:val="20"/>
          <w:lang w:eastAsia="bg-BG" w:bidi="ar-SA"/>
        </w:rPr>
        <w:br/>
      </w:r>
      <w:r w:rsidR="00E17457" w:rsidRPr="00E17457">
        <w:rPr>
          <w:rFonts w:ascii="Arial Narrow" w:hAnsi="Arial Narrow" w:cs="Arial Narrow"/>
          <w:b/>
          <w:noProof/>
          <w:sz w:val="20"/>
          <w:szCs w:val="20"/>
          <w:lang w:val="bg-BG" w:eastAsia="bg-BG" w:bidi="ar-SA"/>
        </w:rPr>
        <w:lastRenderedPageBreak/>
        <w:drawing>
          <wp:inline distT="0" distB="0" distL="0" distR="0" wp14:anchorId="50066169" wp14:editId="1FD3CA5E">
            <wp:extent cx="2752725" cy="22764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33C1" w:rsidRPr="00EB20AB" w:rsidRDefault="00DA33C1" w:rsidP="003B1283">
      <w:pPr>
        <w:spacing w:before="60"/>
        <w:ind w:firstLine="284"/>
        <w:jc w:val="both"/>
        <w:rPr>
          <w:rFonts w:ascii="Arial Narrow" w:hAnsi="Arial Narrow" w:cs="Arial Narrow"/>
          <w:sz w:val="20"/>
          <w:szCs w:val="20"/>
          <w:lang w:eastAsia="bg-BG" w:bidi="ar-SA"/>
        </w:rPr>
      </w:pPr>
    </w:p>
    <w:p w:rsidR="00E10A9A" w:rsidRPr="003B70F9" w:rsidRDefault="001F1AEF" w:rsidP="003B1283">
      <w:pPr>
        <w:spacing w:before="60"/>
        <w:jc w:val="both"/>
        <w:rPr>
          <w:rFonts w:ascii="Arial Narrow" w:hAnsi="Arial Narrow" w:cs="Arial Narrow"/>
          <w:sz w:val="16"/>
          <w:szCs w:val="16"/>
          <w:lang w:eastAsia="bg-BG" w:bidi="ar-SA"/>
        </w:rPr>
      </w:pPr>
      <w:proofErr w:type="gramStart"/>
      <w:r w:rsidRPr="003B70F9">
        <w:rPr>
          <w:rFonts w:ascii="Arial Narrow" w:hAnsi="Arial Narrow" w:cs="Arial Narrow"/>
          <w:b/>
          <w:sz w:val="16"/>
          <w:szCs w:val="16"/>
          <w:lang w:eastAsia="bg-BG" w:bidi="ar-SA"/>
        </w:rPr>
        <w:t>Fig.</w:t>
      </w:r>
      <w:r w:rsidR="00900989" w:rsidRPr="003B70F9">
        <w:rPr>
          <w:rFonts w:ascii="Arial Narrow" w:hAnsi="Arial Narrow" w:cs="Arial Narrow"/>
          <w:b/>
          <w:sz w:val="16"/>
          <w:szCs w:val="16"/>
          <w:lang w:eastAsia="bg-BG" w:bidi="ar-SA"/>
        </w:rPr>
        <w:t xml:space="preserve"> 3</w:t>
      </w:r>
      <w:r w:rsidRPr="003B70F9">
        <w:rPr>
          <w:rFonts w:ascii="Arial Narrow" w:hAnsi="Arial Narrow" w:cs="Arial Narrow"/>
          <w:b/>
          <w:sz w:val="16"/>
          <w:szCs w:val="16"/>
          <w:lang w:eastAsia="bg-BG" w:bidi="ar-SA"/>
        </w:rPr>
        <w:t>.</w:t>
      </w:r>
      <w:proofErr w:type="gramEnd"/>
      <w:r w:rsidRPr="003B70F9">
        <w:rPr>
          <w:rFonts w:ascii="Arial Narrow" w:hAnsi="Arial Narrow" w:cs="Arial Narrow"/>
          <w:b/>
          <w:sz w:val="16"/>
          <w:szCs w:val="16"/>
          <w:lang w:eastAsia="bg-BG" w:bidi="ar-SA"/>
        </w:rPr>
        <w:t xml:space="preserve"> </w:t>
      </w:r>
      <w:r w:rsidR="00EE4474" w:rsidRPr="003B70F9">
        <w:rPr>
          <w:rFonts w:ascii="Arial Narrow" w:hAnsi="Arial Narrow" w:cs="Arial Narrow"/>
          <w:b/>
          <w:sz w:val="16"/>
          <w:szCs w:val="16"/>
          <w:lang w:eastAsia="bg-BG" w:bidi="ar-SA"/>
        </w:rPr>
        <w:t>Mean concentrations of s</w:t>
      </w:r>
      <w:r w:rsidR="0058402B" w:rsidRPr="003B70F9">
        <w:rPr>
          <w:rFonts w:ascii="Arial Narrow" w:hAnsi="Arial Narrow" w:cs="Arial Narrow"/>
          <w:b/>
          <w:sz w:val="16"/>
          <w:szCs w:val="16"/>
          <w:lang w:eastAsia="bg-BG" w:bidi="ar-SA"/>
        </w:rPr>
        <w:t xml:space="preserve">ulfur dioxide in the below ground atmospheric layer (2 m) in dependence </w:t>
      </w:r>
      <w:r w:rsidR="00634C97" w:rsidRPr="003B70F9">
        <w:rPr>
          <w:rFonts w:ascii="Arial Narrow" w:hAnsi="Arial Narrow" w:cs="Arial Narrow"/>
          <w:b/>
          <w:sz w:val="16"/>
          <w:szCs w:val="16"/>
          <w:lang w:eastAsia="bg-BG" w:bidi="ar-SA"/>
        </w:rPr>
        <w:t xml:space="preserve">on </w:t>
      </w:r>
      <w:r w:rsidR="0058402B" w:rsidRPr="003B70F9">
        <w:rPr>
          <w:rFonts w:ascii="Arial Narrow" w:hAnsi="Arial Narrow" w:cs="Arial Narrow"/>
          <w:b/>
          <w:sz w:val="16"/>
          <w:szCs w:val="16"/>
          <w:lang w:eastAsia="bg-BG" w:bidi="ar-SA"/>
        </w:rPr>
        <w:t xml:space="preserve">the </w:t>
      </w:r>
      <w:r w:rsidR="000458D6" w:rsidRPr="003B70F9">
        <w:rPr>
          <w:rFonts w:ascii="Arial Narrow" w:hAnsi="Arial Narrow" w:cs="Arial Narrow"/>
          <w:b/>
          <w:sz w:val="16"/>
          <w:szCs w:val="16"/>
          <w:lang w:eastAsia="bg-BG" w:bidi="ar-SA"/>
        </w:rPr>
        <w:t xml:space="preserve">different classes </w:t>
      </w:r>
      <w:r w:rsidR="0058402B" w:rsidRPr="003B70F9">
        <w:rPr>
          <w:rFonts w:ascii="Arial Narrow" w:hAnsi="Arial Narrow" w:cs="Arial Narrow"/>
          <w:b/>
          <w:sz w:val="16"/>
          <w:szCs w:val="16"/>
          <w:lang w:eastAsia="bg-BG" w:bidi="ar-SA"/>
        </w:rPr>
        <w:t>climatic conditions and the distance to TPP “</w:t>
      </w:r>
      <w:proofErr w:type="spellStart"/>
      <w:r w:rsidR="0058402B" w:rsidRPr="003B70F9">
        <w:rPr>
          <w:rFonts w:ascii="Arial Narrow" w:hAnsi="Arial Narrow" w:cs="Arial Narrow"/>
          <w:b/>
          <w:sz w:val="16"/>
          <w:szCs w:val="16"/>
          <w:lang w:eastAsia="bg-BG" w:bidi="ar-SA"/>
        </w:rPr>
        <w:t>Bobov</w:t>
      </w:r>
      <w:proofErr w:type="spellEnd"/>
      <w:r w:rsidR="0058402B" w:rsidRPr="003B70F9">
        <w:rPr>
          <w:rFonts w:ascii="Arial Narrow" w:hAnsi="Arial Narrow" w:cs="Arial Narrow"/>
          <w:b/>
          <w:sz w:val="16"/>
          <w:szCs w:val="16"/>
          <w:lang w:eastAsia="bg-BG" w:bidi="ar-SA"/>
        </w:rPr>
        <w:t xml:space="preserve"> </w:t>
      </w:r>
      <w:proofErr w:type="spellStart"/>
      <w:r w:rsidR="0058402B" w:rsidRPr="003B70F9">
        <w:rPr>
          <w:rFonts w:ascii="Arial Narrow" w:hAnsi="Arial Narrow" w:cs="Arial Narrow"/>
          <w:b/>
          <w:sz w:val="16"/>
          <w:szCs w:val="16"/>
          <w:lang w:eastAsia="bg-BG" w:bidi="ar-SA"/>
        </w:rPr>
        <w:t>dol</w:t>
      </w:r>
      <w:proofErr w:type="spellEnd"/>
      <w:r w:rsidR="0058402B" w:rsidRPr="003B70F9">
        <w:rPr>
          <w:rFonts w:ascii="Arial Narrow" w:hAnsi="Arial Narrow" w:cs="Arial Narrow"/>
          <w:b/>
          <w:sz w:val="16"/>
          <w:szCs w:val="16"/>
          <w:lang w:eastAsia="bg-BG" w:bidi="ar-SA"/>
        </w:rPr>
        <w:t>”</w:t>
      </w:r>
    </w:p>
    <w:p w:rsidR="00E10A9A" w:rsidRPr="00EB20AB" w:rsidRDefault="00E10A9A" w:rsidP="003B1283">
      <w:pPr>
        <w:rPr>
          <w:rFonts w:ascii="Arial Narrow" w:hAnsi="Arial Narrow" w:cs="Arial Narrow"/>
          <w:sz w:val="20"/>
          <w:szCs w:val="20"/>
          <w:lang w:eastAsia="bg-BG" w:bidi="ar-SA"/>
        </w:rPr>
      </w:pPr>
    </w:p>
    <w:p w:rsidR="00E10A9A" w:rsidRDefault="004A3E91" w:rsidP="003B1283">
      <w:pPr>
        <w:jc w:val="center"/>
        <w:rPr>
          <w:rFonts w:ascii="Arial Narrow" w:hAnsi="Arial Narrow" w:cs="Arial Narrow"/>
          <w:sz w:val="16"/>
          <w:szCs w:val="16"/>
          <w:lang w:eastAsia="bg-BG" w:bidi="ar-SA"/>
        </w:rPr>
      </w:pPr>
      <w:r w:rsidRPr="004A3E91">
        <w:rPr>
          <w:rFonts w:ascii="Arial Narrow" w:hAnsi="Arial Narrow" w:cs="Arial Narrow"/>
          <w:noProof/>
          <w:sz w:val="16"/>
          <w:szCs w:val="16"/>
          <w:lang w:val="bg-BG" w:eastAsia="bg-BG" w:bidi="ar-SA"/>
        </w:rPr>
        <w:drawing>
          <wp:inline distT="0" distB="0" distL="0" distR="0" wp14:anchorId="1B074E18" wp14:editId="024BAF50">
            <wp:extent cx="2790825" cy="2219325"/>
            <wp:effectExtent l="19050" t="0" r="9525" b="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33C1" w:rsidRPr="00EB20AB" w:rsidRDefault="00DA33C1" w:rsidP="003B1283">
      <w:pPr>
        <w:rPr>
          <w:rFonts w:ascii="Arial Narrow" w:hAnsi="Arial Narrow" w:cs="Arial Narrow"/>
          <w:sz w:val="20"/>
          <w:szCs w:val="20"/>
          <w:lang w:eastAsia="bg-BG" w:bidi="ar-SA"/>
        </w:rPr>
      </w:pPr>
    </w:p>
    <w:p w:rsidR="00454D53" w:rsidRPr="003B70F9" w:rsidRDefault="001F1AEF" w:rsidP="003B1283">
      <w:pPr>
        <w:spacing w:before="60"/>
        <w:jc w:val="both"/>
        <w:rPr>
          <w:rFonts w:ascii="Arial Narrow" w:hAnsi="Arial Narrow" w:cs="Arial Narrow"/>
          <w:sz w:val="16"/>
          <w:szCs w:val="16"/>
          <w:lang w:eastAsia="bg-BG" w:bidi="ar-SA"/>
        </w:rPr>
      </w:pPr>
      <w:proofErr w:type="gramStart"/>
      <w:r w:rsidRPr="003B70F9">
        <w:rPr>
          <w:rFonts w:ascii="Arial Narrow" w:hAnsi="Arial Narrow" w:cs="Arial Narrow"/>
          <w:b/>
          <w:sz w:val="16"/>
          <w:szCs w:val="16"/>
          <w:lang w:eastAsia="bg-BG" w:bidi="ar-SA"/>
        </w:rPr>
        <w:t>Fig.</w:t>
      </w:r>
      <w:r w:rsidR="00900989" w:rsidRPr="003B70F9">
        <w:rPr>
          <w:rFonts w:ascii="Arial Narrow" w:hAnsi="Arial Narrow" w:cs="Arial Narrow"/>
          <w:b/>
          <w:sz w:val="16"/>
          <w:szCs w:val="16"/>
          <w:lang w:eastAsia="bg-BG" w:bidi="ar-SA"/>
        </w:rPr>
        <w:t xml:space="preserve"> 4</w:t>
      </w:r>
      <w:r w:rsidRPr="003B70F9">
        <w:rPr>
          <w:rFonts w:ascii="Arial Narrow" w:hAnsi="Arial Narrow" w:cs="Arial Narrow"/>
          <w:b/>
          <w:sz w:val="16"/>
          <w:szCs w:val="16"/>
          <w:lang w:eastAsia="bg-BG" w:bidi="ar-SA"/>
        </w:rPr>
        <w:t>.</w:t>
      </w:r>
      <w:proofErr w:type="gramEnd"/>
      <w:r w:rsidRPr="003B70F9">
        <w:rPr>
          <w:rFonts w:ascii="Arial Narrow" w:hAnsi="Arial Narrow" w:cs="Arial Narrow"/>
          <w:b/>
          <w:sz w:val="16"/>
          <w:szCs w:val="16"/>
          <w:lang w:eastAsia="bg-BG" w:bidi="ar-SA"/>
        </w:rPr>
        <w:t xml:space="preserve"> </w:t>
      </w:r>
      <w:r w:rsidR="00656395" w:rsidRPr="003B70F9">
        <w:rPr>
          <w:rFonts w:ascii="Arial Narrow" w:hAnsi="Arial Narrow" w:cs="Arial Narrow"/>
          <w:b/>
          <w:sz w:val="16"/>
          <w:szCs w:val="16"/>
          <w:lang w:eastAsia="bg-BG" w:bidi="ar-SA"/>
        </w:rPr>
        <w:t>Mean r</w:t>
      </w:r>
      <w:r w:rsidR="000458D6" w:rsidRPr="003B70F9">
        <w:rPr>
          <w:rFonts w:ascii="Arial Narrow" w:hAnsi="Arial Narrow" w:cs="Arial Narrow"/>
          <w:b/>
          <w:sz w:val="16"/>
          <w:szCs w:val="16"/>
          <w:lang w:eastAsia="bg-BG" w:bidi="ar-SA"/>
        </w:rPr>
        <w:t xml:space="preserve">adial </w:t>
      </w:r>
      <w:r w:rsidR="00656395" w:rsidRPr="003B70F9">
        <w:rPr>
          <w:rFonts w:ascii="Arial Narrow" w:hAnsi="Arial Narrow" w:cs="Arial Narrow"/>
          <w:b/>
          <w:sz w:val="16"/>
          <w:szCs w:val="16"/>
          <w:lang w:eastAsia="bg-BG" w:bidi="ar-SA"/>
        </w:rPr>
        <w:t xml:space="preserve">concentrations </w:t>
      </w:r>
      <w:r w:rsidR="000458D6" w:rsidRPr="003B70F9">
        <w:rPr>
          <w:rFonts w:ascii="Arial Narrow" w:hAnsi="Arial Narrow" w:cs="Arial Narrow"/>
          <w:b/>
          <w:sz w:val="16"/>
          <w:szCs w:val="16"/>
          <w:lang w:eastAsia="bg-BG" w:bidi="ar-SA"/>
        </w:rPr>
        <w:t>of the s</w:t>
      </w:r>
      <w:r w:rsidR="00454D53" w:rsidRPr="003B70F9">
        <w:rPr>
          <w:rFonts w:ascii="Arial Narrow" w:hAnsi="Arial Narrow" w:cs="Arial Narrow"/>
          <w:b/>
          <w:sz w:val="16"/>
          <w:szCs w:val="16"/>
          <w:lang w:eastAsia="bg-BG" w:bidi="ar-SA"/>
        </w:rPr>
        <w:t xml:space="preserve">ulfur dioxide concentration </w:t>
      </w:r>
      <w:r w:rsidR="000458D6" w:rsidRPr="003B70F9">
        <w:rPr>
          <w:rFonts w:ascii="Arial Narrow" w:hAnsi="Arial Narrow" w:cs="Arial Narrow"/>
          <w:b/>
          <w:sz w:val="16"/>
          <w:szCs w:val="16"/>
          <w:lang w:eastAsia="bg-BG" w:bidi="ar-SA"/>
        </w:rPr>
        <w:t xml:space="preserve">at </w:t>
      </w:r>
      <w:r w:rsidR="00656395" w:rsidRPr="003B70F9">
        <w:rPr>
          <w:rFonts w:ascii="Arial Narrow" w:hAnsi="Arial Narrow" w:cs="Arial Narrow"/>
          <w:b/>
          <w:sz w:val="16"/>
          <w:szCs w:val="16"/>
          <w:lang w:eastAsia="bg-BG" w:bidi="ar-SA"/>
        </w:rPr>
        <w:t>a distance of 2</w:t>
      </w:r>
      <w:r w:rsidR="000458D6" w:rsidRPr="003B70F9">
        <w:rPr>
          <w:rFonts w:ascii="Arial Narrow" w:hAnsi="Arial Narrow" w:cs="Arial Narrow"/>
          <w:b/>
          <w:sz w:val="16"/>
          <w:szCs w:val="16"/>
          <w:lang w:eastAsia="bg-BG" w:bidi="ar-SA"/>
        </w:rPr>
        <w:t>0 km from TPP “</w:t>
      </w:r>
      <w:proofErr w:type="spellStart"/>
      <w:r w:rsidR="000458D6" w:rsidRPr="003B70F9">
        <w:rPr>
          <w:rFonts w:ascii="Arial Narrow" w:hAnsi="Arial Narrow" w:cs="Arial Narrow"/>
          <w:b/>
          <w:sz w:val="16"/>
          <w:szCs w:val="16"/>
          <w:lang w:eastAsia="bg-BG" w:bidi="ar-SA"/>
        </w:rPr>
        <w:t>Bobov</w:t>
      </w:r>
      <w:proofErr w:type="spellEnd"/>
      <w:r w:rsidR="000458D6" w:rsidRPr="003B70F9">
        <w:rPr>
          <w:rFonts w:ascii="Arial Narrow" w:hAnsi="Arial Narrow" w:cs="Arial Narrow"/>
          <w:b/>
          <w:sz w:val="16"/>
          <w:szCs w:val="16"/>
          <w:lang w:eastAsia="bg-BG" w:bidi="ar-SA"/>
        </w:rPr>
        <w:t xml:space="preserve"> </w:t>
      </w:r>
      <w:proofErr w:type="spellStart"/>
      <w:r w:rsidR="000458D6" w:rsidRPr="003B70F9">
        <w:rPr>
          <w:rFonts w:ascii="Arial Narrow" w:hAnsi="Arial Narrow" w:cs="Arial Narrow"/>
          <w:b/>
          <w:sz w:val="16"/>
          <w:szCs w:val="16"/>
          <w:lang w:eastAsia="bg-BG" w:bidi="ar-SA"/>
        </w:rPr>
        <w:t>dol</w:t>
      </w:r>
      <w:proofErr w:type="spellEnd"/>
      <w:r w:rsidR="000458D6" w:rsidRPr="003B70F9">
        <w:rPr>
          <w:rFonts w:ascii="Arial Narrow" w:hAnsi="Arial Narrow" w:cs="Arial Narrow"/>
          <w:b/>
          <w:sz w:val="16"/>
          <w:szCs w:val="16"/>
          <w:lang w:eastAsia="bg-BG" w:bidi="ar-SA"/>
        </w:rPr>
        <w:t xml:space="preserve">” for </w:t>
      </w:r>
      <w:r w:rsidR="00454D53" w:rsidRPr="003B70F9">
        <w:rPr>
          <w:rFonts w:ascii="Arial Narrow" w:hAnsi="Arial Narrow" w:cs="Arial Narrow"/>
          <w:b/>
          <w:sz w:val="16"/>
          <w:szCs w:val="16"/>
          <w:lang w:eastAsia="bg-BG" w:bidi="ar-SA"/>
        </w:rPr>
        <w:t xml:space="preserve">the below ground atmospheric layer (2 m) in dependence </w:t>
      </w:r>
      <w:r w:rsidR="00634C97" w:rsidRPr="003B70F9">
        <w:rPr>
          <w:rFonts w:ascii="Arial Narrow" w:hAnsi="Arial Narrow" w:cs="Arial Narrow"/>
          <w:b/>
          <w:sz w:val="16"/>
          <w:szCs w:val="16"/>
          <w:lang w:eastAsia="bg-BG" w:bidi="ar-SA"/>
        </w:rPr>
        <w:t xml:space="preserve">on </w:t>
      </w:r>
      <w:r w:rsidR="00454D53" w:rsidRPr="003B70F9">
        <w:rPr>
          <w:rFonts w:ascii="Arial Narrow" w:hAnsi="Arial Narrow" w:cs="Arial Narrow"/>
          <w:b/>
          <w:sz w:val="16"/>
          <w:szCs w:val="16"/>
          <w:lang w:eastAsia="bg-BG" w:bidi="ar-SA"/>
        </w:rPr>
        <w:t>the climatic conditions</w:t>
      </w:r>
    </w:p>
    <w:p w:rsidR="00E10A9A" w:rsidRPr="00EB20AB" w:rsidRDefault="00E10A9A" w:rsidP="003B1283">
      <w:pPr>
        <w:jc w:val="both"/>
        <w:rPr>
          <w:rFonts w:ascii="Arial Narrow" w:hAnsi="Arial Narrow" w:cs="Arial Narrow"/>
          <w:sz w:val="20"/>
          <w:szCs w:val="20"/>
          <w:lang w:eastAsia="bg-BG" w:bidi="ar-SA"/>
        </w:rPr>
      </w:pPr>
    </w:p>
    <w:p w:rsidR="000D75F6" w:rsidRDefault="0056567F" w:rsidP="003B1283">
      <w:pPr>
        <w:jc w:val="center"/>
        <w:rPr>
          <w:rFonts w:ascii="Arial Narrow" w:hAnsi="Arial Narrow" w:cs="Arial Narrow"/>
          <w:sz w:val="20"/>
          <w:szCs w:val="20"/>
          <w:lang w:eastAsia="bg-BG" w:bidi="ar-SA"/>
        </w:rPr>
      </w:pPr>
      <w:r w:rsidRPr="0056567F">
        <w:rPr>
          <w:rFonts w:ascii="Arial Narrow" w:hAnsi="Arial Narrow" w:cs="Arial Narrow"/>
          <w:noProof/>
          <w:sz w:val="20"/>
          <w:szCs w:val="20"/>
          <w:lang w:val="bg-BG" w:eastAsia="bg-BG" w:bidi="ar-SA"/>
        </w:rPr>
        <w:drawing>
          <wp:inline distT="0" distB="0" distL="0" distR="0" wp14:anchorId="2C913335" wp14:editId="59663300">
            <wp:extent cx="2790825" cy="22098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33C1" w:rsidRDefault="00DA33C1" w:rsidP="003B1283">
      <w:pPr>
        <w:jc w:val="both"/>
        <w:rPr>
          <w:rFonts w:ascii="Arial Narrow" w:hAnsi="Arial Narrow" w:cs="Arial Narrow"/>
          <w:sz w:val="20"/>
          <w:szCs w:val="20"/>
          <w:lang w:eastAsia="bg-BG" w:bidi="ar-SA"/>
        </w:rPr>
      </w:pPr>
    </w:p>
    <w:p w:rsidR="003B70F9" w:rsidRDefault="00C719DC" w:rsidP="003B70F9">
      <w:pPr>
        <w:spacing w:before="60"/>
        <w:jc w:val="both"/>
        <w:rPr>
          <w:rFonts w:ascii="Arial Narrow" w:hAnsi="Arial Narrow" w:cs="Arial Narrow"/>
          <w:b/>
          <w:sz w:val="16"/>
          <w:szCs w:val="16"/>
          <w:lang w:eastAsia="bg-BG" w:bidi="ar-SA"/>
        </w:rPr>
      </w:pPr>
      <w:proofErr w:type="gramStart"/>
      <w:r w:rsidRPr="003B70F9">
        <w:rPr>
          <w:rFonts w:ascii="Arial Narrow" w:hAnsi="Arial Narrow" w:cs="Arial Narrow"/>
          <w:b/>
          <w:sz w:val="16"/>
          <w:szCs w:val="16"/>
          <w:lang w:eastAsia="bg-BG" w:bidi="ar-SA"/>
        </w:rPr>
        <w:t>Fig.</w:t>
      </w:r>
      <w:r w:rsidR="00900989" w:rsidRPr="003B70F9">
        <w:rPr>
          <w:rFonts w:ascii="Arial Narrow" w:hAnsi="Arial Narrow" w:cs="Arial Narrow"/>
          <w:b/>
          <w:sz w:val="16"/>
          <w:szCs w:val="16"/>
          <w:lang w:eastAsia="bg-BG" w:bidi="ar-SA"/>
        </w:rPr>
        <w:t xml:space="preserve"> 5</w:t>
      </w:r>
      <w:r w:rsidRPr="003B70F9">
        <w:rPr>
          <w:rFonts w:ascii="Arial Narrow" w:hAnsi="Arial Narrow" w:cs="Arial Narrow"/>
          <w:b/>
          <w:sz w:val="16"/>
          <w:szCs w:val="16"/>
          <w:lang w:eastAsia="bg-BG" w:bidi="ar-SA"/>
        </w:rPr>
        <w:t>.</w:t>
      </w:r>
      <w:proofErr w:type="gramEnd"/>
      <w:r w:rsidRPr="003B70F9">
        <w:rPr>
          <w:rFonts w:ascii="Arial Narrow" w:hAnsi="Arial Narrow" w:cs="Arial Narrow"/>
          <w:b/>
          <w:sz w:val="16"/>
          <w:szCs w:val="16"/>
          <w:lang w:eastAsia="bg-BG" w:bidi="ar-SA"/>
        </w:rPr>
        <w:t xml:space="preserve"> </w:t>
      </w:r>
      <w:r w:rsidR="00634C97" w:rsidRPr="003B70F9">
        <w:rPr>
          <w:rFonts w:ascii="Arial Narrow" w:hAnsi="Arial Narrow" w:cs="Arial Narrow"/>
          <w:b/>
          <w:sz w:val="16"/>
          <w:szCs w:val="16"/>
          <w:lang w:eastAsia="bg-BG" w:bidi="ar-SA"/>
        </w:rPr>
        <w:t>Vertical variation of the sulfur dioxide concentration at 10 km distance from TPP “</w:t>
      </w:r>
      <w:proofErr w:type="spellStart"/>
      <w:r w:rsidR="00634C97" w:rsidRPr="003B70F9">
        <w:rPr>
          <w:rFonts w:ascii="Arial Narrow" w:hAnsi="Arial Narrow" w:cs="Arial Narrow"/>
          <w:b/>
          <w:sz w:val="16"/>
          <w:szCs w:val="16"/>
          <w:lang w:eastAsia="bg-BG" w:bidi="ar-SA"/>
        </w:rPr>
        <w:t>Bobov</w:t>
      </w:r>
      <w:proofErr w:type="spellEnd"/>
      <w:r w:rsidR="00634C97" w:rsidRPr="003B70F9">
        <w:rPr>
          <w:rFonts w:ascii="Arial Narrow" w:hAnsi="Arial Narrow" w:cs="Arial Narrow"/>
          <w:b/>
          <w:sz w:val="16"/>
          <w:szCs w:val="16"/>
          <w:lang w:eastAsia="bg-BG" w:bidi="ar-SA"/>
        </w:rPr>
        <w:t xml:space="preserve"> </w:t>
      </w:r>
      <w:proofErr w:type="spellStart"/>
      <w:r w:rsidR="00634C97" w:rsidRPr="003B70F9">
        <w:rPr>
          <w:rFonts w:ascii="Arial Narrow" w:hAnsi="Arial Narrow" w:cs="Arial Narrow"/>
          <w:b/>
          <w:sz w:val="16"/>
          <w:szCs w:val="16"/>
          <w:lang w:eastAsia="bg-BG" w:bidi="ar-SA"/>
        </w:rPr>
        <w:t>dol</w:t>
      </w:r>
      <w:proofErr w:type="spellEnd"/>
      <w:r w:rsidR="00634C97" w:rsidRPr="003B70F9">
        <w:rPr>
          <w:rFonts w:ascii="Arial Narrow" w:hAnsi="Arial Narrow" w:cs="Arial Narrow"/>
          <w:b/>
          <w:sz w:val="16"/>
          <w:szCs w:val="16"/>
          <w:lang w:eastAsia="bg-BG" w:bidi="ar-SA"/>
        </w:rPr>
        <w:t>” in dependence on the difference classes climatic conditions</w:t>
      </w:r>
    </w:p>
    <w:p w:rsidR="00A177D5" w:rsidRDefault="004D77B1" w:rsidP="003B70F9">
      <w:pPr>
        <w:spacing w:before="60"/>
        <w:jc w:val="both"/>
        <w:rPr>
          <w:rFonts w:ascii="Arial Narrow" w:hAnsi="Arial Narrow" w:cs="Times New Roman"/>
          <w:sz w:val="20"/>
          <w:szCs w:val="20"/>
          <w:lang w:val="bg-BG" w:eastAsia="bg-BG" w:bidi="ar-SA"/>
        </w:rPr>
      </w:pPr>
      <w:r w:rsidRPr="003B70F9">
        <w:rPr>
          <w:rFonts w:ascii="Arial Narrow" w:hAnsi="Arial Narrow" w:cs="Arial Narrow"/>
          <w:sz w:val="16"/>
          <w:szCs w:val="16"/>
          <w:lang w:eastAsia="bg-BG" w:bidi="ar-SA"/>
        </w:rPr>
        <w:br w:type="column"/>
      </w:r>
      <w:proofErr w:type="gramStart"/>
      <w:r w:rsidR="003B70F9">
        <w:rPr>
          <w:rFonts w:ascii="Arial Narrow" w:hAnsi="Arial Narrow" w:cs="Times New Roman"/>
          <w:sz w:val="20"/>
          <w:szCs w:val="20"/>
          <w:lang w:eastAsia="bg-BG" w:bidi="ar-SA"/>
        </w:rPr>
        <w:lastRenderedPageBreak/>
        <w:t>the</w:t>
      </w:r>
      <w:proofErr w:type="gramEnd"/>
      <w:r w:rsidR="003B70F9">
        <w:rPr>
          <w:rFonts w:ascii="Arial Narrow" w:hAnsi="Arial Narrow" w:cs="Times New Roman"/>
          <w:sz w:val="20"/>
          <w:szCs w:val="20"/>
          <w:lang w:eastAsia="bg-BG" w:bidi="ar-SA"/>
        </w:rPr>
        <w:t xml:space="preserve"> range of 27-29 </w:t>
      </w:r>
      <w:r w:rsidR="003B70F9">
        <w:rPr>
          <w:rFonts w:ascii="Calibri" w:hAnsi="Calibri" w:cs="Times New Roman"/>
          <w:sz w:val="20"/>
          <w:szCs w:val="20"/>
          <w:lang w:eastAsia="bg-BG" w:bidi="ar-SA"/>
        </w:rPr>
        <w:t>µ</w:t>
      </w:r>
      <w:r w:rsidR="003B70F9">
        <w:rPr>
          <w:rFonts w:ascii="Arial Narrow" w:hAnsi="Arial Narrow" w:cs="Times New Roman"/>
          <w:sz w:val="20"/>
          <w:szCs w:val="20"/>
          <w:lang w:eastAsia="bg-BG" w:bidi="ar-SA"/>
        </w:rPr>
        <w:t>g/ m</w:t>
      </w:r>
      <w:r w:rsidR="003B70F9" w:rsidRPr="00A177D5">
        <w:rPr>
          <w:rFonts w:ascii="Arial Narrow" w:hAnsi="Arial Narrow" w:cs="Times New Roman"/>
          <w:sz w:val="20"/>
          <w:szCs w:val="20"/>
          <w:vertAlign w:val="superscript"/>
          <w:lang w:eastAsia="bg-BG" w:bidi="ar-SA"/>
        </w:rPr>
        <w:t>3</w:t>
      </w:r>
      <w:r w:rsidR="003B70F9">
        <w:rPr>
          <w:rFonts w:ascii="Arial Narrow" w:hAnsi="Arial Narrow" w:cs="Times New Roman"/>
          <w:sz w:val="20"/>
          <w:szCs w:val="20"/>
          <w:lang w:eastAsia="bg-BG" w:bidi="ar-SA"/>
        </w:rPr>
        <w:t xml:space="preserve"> at a distance of 20-30 km from the </w:t>
      </w:r>
      <w:r w:rsidR="00EE3769">
        <w:rPr>
          <w:rFonts w:ascii="Arial Narrow" w:hAnsi="Arial Narrow" w:cs="Times New Roman"/>
          <w:sz w:val="20"/>
          <w:szCs w:val="20"/>
          <w:lang w:eastAsia="bg-BG" w:bidi="ar-SA"/>
        </w:rPr>
        <w:t>power plant</w:t>
      </w:r>
      <w:r w:rsidR="00EE3769">
        <w:rPr>
          <w:rFonts w:ascii="Arial Narrow" w:hAnsi="Arial Narrow" w:cs="Arial Narrow"/>
          <w:sz w:val="20"/>
          <w:szCs w:val="20"/>
          <w:lang w:eastAsia="bg-BG" w:bidi="ar-SA"/>
        </w:rPr>
        <w:t xml:space="preserve">. Something more, all ground concentrations of the pollutant for the observed period and for </w:t>
      </w:r>
      <w:r w:rsidR="00495169">
        <w:rPr>
          <w:rFonts w:ascii="Arial Narrow" w:hAnsi="Arial Narrow" w:cs="Arial Narrow"/>
          <w:sz w:val="20"/>
          <w:szCs w:val="20"/>
          <w:lang w:eastAsia="bg-BG" w:bidi="ar-SA"/>
        </w:rPr>
        <w:t xml:space="preserve">all </w:t>
      </w:r>
      <w:r w:rsidR="00EE3769">
        <w:rPr>
          <w:rFonts w:ascii="Arial Narrow" w:hAnsi="Arial Narrow" w:cs="Arial Narrow"/>
          <w:sz w:val="20"/>
          <w:szCs w:val="20"/>
          <w:lang w:eastAsia="bg-BG" w:bidi="ar-SA"/>
        </w:rPr>
        <w:t>area</w:t>
      </w:r>
      <w:r w:rsidR="00495169">
        <w:rPr>
          <w:rFonts w:ascii="Arial Narrow" w:hAnsi="Arial Narrow" w:cs="Arial Narrow"/>
          <w:sz w:val="20"/>
          <w:szCs w:val="20"/>
          <w:lang w:eastAsia="bg-BG" w:bidi="ar-SA"/>
        </w:rPr>
        <w:t xml:space="preserve"> in characterization</w:t>
      </w:r>
      <w:r w:rsidR="00EE3769">
        <w:rPr>
          <w:rFonts w:ascii="Arial Narrow" w:hAnsi="Arial Narrow" w:cs="Arial Narrow"/>
          <w:sz w:val="20"/>
          <w:szCs w:val="20"/>
          <w:lang w:eastAsia="bg-BG" w:bidi="ar-SA"/>
        </w:rPr>
        <w:t xml:space="preserve"> never would exceed 1 </w:t>
      </w:r>
      <w:r w:rsidR="00EE3769">
        <w:rPr>
          <w:rFonts w:ascii="Calibri" w:hAnsi="Calibri" w:cs="Times New Roman"/>
          <w:sz w:val="20"/>
          <w:szCs w:val="20"/>
          <w:lang w:eastAsia="bg-BG" w:bidi="ar-SA"/>
        </w:rPr>
        <w:t>µ</w:t>
      </w:r>
      <w:r w:rsidR="00EE3769">
        <w:rPr>
          <w:rFonts w:ascii="Arial Narrow" w:hAnsi="Arial Narrow" w:cs="Times New Roman"/>
          <w:sz w:val="20"/>
          <w:szCs w:val="20"/>
          <w:lang w:eastAsia="bg-BG" w:bidi="ar-SA"/>
        </w:rPr>
        <w:t>g/ m</w:t>
      </w:r>
      <w:r w:rsidR="00EE3769" w:rsidRPr="00A177D5">
        <w:rPr>
          <w:rFonts w:ascii="Arial Narrow" w:hAnsi="Arial Narrow" w:cs="Times New Roman"/>
          <w:sz w:val="20"/>
          <w:szCs w:val="20"/>
          <w:vertAlign w:val="superscript"/>
          <w:lang w:eastAsia="bg-BG" w:bidi="ar-SA"/>
        </w:rPr>
        <w:t>3</w:t>
      </w:r>
      <w:r w:rsidR="00EE3769">
        <w:rPr>
          <w:rFonts w:ascii="Arial Narrow" w:hAnsi="Arial Narrow" w:cs="Times New Roman"/>
          <w:sz w:val="20"/>
          <w:szCs w:val="20"/>
          <w:lang w:eastAsia="bg-BG" w:bidi="ar-SA"/>
        </w:rPr>
        <w:t xml:space="preserve"> when climatic conditions are within the frame of class F (Table 5). For that, the accidental release of sulfur dioxide in the atmosphere during the night would have a negligible negative effect on the health of inhabitants of </w:t>
      </w:r>
      <w:proofErr w:type="spellStart"/>
      <w:r w:rsidR="00EE3769">
        <w:rPr>
          <w:rFonts w:ascii="Arial Narrow" w:hAnsi="Arial Narrow" w:cs="Times New Roman"/>
          <w:sz w:val="20"/>
          <w:szCs w:val="20"/>
          <w:lang w:eastAsia="bg-BG" w:bidi="ar-SA"/>
        </w:rPr>
        <w:t>Radomir</w:t>
      </w:r>
      <w:proofErr w:type="spellEnd"/>
      <w:r w:rsidR="00EE3769">
        <w:rPr>
          <w:rFonts w:ascii="Arial Narrow" w:hAnsi="Arial Narrow" w:cs="Times New Roman"/>
          <w:sz w:val="20"/>
          <w:szCs w:val="20"/>
          <w:lang w:eastAsia="bg-BG" w:bidi="ar-SA"/>
        </w:rPr>
        <w:t xml:space="preserve">, </w:t>
      </w:r>
      <w:proofErr w:type="spellStart"/>
      <w:r w:rsidR="00EE3769">
        <w:rPr>
          <w:rFonts w:ascii="Arial Narrow" w:hAnsi="Arial Narrow" w:cs="Times New Roman"/>
          <w:sz w:val="20"/>
          <w:szCs w:val="20"/>
          <w:lang w:eastAsia="bg-BG" w:bidi="ar-SA"/>
        </w:rPr>
        <w:t>Dupnitza</w:t>
      </w:r>
      <w:proofErr w:type="spellEnd"/>
      <w:r w:rsidR="00EE3769">
        <w:rPr>
          <w:rFonts w:ascii="Arial Narrow" w:hAnsi="Arial Narrow" w:cs="Times New Roman"/>
          <w:sz w:val="20"/>
          <w:szCs w:val="20"/>
          <w:lang w:eastAsia="bg-BG" w:bidi="ar-SA"/>
        </w:rPr>
        <w:t xml:space="preserve">, and </w:t>
      </w:r>
      <w:proofErr w:type="spellStart"/>
      <w:r w:rsidR="00EE3769">
        <w:rPr>
          <w:rFonts w:ascii="Arial Narrow" w:hAnsi="Arial Narrow" w:cs="Arial Narrow"/>
          <w:sz w:val="20"/>
          <w:szCs w:val="20"/>
          <w:lang w:eastAsia="bg-BG" w:bidi="ar-SA"/>
        </w:rPr>
        <w:t>Kyustendil</w:t>
      </w:r>
      <w:proofErr w:type="spellEnd"/>
      <w:r w:rsidR="00EE3769">
        <w:rPr>
          <w:rFonts w:ascii="Arial Narrow" w:hAnsi="Arial Narrow" w:cs="Arial Narrow"/>
          <w:sz w:val="20"/>
          <w:szCs w:val="20"/>
          <w:lang w:eastAsia="bg-BG" w:bidi="ar-SA"/>
        </w:rPr>
        <w:t>.</w:t>
      </w:r>
      <w:r w:rsidR="00495169">
        <w:rPr>
          <w:rFonts w:ascii="Arial Narrow" w:hAnsi="Arial Narrow" w:cs="Arial Narrow"/>
          <w:sz w:val="20"/>
          <w:szCs w:val="20"/>
          <w:lang w:val="bg-BG" w:eastAsia="bg-BG" w:bidi="ar-SA"/>
        </w:rPr>
        <w:t xml:space="preserve"> </w:t>
      </w:r>
      <w:r w:rsidR="00EE3769">
        <w:rPr>
          <w:rFonts w:ascii="Arial Narrow" w:hAnsi="Arial Narrow" w:cs="Times New Roman"/>
          <w:sz w:val="20"/>
          <w:szCs w:val="20"/>
          <w:lang w:eastAsia="bg-BG" w:bidi="ar-SA"/>
        </w:rPr>
        <w:t>The main reason was the minimum vertical dispersion of the pollutant from the higher height of atmosphere to the ground level as this process would be lowest for class F in comparison to all other classes of atmosphere stability. As a</w:t>
      </w:r>
      <w:r w:rsidR="00495169">
        <w:rPr>
          <w:rFonts w:ascii="Arial Narrow" w:hAnsi="Arial Narrow" w:cs="Times New Roman"/>
          <w:sz w:val="20"/>
          <w:szCs w:val="20"/>
          <w:lang w:val="bg-BG" w:eastAsia="bg-BG" w:bidi="ar-SA"/>
        </w:rPr>
        <w:t xml:space="preserve"> </w:t>
      </w:r>
      <w:r w:rsidR="00CE058A">
        <w:rPr>
          <w:rFonts w:ascii="Arial Narrow" w:hAnsi="Arial Narrow" w:cs="Times New Roman"/>
          <w:sz w:val="20"/>
          <w:szCs w:val="20"/>
          <w:lang w:eastAsia="bg-BG" w:bidi="ar-SA"/>
        </w:rPr>
        <w:t xml:space="preserve">result, the radial pollutant transport would be also negligible and the pollutant concentration </w:t>
      </w:r>
      <w:r w:rsidR="00CD733A">
        <w:rPr>
          <w:rFonts w:ascii="Arial Narrow" w:hAnsi="Arial Narrow" w:cs="Times New Roman"/>
          <w:sz w:val="20"/>
          <w:szCs w:val="20"/>
          <w:lang w:eastAsia="bg-BG" w:bidi="ar-SA"/>
        </w:rPr>
        <w:t xml:space="preserve">would be </w:t>
      </w:r>
      <w:r w:rsidR="00CE058A">
        <w:rPr>
          <w:rFonts w:ascii="Arial Narrow" w:hAnsi="Arial Narrow" w:cs="Times New Roman"/>
          <w:sz w:val="20"/>
          <w:szCs w:val="20"/>
          <w:lang w:eastAsia="bg-BG" w:bidi="ar-SA"/>
        </w:rPr>
        <w:t>dropped rapidly only at a few meters aside from the plume`s centerline (Table 6, Figure 4).</w:t>
      </w:r>
      <w:r w:rsidR="00FE3E61">
        <w:rPr>
          <w:rFonts w:ascii="Arial Narrow" w:hAnsi="Arial Narrow" w:cs="Times New Roman"/>
          <w:sz w:val="20"/>
          <w:szCs w:val="20"/>
          <w:lang w:val="bg-BG" w:eastAsia="bg-BG" w:bidi="ar-SA"/>
        </w:rPr>
        <w:t xml:space="preserve"> </w:t>
      </w:r>
      <w:r w:rsidR="00FE3E61">
        <w:rPr>
          <w:rFonts w:ascii="Arial Narrow" w:hAnsi="Arial Narrow" w:cs="Times New Roman"/>
          <w:sz w:val="20"/>
          <w:szCs w:val="20"/>
          <w:lang w:eastAsia="bg-BG" w:bidi="ar-SA"/>
        </w:rPr>
        <w:t>Meanwhile</w:t>
      </w:r>
      <w:r w:rsidR="00F565A9">
        <w:rPr>
          <w:rFonts w:ascii="Arial Narrow" w:hAnsi="Arial Narrow" w:cs="Times New Roman"/>
          <w:sz w:val="20"/>
          <w:szCs w:val="20"/>
          <w:lang w:eastAsia="bg-BG" w:bidi="ar-SA"/>
        </w:rPr>
        <w:t>, the pollutant concentration would be increased at a higher level above the ground and even at average and longer distance</w:t>
      </w:r>
      <w:r w:rsidR="00D6167B">
        <w:rPr>
          <w:rFonts w:ascii="Arial Narrow" w:hAnsi="Arial Narrow" w:cs="Times New Roman"/>
          <w:sz w:val="20"/>
          <w:szCs w:val="20"/>
          <w:lang w:eastAsia="bg-BG" w:bidi="ar-SA"/>
        </w:rPr>
        <w:t xml:space="preserve"> (15-30 km)</w:t>
      </w:r>
      <w:r w:rsidR="00F565A9">
        <w:rPr>
          <w:rFonts w:ascii="Arial Narrow" w:hAnsi="Arial Narrow" w:cs="Times New Roman"/>
          <w:sz w:val="20"/>
          <w:szCs w:val="20"/>
          <w:lang w:eastAsia="bg-BG" w:bidi="ar-SA"/>
        </w:rPr>
        <w:t xml:space="preserve"> from TPP “</w:t>
      </w:r>
      <w:proofErr w:type="spellStart"/>
      <w:r w:rsidR="00F565A9">
        <w:rPr>
          <w:rFonts w:ascii="Arial Narrow" w:hAnsi="Arial Narrow" w:cs="Times New Roman"/>
          <w:sz w:val="20"/>
          <w:szCs w:val="20"/>
          <w:lang w:eastAsia="bg-BG" w:bidi="ar-SA"/>
        </w:rPr>
        <w:t>Bobov</w:t>
      </w:r>
      <w:proofErr w:type="spellEnd"/>
      <w:r w:rsidR="00F565A9">
        <w:rPr>
          <w:rFonts w:ascii="Arial Narrow" w:hAnsi="Arial Narrow" w:cs="Times New Roman"/>
          <w:sz w:val="20"/>
          <w:szCs w:val="20"/>
          <w:lang w:eastAsia="bg-BG" w:bidi="ar-SA"/>
        </w:rPr>
        <w:t xml:space="preserve"> </w:t>
      </w:r>
      <w:proofErr w:type="spellStart"/>
      <w:r w:rsidR="00F565A9">
        <w:rPr>
          <w:rFonts w:ascii="Arial Narrow" w:hAnsi="Arial Narrow" w:cs="Times New Roman"/>
          <w:sz w:val="20"/>
          <w:szCs w:val="20"/>
          <w:lang w:eastAsia="bg-BG" w:bidi="ar-SA"/>
        </w:rPr>
        <w:t>dol</w:t>
      </w:r>
      <w:proofErr w:type="spellEnd"/>
      <w:r w:rsidR="00F565A9">
        <w:rPr>
          <w:rFonts w:ascii="Arial Narrow" w:hAnsi="Arial Narrow" w:cs="Times New Roman"/>
          <w:sz w:val="20"/>
          <w:szCs w:val="20"/>
          <w:lang w:eastAsia="bg-BG" w:bidi="ar-SA"/>
        </w:rPr>
        <w:t xml:space="preserve">” would be in the range of </w:t>
      </w:r>
      <w:r w:rsidR="00D6167B">
        <w:rPr>
          <w:rFonts w:ascii="Arial Narrow" w:hAnsi="Arial Narrow" w:cs="Times New Roman"/>
          <w:sz w:val="20"/>
          <w:szCs w:val="20"/>
          <w:lang w:eastAsia="bg-BG" w:bidi="ar-SA"/>
        </w:rPr>
        <w:t>75</w:t>
      </w:r>
      <w:r w:rsidR="00F565A9">
        <w:rPr>
          <w:rFonts w:ascii="Arial Narrow" w:hAnsi="Arial Narrow" w:cs="Times New Roman"/>
          <w:sz w:val="20"/>
          <w:szCs w:val="20"/>
          <w:lang w:eastAsia="bg-BG" w:bidi="ar-SA"/>
        </w:rPr>
        <w:t>-</w:t>
      </w:r>
      <w:r w:rsidR="00D6167B">
        <w:rPr>
          <w:rFonts w:ascii="Arial Narrow" w:hAnsi="Arial Narrow" w:cs="Times New Roman"/>
          <w:sz w:val="20"/>
          <w:szCs w:val="20"/>
          <w:lang w:eastAsia="bg-BG" w:bidi="ar-SA"/>
        </w:rPr>
        <w:t>250</w:t>
      </w:r>
      <w:r w:rsidR="00F565A9">
        <w:rPr>
          <w:rFonts w:ascii="Arial Narrow" w:hAnsi="Arial Narrow" w:cs="Times New Roman"/>
          <w:sz w:val="20"/>
          <w:szCs w:val="20"/>
          <w:lang w:eastAsia="bg-BG" w:bidi="ar-SA"/>
        </w:rPr>
        <w:t xml:space="preserve"> </w:t>
      </w:r>
      <w:r w:rsidR="00F565A9">
        <w:rPr>
          <w:rFonts w:ascii="Calibri" w:hAnsi="Calibri" w:cs="Times New Roman"/>
          <w:sz w:val="20"/>
          <w:szCs w:val="20"/>
          <w:lang w:eastAsia="bg-BG" w:bidi="ar-SA"/>
        </w:rPr>
        <w:t>µ</w:t>
      </w:r>
      <w:r w:rsidR="00F565A9">
        <w:rPr>
          <w:rFonts w:ascii="Arial Narrow" w:hAnsi="Arial Narrow" w:cs="Times New Roman"/>
          <w:sz w:val="20"/>
          <w:szCs w:val="20"/>
          <w:lang w:eastAsia="bg-BG" w:bidi="ar-SA"/>
        </w:rPr>
        <w:t>g/ m</w:t>
      </w:r>
      <w:r w:rsidR="00F565A9" w:rsidRPr="00A177D5">
        <w:rPr>
          <w:rFonts w:ascii="Arial Narrow" w:hAnsi="Arial Narrow" w:cs="Times New Roman"/>
          <w:sz w:val="20"/>
          <w:szCs w:val="20"/>
          <w:vertAlign w:val="superscript"/>
          <w:lang w:eastAsia="bg-BG" w:bidi="ar-SA"/>
        </w:rPr>
        <w:t>3</w:t>
      </w:r>
      <w:r w:rsidR="00342E1F">
        <w:rPr>
          <w:rFonts w:ascii="Arial Narrow" w:hAnsi="Arial Narrow" w:cs="Times New Roman"/>
          <w:sz w:val="20"/>
          <w:szCs w:val="20"/>
          <w:lang w:eastAsia="bg-BG" w:bidi="ar-SA"/>
        </w:rPr>
        <w:t>. In</w:t>
      </w:r>
      <w:r w:rsidR="00F854BB">
        <w:rPr>
          <w:rFonts w:ascii="Arial Narrow" w:hAnsi="Arial Narrow" w:cs="Times New Roman"/>
          <w:sz w:val="20"/>
          <w:szCs w:val="20"/>
          <w:lang w:eastAsia="bg-BG" w:bidi="ar-SA"/>
        </w:rPr>
        <w:t xml:space="preserve"> such</w:t>
      </w:r>
      <w:r w:rsidR="00342E1F">
        <w:rPr>
          <w:rFonts w:ascii="Arial Narrow" w:hAnsi="Arial Narrow" w:cs="Times New Roman"/>
          <w:sz w:val="20"/>
          <w:szCs w:val="20"/>
          <w:lang w:eastAsia="bg-BG" w:bidi="ar-SA"/>
        </w:rPr>
        <w:t xml:space="preserve"> case, the main negative effect of </w:t>
      </w:r>
      <w:r w:rsidR="00D6167B">
        <w:rPr>
          <w:rFonts w:ascii="Arial Narrow" w:hAnsi="Arial Narrow" w:cs="Times New Roman"/>
          <w:sz w:val="20"/>
          <w:szCs w:val="20"/>
          <w:lang w:eastAsia="bg-BG" w:bidi="ar-SA"/>
        </w:rPr>
        <w:t xml:space="preserve">the </w:t>
      </w:r>
      <w:r w:rsidR="00673F19">
        <w:rPr>
          <w:rFonts w:ascii="Arial Narrow" w:hAnsi="Arial Narrow" w:cs="Times New Roman"/>
          <w:sz w:val="20"/>
          <w:szCs w:val="20"/>
          <w:lang w:eastAsia="bg-BG" w:bidi="ar-SA"/>
        </w:rPr>
        <w:t xml:space="preserve">sulfur dioxide, </w:t>
      </w:r>
      <w:r w:rsidR="00342E1F">
        <w:rPr>
          <w:rFonts w:ascii="Arial Narrow" w:hAnsi="Arial Narrow" w:cs="Times New Roman"/>
          <w:sz w:val="20"/>
          <w:szCs w:val="20"/>
          <w:lang w:eastAsia="bg-BG" w:bidi="ar-SA"/>
        </w:rPr>
        <w:t xml:space="preserve">accidentally released </w:t>
      </w:r>
      <w:r w:rsidR="00673F19">
        <w:rPr>
          <w:rFonts w:ascii="Arial Narrow" w:hAnsi="Arial Narrow" w:cs="Times New Roman"/>
          <w:sz w:val="20"/>
          <w:szCs w:val="20"/>
          <w:lang w:eastAsia="bg-BG" w:bidi="ar-SA"/>
        </w:rPr>
        <w:t xml:space="preserve">in the atmosphere </w:t>
      </w:r>
      <w:r w:rsidR="00342E1F">
        <w:rPr>
          <w:rFonts w:ascii="Arial Narrow" w:hAnsi="Arial Narrow" w:cs="Times New Roman"/>
          <w:sz w:val="20"/>
          <w:szCs w:val="20"/>
          <w:lang w:eastAsia="bg-BG" w:bidi="ar-SA"/>
        </w:rPr>
        <w:t>during the night</w:t>
      </w:r>
      <w:r w:rsidR="00673F19">
        <w:rPr>
          <w:rFonts w:ascii="Arial Narrow" w:hAnsi="Arial Narrow" w:cs="Times New Roman"/>
          <w:sz w:val="20"/>
          <w:szCs w:val="20"/>
          <w:lang w:eastAsia="bg-BG" w:bidi="ar-SA"/>
        </w:rPr>
        <w:t>,</w:t>
      </w:r>
      <w:r w:rsidR="00342E1F">
        <w:rPr>
          <w:rFonts w:ascii="Arial Narrow" w:hAnsi="Arial Narrow" w:cs="Times New Roman"/>
          <w:sz w:val="20"/>
          <w:szCs w:val="20"/>
          <w:lang w:eastAsia="bg-BG" w:bidi="ar-SA"/>
        </w:rPr>
        <w:t xml:space="preserve"> on the</w:t>
      </w:r>
      <w:r w:rsidR="00D6167B">
        <w:rPr>
          <w:rFonts w:ascii="Arial Narrow" w:hAnsi="Arial Narrow" w:cs="Times New Roman"/>
          <w:sz w:val="20"/>
          <w:szCs w:val="20"/>
          <w:lang w:eastAsia="bg-BG" w:bidi="ar-SA"/>
        </w:rPr>
        <w:t xml:space="preserve">se towns would be washout </w:t>
      </w:r>
      <w:r w:rsidR="00673F19">
        <w:rPr>
          <w:rFonts w:ascii="Arial Narrow" w:hAnsi="Arial Narrow" w:cs="Times New Roman"/>
          <w:sz w:val="20"/>
          <w:szCs w:val="20"/>
          <w:lang w:eastAsia="bg-BG" w:bidi="ar-SA"/>
        </w:rPr>
        <w:t xml:space="preserve">of the diluted sulfuric acid </w:t>
      </w:r>
      <w:r w:rsidR="00D6167B">
        <w:rPr>
          <w:rFonts w:ascii="Arial Narrow" w:hAnsi="Arial Narrow" w:cs="Times New Roman"/>
          <w:sz w:val="20"/>
          <w:szCs w:val="20"/>
          <w:lang w:eastAsia="bg-BG" w:bidi="ar-SA"/>
        </w:rPr>
        <w:t xml:space="preserve">and </w:t>
      </w:r>
      <w:r w:rsidR="00673F19">
        <w:rPr>
          <w:rFonts w:ascii="Arial Narrow" w:hAnsi="Arial Narrow" w:cs="Times New Roman"/>
          <w:sz w:val="20"/>
          <w:szCs w:val="20"/>
          <w:lang w:eastAsia="bg-BG" w:bidi="ar-SA"/>
        </w:rPr>
        <w:t xml:space="preserve">its </w:t>
      </w:r>
      <w:r w:rsidR="00D6167B">
        <w:rPr>
          <w:rFonts w:ascii="Arial Narrow" w:hAnsi="Arial Narrow" w:cs="Times New Roman"/>
          <w:sz w:val="20"/>
          <w:szCs w:val="20"/>
          <w:lang w:eastAsia="bg-BG" w:bidi="ar-SA"/>
        </w:rPr>
        <w:t xml:space="preserve">wet deposition </w:t>
      </w:r>
      <w:r w:rsidR="00010E28">
        <w:rPr>
          <w:rFonts w:ascii="Arial Narrow" w:hAnsi="Arial Narrow" w:cs="Times New Roman"/>
          <w:sz w:val="20"/>
          <w:szCs w:val="20"/>
          <w:lang w:eastAsia="bg-BG" w:bidi="ar-SA"/>
        </w:rPr>
        <w:t xml:space="preserve">on the short-distance situated towns and terrestrial ecosystems </w:t>
      </w:r>
      <w:r w:rsidR="00673F19">
        <w:rPr>
          <w:rFonts w:ascii="Arial Narrow" w:hAnsi="Arial Narrow" w:cs="Times New Roman"/>
          <w:sz w:val="20"/>
          <w:szCs w:val="20"/>
          <w:lang w:eastAsia="bg-BG" w:bidi="ar-SA"/>
        </w:rPr>
        <w:t xml:space="preserve">as </w:t>
      </w:r>
      <w:r w:rsidR="00D6167B">
        <w:rPr>
          <w:rFonts w:ascii="Arial Narrow" w:hAnsi="Arial Narrow" w:cs="Times New Roman"/>
          <w:sz w:val="20"/>
          <w:szCs w:val="20"/>
          <w:lang w:eastAsia="bg-BG" w:bidi="ar-SA"/>
        </w:rPr>
        <w:t>acid rain</w:t>
      </w:r>
      <w:r w:rsidR="00010E28">
        <w:rPr>
          <w:rFonts w:ascii="Arial Narrow" w:hAnsi="Arial Narrow" w:cs="Times New Roman"/>
          <w:sz w:val="20"/>
          <w:szCs w:val="20"/>
          <w:lang w:eastAsia="bg-BG" w:bidi="ar-SA"/>
        </w:rPr>
        <w:t>s</w:t>
      </w:r>
      <w:r w:rsidR="00D6167B">
        <w:rPr>
          <w:rFonts w:ascii="Arial Narrow" w:hAnsi="Arial Narrow" w:cs="Times New Roman"/>
          <w:sz w:val="20"/>
          <w:szCs w:val="20"/>
          <w:lang w:eastAsia="bg-BG" w:bidi="ar-SA"/>
        </w:rPr>
        <w:t xml:space="preserve">. That conclusion is in accordance to the data of </w:t>
      </w:r>
      <w:r w:rsidR="00F854BB">
        <w:rPr>
          <w:rFonts w:ascii="Arial Narrow" w:hAnsi="Arial Narrow" w:cs="Times New Roman"/>
          <w:sz w:val="20"/>
          <w:szCs w:val="20"/>
          <w:lang w:eastAsia="bg-BG" w:bidi="ar-SA"/>
        </w:rPr>
        <w:t xml:space="preserve">the National Institute on Hydrology and </w:t>
      </w:r>
      <w:proofErr w:type="spellStart"/>
      <w:r w:rsidR="00F854BB">
        <w:rPr>
          <w:rFonts w:ascii="Arial Narrow" w:hAnsi="Arial Narrow" w:cs="Times New Roman"/>
          <w:sz w:val="20"/>
          <w:szCs w:val="20"/>
          <w:lang w:eastAsia="bg-BG" w:bidi="ar-SA"/>
        </w:rPr>
        <w:t>Metereolgy</w:t>
      </w:r>
      <w:proofErr w:type="spellEnd"/>
      <w:r w:rsidR="00F854BB">
        <w:rPr>
          <w:rFonts w:ascii="Arial Narrow" w:hAnsi="Arial Narrow" w:cs="Times New Roman"/>
          <w:sz w:val="20"/>
          <w:szCs w:val="20"/>
          <w:lang w:eastAsia="bg-BG" w:bidi="ar-SA"/>
        </w:rPr>
        <w:t xml:space="preserve"> at BAS which </w:t>
      </w:r>
      <w:r w:rsidR="00D6167B">
        <w:rPr>
          <w:rFonts w:ascii="Arial Narrow" w:hAnsi="Arial Narrow" w:cs="Times New Roman"/>
          <w:sz w:val="20"/>
          <w:szCs w:val="20"/>
          <w:lang w:eastAsia="bg-BG" w:bidi="ar-SA"/>
        </w:rPr>
        <w:t xml:space="preserve">regular monitoring </w:t>
      </w:r>
      <w:r w:rsidR="00F854BB">
        <w:rPr>
          <w:rFonts w:ascii="Arial Narrow" w:hAnsi="Arial Narrow" w:cs="Times New Roman"/>
          <w:sz w:val="20"/>
          <w:szCs w:val="20"/>
          <w:lang w:eastAsia="bg-BG" w:bidi="ar-SA"/>
        </w:rPr>
        <w:t xml:space="preserve">in the area </w:t>
      </w:r>
      <w:r w:rsidR="00D6167B">
        <w:rPr>
          <w:rFonts w:ascii="Arial Narrow" w:hAnsi="Arial Narrow" w:cs="Times New Roman"/>
          <w:sz w:val="20"/>
          <w:szCs w:val="20"/>
          <w:lang w:eastAsia="bg-BG" w:bidi="ar-SA"/>
        </w:rPr>
        <w:t xml:space="preserve">shown that pH of rains in </w:t>
      </w:r>
      <w:proofErr w:type="spellStart"/>
      <w:r w:rsidR="00D6167B">
        <w:rPr>
          <w:rFonts w:ascii="Arial Narrow" w:hAnsi="Arial Narrow" w:cs="Arial Narrow"/>
          <w:sz w:val="20"/>
          <w:szCs w:val="20"/>
          <w:lang w:eastAsia="bg-BG" w:bidi="ar-SA"/>
        </w:rPr>
        <w:t>Kyustendil</w:t>
      </w:r>
      <w:proofErr w:type="spellEnd"/>
      <w:r w:rsidR="00D6167B">
        <w:rPr>
          <w:rFonts w:ascii="Arial Narrow" w:hAnsi="Arial Narrow" w:cs="Arial Narrow"/>
          <w:sz w:val="20"/>
          <w:szCs w:val="20"/>
          <w:lang w:eastAsia="bg-BG" w:bidi="ar-SA"/>
        </w:rPr>
        <w:t xml:space="preserve"> </w:t>
      </w:r>
      <w:r w:rsidR="00F470C2">
        <w:rPr>
          <w:rFonts w:ascii="Arial Narrow" w:hAnsi="Arial Narrow" w:cs="Arial Narrow"/>
          <w:sz w:val="20"/>
          <w:szCs w:val="20"/>
          <w:lang w:eastAsia="bg-BG" w:bidi="ar-SA"/>
        </w:rPr>
        <w:t>are with the lowest pH in comparison to the rains` pH</w:t>
      </w:r>
      <w:r w:rsidR="00D6167B">
        <w:rPr>
          <w:rFonts w:ascii="Arial Narrow" w:hAnsi="Arial Narrow" w:cs="Arial Narrow"/>
          <w:sz w:val="20"/>
          <w:szCs w:val="20"/>
          <w:lang w:eastAsia="bg-BG" w:bidi="ar-SA"/>
        </w:rPr>
        <w:t xml:space="preserve"> </w:t>
      </w:r>
      <w:r w:rsidR="00BC1512">
        <w:rPr>
          <w:rFonts w:ascii="Arial Narrow" w:hAnsi="Arial Narrow" w:cs="Arial Narrow"/>
          <w:sz w:val="20"/>
          <w:szCs w:val="20"/>
          <w:lang w:eastAsia="bg-BG" w:bidi="ar-SA"/>
        </w:rPr>
        <w:t xml:space="preserve">measured in </w:t>
      </w:r>
      <w:r w:rsidR="00F470C2">
        <w:rPr>
          <w:rFonts w:ascii="Arial Narrow" w:hAnsi="Arial Narrow" w:cs="Arial Narrow"/>
          <w:sz w:val="20"/>
          <w:szCs w:val="20"/>
          <w:lang w:eastAsia="bg-BG" w:bidi="ar-SA"/>
        </w:rPr>
        <w:t xml:space="preserve">the other Bulgarian </w:t>
      </w:r>
      <w:r w:rsidR="00010E28">
        <w:rPr>
          <w:rFonts w:ascii="Arial Narrow" w:hAnsi="Arial Narrow" w:cs="Arial Narrow"/>
          <w:sz w:val="20"/>
          <w:szCs w:val="20"/>
          <w:lang w:eastAsia="bg-BG" w:bidi="ar-SA"/>
        </w:rPr>
        <w:t xml:space="preserve">towns where </w:t>
      </w:r>
      <w:r w:rsidR="00F854BB">
        <w:rPr>
          <w:rFonts w:ascii="Arial Narrow" w:hAnsi="Arial Narrow" w:cs="Arial Narrow"/>
          <w:sz w:val="20"/>
          <w:szCs w:val="20"/>
          <w:lang w:eastAsia="bg-BG" w:bidi="ar-SA"/>
        </w:rPr>
        <w:t>similar</w:t>
      </w:r>
      <w:r w:rsidR="00010E28">
        <w:rPr>
          <w:rFonts w:ascii="Arial Narrow" w:hAnsi="Arial Narrow" w:cs="Arial Narrow"/>
          <w:sz w:val="20"/>
          <w:szCs w:val="20"/>
          <w:lang w:eastAsia="bg-BG" w:bidi="ar-SA"/>
        </w:rPr>
        <w:t xml:space="preserve"> monitoring is also applied</w:t>
      </w:r>
      <w:r w:rsidR="00F470C2">
        <w:rPr>
          <w:rFonts w:ascii="Arial Narrow" w:hAnsi="Arial Narrow" w:cs="Arial Narrow"/>
          <w:sz w:val="20"/>
          <w:szCs w:val="20"/>
          <w:lang w:eastAsia="bg-BG" w:bidi="ar-SA"/>
        </w:rPr>
        <w:t xml:space="preserve"> </w:t>
      </w:r>
      <w:r w:rsidR="00D6167B">
        <w:rPr>
          <w:rFonts w:ascii="Arial Narrow" w:hAnsi="Arial Narrow" w:cs="Times New Roman"/>
          <w:sz w:val="20"/>
          <w:szCs w:val="20"/>
          <w:lang w:eastAsia="bg-BG" w:bidi="ar-SA"/>
        </w:rPr>
        <w:t>(</w:t>
      </w:r>
      <w:r w:rsidR="00F470C2">
        <w:rPr>
          <w:rFonts w:ascii="Arial Narrow" w:hAnsi="Arial Narrow" w:cs="Times New Roman"/>
          <w:sz w:val="20"/>
          <w:szCs w:val="20"/>
          <w:lang w:eastAsia="bg-BG" w:bidi="ar-SA"/>
        </w:rPr>
        <w:t xml:space="preserve">Monthly </w:t>
      </w:r>
      <w:proofErr w:type="spellStart"/>
      <w:r w:rsidR="00F470C2">
        <w:rPr>
          <w:rFonts w:ascii="Arial Narrow" w:hAnsi="Arial Narrow" w:cs="Times New Roman"/>
          <w:sz w:val="20"/>
          <w:szCs w:val="20"/>
          <w:lang w:eastAsia="bg-BG" w:bidi="ar-SA"/>
        </w:rPr>
        <w:t>Hydrometereological</w:t>
      </w:r>
      <w:proofErr w:type="spellEnd"/>
      <w:r w:rsidR="00F470C2">
        <w:rPr>
          <w:rFonts w:ascii="Arial Narrow" w:hAnsi="Arial Narrow" w:cs="Times New Roman"/>
          <w:sz w:val="20"/>
          <w:szCs w:val="20"/>
          <w:lang w:eastAsia="bg-BG" w:bidi="ar-SA"/>
        </w:rPr>
        <w:t xml:space="preserve"> Bulletin, 2014</w:t>
      </w:r>
      <w:r w:rsidR="00D6167B">
        <w:rPr>
          <w:rFonts w:ascii="Arial Narrow" w:hAnsi="Arial Narrow" w:cs="Times New Roman"/>
          <w:sz w:val="20"/>
          <w:szCs w:val="20"/>
          <w:lang w:eastAsia="bg-BG" w:bidi="ar-SA"/>
        </w:rPr>
        <w:t>).</w:t>
      </w:r>
    </w:p>
    <w:p w:rsidR="00B75D4D" w:rsidRDefault="00B75D4D" w:rsidP="003B1283">
      <w:pPr>
        <w:jc w:val="both"/>
        <w:rPr>
          <w:rFonts w:ascii="Arial Narrow" w:hAnsi="Arial Narrow" w:cs="Times New Roman"/>
          <w:sz w:val="20"/>
          <w:szCs w:val="20"/>
          <w:lang w:eastAsia="bg-BG" w:bidi="ar-SA"/>
        </w:rPr>
      </w:pPr>
    </w:p>
    <w:p w:rsidR="00EB20AB" w:rsidRPr="00B75D4D" w:rsidRDefault="00EB20AB" w:rsidP="003B1283">
      <w:pPr>
        <w:jc w:val="both"/>
        <w:rPr>
          <w:rFonts w:ascii="Arial Narrow" w:hAnsi="Arial Narrow" w:cs="Times New Roman"/>
          <w:sz w:val="20"/>
          <w:szCs w:val="20"/>
          <w:lang w:eastAsia="bg-BG" w:bidi="ar-SA"/>
        </w:rPr>
      </w:pPr>
    </w:p>
    <w:p w:rsidR="008B38C8" w:rsidRDefault="003B70F9" w:rsidP="003B70F9">
      <w:pPr>
        <w:jc w:val="both"/>
        <w:rPr>
          <w:rFonts w:ascii="Arial Narrow" w:hAnsi="Arial Narrow" w:cs="Times New Roman"/>
          <w:lang w:eastAsia="bg-BG" w:bidi="ar-SA"/>
        </w:rPr>
      </w:pPr>
      <w:proofErr w:type="spellStart"/>
      <w:r>
        <w:rPr>
          <w:rFonts w:ascii="Arial Narrow" w:hAnsi="Arial Narrow" w:cs="Arial Narrow"/>
          <w:b/>
          <w:bCs/>
          <w:lang w:val="bg-BG" w:eastAsia="bg-BG" w:bidi="ar-SA"/>
        </w:rPr>
        <w:t>Conclusions</w:t>
      </w:r>
      <w:proofErr w:type="spellEnd"/>
    </w:p>
    <w:p w:rsidR="00C20B81" w:rsidRPr="00B75D4D" w:rsidRDefault="00C20B81" w:rsidP="003B1283">
      <w:pPr>
        <w:jc w:val="both"/>
        <w:rPr>
          <w:rFonts w:ascii="Arial Narrow" w:hAnsi="Arial Narrow" w:cs="Times New Roman"/>
          <w:sz w:val="20"/>
          <w:szCs w:val="20"/>
          <w:lang w:eastAsia="bg-BG" w:bidi="ar-SA"/>
        </w:rPr>
      </w:pPr>
    </w:p>
    <w:p w:rsidR="00263DD9" w:rsidRDefault="0079333B" w:rsidP="003B70F9">
      <w:pPr>
        <w:numPr>
          <w:ilvl w:val="0"/>
          <w:numId w:val="1"/>
        </w:numPr>
        <w:tabs>
          <w:tab w:val="left" w:pos="180"/>
        </w:tabs>
        <w:spacing w:before="60"/>
        <w:ind w:left="0" w:firstLine="170"/>
        <w:jc w:val="both"/>
        <w:rPr>
          <w:rFonts w:ascii="Arial Narrow" w:hAnsi="Arial Narrow" w:cs="Arial Narrow"/>
          <w:sz w:val="20"/>
          <w:szCs w:val="20"/>
          <w:lang w:eastAsia="bg-BG" w:bidi="ar-SA"/>
        </w:rPr>
      </w:pPr>
      <w:r w:rsidRPr="00263DD9">
        <w:rPr>
          <w:rFonts w:ascii="Arial Narrow" w:hAnsi="Arial Narrow" w:cs="Arial Narrow"/>
          <w:sz w:val="20"/>
          <w:szCs w:val="20"/>
          <w:lang w:eastAsia="bg-BG" w:bidi="ar-SA"/>
        </w:rPr>
        <w:t xml:space="preserve">The south wind with speed </w:t>
      </w:r>
      <w:r w:rsidR="00695A70" w:rsidRPr="00263DD9">
        <w:rPr>
          <w:rFonts w:ascii="Arial Narrow" w:hAnsi="Arial Narrow" w:cs="Arial Narrow"/>
          <w:sz w:val="20"/>
          <w:szCs w:val="20"/>
          <w:lang w:eastAsia="bg-BG" w:bidi="ar-SA"/>
        </w:rPr>
        <w:t>0-2 and 2-5 m/s was the most typical wind for the area around TPP “</w:t>
      </w:r>
      <w:proofErr w:type="spellStart"/>
      <w:r w:rsidR="00695A70" w:rsidRPr="00263DD9">
        <w:rPr>
          <w:rFonts w:ascii="Arial Narrow" w:hAnsi="Arial Narrow" w:cs="Arial Narrow"/>
          <w:sz w:val="20"/>
          <w:szCs w:val="20"/>
          <w:lang w:eastAsia="bg-BG" w:bidi="ar-SA"/>
        </w:rPr>
        <w:t>Bobov</w:t>
      </w:r>
      <w:proofErr w:type="spellEnd"/>
      <w:r w:rsidR="00695A70" w:rsidRPr="00263DD9">
        <w:rPr>
          <w:rFonts w:ascii="Arial Narrow" w:hAnsi="Arial Narrow" w:cs="Arial Narrow"/>
          <w:sz w:val="20"/>
          <w:szCs w:val="20"/>
          <w:lang w:eastAsia="bg-BG" w:bidi="ar-SA"/>
        </w:rPr>
        <w:t xml:space="preserve"> </w:t>
      </w:r>
      <w:proofErr w:type="spellStart"/>
      <w:r w:rsidR="00695A70" w:rsidRPr="00263DD9">
        <w:rPr>
          <w:rFonts w:ascii="Arial Narrow" w:hAnsi="Arial Narrow" w:cs="Arial Narrow"/>
          <w:sz w:val="20"/>
          <w:szCs w:val="20"/>
          <w:lang w:eastAsia="bg-BG" w:bidi="ar-SA"/>
        </w:rPr>
        <w:t>dol</w:t>
      </w:r>
      <w:proofErr w:type="spellEnd"/>
      <w:r w:rsidR="00695A70" w:rsidRPr="00263DD9">
        <w:rPr>
          <w:rFonts w:ascii="Arial Narrow" w:hAnsi="Arial Narrow" w:cs="Arial Narrow"/>
          <w:sz w:val="20"/>
          <w:szCs w:val="20"/>
          <w:lang w:eastAsia="bg-BG" w:bidi="ar-SA"/>
        </w:rPr>
        <w:t>” during the day and night for the period November 2014 – January 2015.</w:t>
      </w:r>
    </w:p>
    <w:p w:rsidR="00263DD9" w:rsidRPr="00263DD9" w:rsidRDefault="00915C68" w:rsidP="003B70F9">
      <w:pPr>
        <w:numPr>
          <w:ilvl w:val="0"/>
          <w:numId w:val="1"/>
        </w:numPr>
        <w:tabs>
          <w:tab w:val="left" w:pos="180"/>
        </w:tabs>
        <w:spacing w:before="60"/>
        <w:ind w:left="0" w:firstLine="170"/>
        <w:jc w:val="both"/>
        <w:rPr>
          <w:rFonts w:ascii="Arial Narrow" w:hAnsi="Arial Narrow" w:cs="Arial Narrow"/>
          <w:sz w:val="20"/>
          <w:szCs w:val="20"/>
          <w:lang w:eastAsia="bg-BG" w:bidi="ar-SA"/>
        </w:rPr>
      </w:pPr>
      <w:r w:rsidRPr="00263DD9">
        <w:rPr>
          <w:rFonts w:ascii="Arial Narrow" w:hAnsi="Arial Narrow" w:cs="Arial Narrow"/>
          <w:sz w:val="20"/>
          <w:szCs w:val="20"/>
          <w:lang w:eastAsia="bg-BG" w:bidi="ar-SA"/>
        </w:rPr>
        <w:t>All</w:t>
      </w:r>
      <w:r>
        <w:rPr>
          <w:rFonts w:ascii="Arial Narrow" w:hAnsi="Arial Narrow" w:cs="Arial Narrow"/>
          <w:sz w:val="20"/>
          <w:szCs w:val="20"/>
          <w:lang w:eastAsia="bg-BG" w:bidi="ar-SA"/>
        </w:rPr>
        <w:t xml:space="preserve"> </w:t>
      </w:r>
      <w:r w:rsidRPr="00263DD9">
        <w:rPr>
          <w:rFonts w:ascii="Arial Narrow" w:hAnsi="Arial Narrow" w:cs="Arial Narrow"/>
          <w:sz w:val="20"/>
          <w:szCs w:val="20"/>
          <w:lang w:eastAsia="bg-BG" w:bidi="ar-SA"/>
        </w:rPr>
        <w:t xml:space="preserve">kind of </w:t>
      </w:r>
      <w:proofErr w:type="spellStart"/>
      <w:r w:rsidRPr="00263DD9">
        <w:rPr>
          <w:rFonts w:ascii="Arial Narrow" w:hAnsi="Arial Narrow" w:cs="Arial Narrow"/>
          <w:sz w:val="20"/>
          <w:szCs w:val="20"/>
          <w:lang w:eastAsia="bg-BG" w:bidi="ar-SA"/>
        </w:rPr>
        <w:t>Pasquill`s</w:t>
      </w:r>
      <w:proofErr w:type="spellEnd"/>
      <w:r>
        <w:rPr>
          <w:rFonts w:ascii="Arial Narrow" w:hAnsi="Arial Narrow" w:cs="Arial Narrow"/>
          <w:sz w:val="20"/>
          <w:szCs w:val="20"/>
          <w:lang w:eastAsia="bg-BG" w:bidi="ar-SA"/>
        </w:rPr>
        <w:t xml:space="preserve"> atmospheric </w:t>
      </w:r>
      <w:r w:rsidRPr="00263DD9">
        <w:rPr>
          <w:rFonts w:ascii="Arial Narrow" w:hAnsi="Arial Narrow" w:cs="Arial Narrow"/>
          <w:sz w:val="20"/>
          <w:szCs w:val="20"/>
          <w:lang w:eastAsia="bg-BG" w:bidi="ar-SA"/>
        </w:rPr>
        <w:t xml:space="preserve">stability classes </w:t>
      </w:r>
      <w:r w:rsidR="00695A70" w:rsidRPr="00263DD9">
        <w:rPr>
          <w:rFonts w:ascii="Arial Narrow" w:hAnsi="Arial Narrow" w:cs="Arial Narrow"/>
          <w:sz w:val="20"/>
          <w:szCs w:val="20"/>
          <w:lang w:eastAsia="bg-BG" w:bidi="ar-SA"/>
        </w:rPr>
        <w:t>was determined for th</w:t>
      </w:r>
      <w:r>
        <w:rPr>
          <w:rFonts w:ascii="Arial Narrow" w:hAnsi="Arial Narrow" w:cs="Arial Narrow"/>
          <w:sz w:val="20"/>
          <w:szCs w:val="20"/>
          <w:lang w:eastAsia="bg-BG" w:bidi="ar-SA"/>
        </w:rPr>
        <w:t xml:space="preserve">e period of monitoring </w:t>
      </w:r>
      <w:r w:rsidR="00695A70" w:rsidRPr="00263DD9">
        <w:rPr>
          <w:rFonts w:ascii="Arial Narrow" w:hAnsi="Arial Narrow" w:cs="Arial Narrow"/>
          <w:sz w:val="20"/>
          <w:szCs w:val="20"/>
          <w:lang w:eastAsia="bg-BG" w:bidi="ar-SA"/>
        </w:rPr>
        <w:t xml:space="preserve">as </w:t>
      </w:r>
      <w:r w:rsidR="00462D2C" w:rsidRPr="00263DD9">
        <w:rPr>
          <w:rFonts w:ascii="Arial Narrow" w:hAnsi="Arial Narrow" w:cs="Arial Narrow"/>
          <w:sz w:val="20"/>
          <w:szCs w:val="20"/>
          <w:lang w:eastAsia="bg-BG" w:bidi="ar-SA"/>
        </w:rPr>
        <w:t xml:space="preserve">the most typical </w:t>
      </w:r>
      <w:r w:rsidR="00695A70" w:rsidRPr="00263DD9">
        <w:rPr>
          <w:rFonts w:ascii="Arial Narrow" w:hAnsi="Arial Narrow" w:cs="Arial Narrow"/>
          <w:sz w:val="20"/>
          <w:szCs w:val="20"/>
          <w:lang w:eastAsia="bg-BG" w:bidi="ar-SA"/>
        </w:rPr>
        <w:t xml:space="preserve">classes </w:t>
      </w:r>
      <w:r w:rsidR="00462D2C" w:rsidRPr="00263DD9">
        <w:rPr>
          <w:rFonts w:ascii="Arial Narrow" w:hAnsi="Arial Narrow" w:cs="Arial Narrow"/>
          <w:sz w:val="20"/>
          <w:szCs w:val="20"/>
          <w:lang w:eastAsia="bg-BG" w:bidi="ar-SA"/>
        </w:rPr>
        <w:t xml:space="preserve">during the day were </w:t>
      </w:r>
      <w:r w:rsidR="00695A70" w:rsidRPr="00263DD9">
        <w:rPr>
          <w:rFonts w:ascii="Arial Narrow" w:hAnsi="Arial Narrow" w:cs="Arial Narrow"/>
          <w:sz w:val="20"/>
          <w:szCs w:val="20"/>
          <w:lang w:eastAsia="bg-BG" w:bidi="ar-SA"/>
        </w:rPr>
        <w:t xml:space="preserve">A and B, and classes E and F – during the night. </w:t>
      </w:r>
    </w:p>
    <w:p w:rsidR="00916714" w:rsidRPr="00D82C66" w:rsidRDefault="000B4A77" w:rsidP="003B70F9">
      <w:pPr>
        <w:numPr>
          <w:ilvl w:val="0"/>
          <w:numId w:val="1"/>
        </w:numPr>
        <w:tabs>
          <w:tab w:val="left" w:pos="0"/>
        </w:tabs>
        <w:spacing w:before="60"/>
        <w:ind w:left="0" w:firstLine="170"/>
        <w:jc w:val="both"/>
        <w:rPr>
          <w:rFonts w:ascii="Arial Narrow" w:hAnsi="Arial Narrow" w:cs="Arial Narrow"/>
          <w:sz w:val="20"/>
          <w:szCs w:val="20"/>
          <w:lang w:eastAsia="bg-BG" w:bidi="ar-SA"/>
        </w:rPr>
      </w:pPr>
      <w:r w:rsidRPr="00263DD9">
        <w:rPr>
          <w:rFonts w:ascii="Arial Narrow" w:hAnsi="Arial Narrow" w:cs="Arial Narrow"/>
          <w:sz w:val="20"/>
          <w:szCs w:val="20"/>
          <w:lang w:eastAsia="bg-BG" w:bidi="ar-SA"/>
        </w:rPr>
        <w:t xml:space="preserve">The combination of lower incoming solar radiation and wind speed lower than 2 m/s, which </w:t>
      </w:r>
      <w:r w:rsidR="00EE45BD">
        <w:rPr>
          <w:rFonts w:ascii="Arial Narrow" w:hAnsi="Arial Narrow" w:cs="Arial Narrow"/>
          <w:sz w:val="20"/>
          <w:szCs w:val="20"/>
          <w:lang w:eastAsia="bg-BG" w:bidi="ar-SA"/>
        </w:rPr>
        <w:t>was</w:t>
      </w:r>
      <w:r w:rsidRPr="00263DD9">
        <w:rPr>
          <w:rFonts w:ascii="Arial Narrow" w:hAnsi="Arial Narrow" w:cs="Arial Narrow"/>
          <w:sz w:val="20"/>
          <w:szCs w:val="20"/>
          <w:lang w:eastAsia="bg-BG" w:bidi="ar-SA"/>
        </w:rPr>
        <w:t xml:space="preserve"> typical for </w:t>
      </w:r>
      <w:r w:rsidR="00916714" w:rsidRPr="00263DD9">
        <w:rPr>
          <w:rFonts w:ascii="Arial Narrow" w:hAnsi="Arial Narrow" w:cs="Arial Narrow"/>
          <w:sz w:val="20"/>
          <w:szCs w:val="20"/>
          <w:lang w:eastAsia="bg-BG" w:bidi="ar-SA"/>
        </w:rPr>
        <w:t>class B, determined the highest concentration of SO</w:t>
      </w:r>
      <w:r w:rsidR="00916714" w:rsidRPr="00263DD9">
        <w:rPr>
          <w:rFonts w:ascii="Arial Narrow" w:hAnsi="Arial Narrow" w:cs="Arial Narrow"/>
          <w:sz w:val="20"/>
          <w:szCs w:val="20"/>
          <w:vertAlign w:val="subscript"/>
          <w:lang w:eastAsia="bg-BG" w:bidi="ar-SA"/>
        </w:rPr>
        <w:t>2</w:t>
      </w:r>
      <w:r w:rsidR="00916714" w:rsidRPr="00263DD9">
        <w:rPr>
          <w:rFonts w:ascii="Arial Narrow" w:hAnsi="Arial Narrow" w:cs="Arial Narrow"/>
          <w:sz w:val="20"/>
          <w:szCs w:val="20"/>
          <w:lang w:eastAsia="bg-BG" w:bidi="ar-SA"/>
        </w:rPr>
        <w:t xml:space="preserve"> in the below ground atmosphere at a distance of 2.5 km from TPP “</w:t>
      </w:r>
      <w:proofErr w:type="spellStart"/>
      <w:r w:rsidR="00916714" w:rsidRPr="00263DD9">
        <w:rPr>
          <w:rFonts w:ascii="Arial Narrow" w:hAnsi="Arial Narrow" w:cs="Arial Narrow"/>
          <w:sz w:val="20"/>
          <w:szCs w:val="20"/>
          <w:lang w:eastAsia="bg-BG" w:bidi="ar-SA"/>
        </w:rPr>
        <w:t>Bolov</w:t>
      </w:r>
      <w:proofErr w:type="spellEnd"/>
      <w:r w:rsidR="00916714" w:rsidRPr="00263DD9">
        <w:rPr>
          <w:rFonts w:ascii="Arial Narrow" w:hAnsi="Arial Narrow" w:cs="Arial Narrow"/>
          <w:sz w:val="20"/>
          <w:szCs w:val="20"/>
          <w:lang w:eastAsia="bg-BG" w:bidi="ar-SA"/>
        </w:rPr>
        <w:t xml:space="preserve"> </w:t>
      </w:r>
      <w:proofErr w:type="spellStart"/>
      <w:r w:rsidR="00916714" w:rsidRPr="00263DD9">
        <w:rPr>
          <w:rFonts w:ascii="Arial Narrow" w:hAnsi="Arial Narrow" w:cs="Arial Narrow"/>
          <w:sz w:val="20"/>
          <w:szCs w:val="20"/>
          <w:lang w:eastAsia="bg-BG" w:bidi="ar-SA"/>
        </w:rPr>
        <w:t>dol</w:t>
      </w:r>
      <w:proofErr w:type="spellEnd"/>
      <w:r w:rsidR="00916714" w:rsidRPr="00263DD9">
        <w:rPr>
          <w:rFonts w:ascii="Arial Narrow" w:hAnsi="Arial Narrow" w:cs="Arial Narrow"/>
          <w:sz w:val="20"/>
          <w:szCs w:val="20"/>
          <w:lang w:eastAsia="bg-BG" w:bidi="ar-SA"/>
        </w:rPr>
        <w:t>”</w:t>
      </w:r>
      <w:r w:rsidR="00915C68">
        <w:rPr>
          <w:rFonts w:ascii="Arial Narrow" w:hAnsi="Arial Narrow" w:cs="Arial Narrow"/>
          <w:sz w:val="20"/>
          <w:szCs w:val="20"/>
          <w:lang w:eastAsia="bg-BG" w:bidi="ar-SA"/>
        </w:rPr>
        <w:t xml:space="preserve"> when its desulfurization technique is not working</w:t>
      </w:r>
      <w:r w:rsidR="00916714" w:rsidRPr="00263DD9">
        <w:rPr>
          <w:rFonts w:ascii="Arial Narrow" w:hAnsi="Arial Narrow" w:cs="Arial Narrow"/>
          <w:sz w:val="20"/>
          <w:szCs w:val="20"/>
          <w:lang w:eastAsia="bg-BG" w:bidi="ar-SA"/>
        </w:rPr>
        <w:t xml:space="preserve">. Only if the wind speed </w:t>
      </w:r>
      <w:r w:rsidR="00462D2C">
        <w:rPr>
          <w:rFonts w:ascii="Arial Narrow" w:hAnsi="Arial Narrow" w:cs="Arial Narrow"/>
          <w:sz w:val="20"/>
          <w:szCs w:val="20"/>
          <w:lang w:eastAsia="bg-BG" w:bidi="ar-SA"/>
        </w:rPr>
        <w:t>would be</w:t>
      </w:r>
      <w:r w:rsidR="00915C68">
        <w:rPr>
          <w:rFonts w:ascii="Arial Narrow" w:hAnsi="Arial Narrow" w:cs="Arial Narrow"/>
          <w:sz w:val="20"/>
          <w:szCs w:val="20"/>
          <w:lang w:eastAsia="bg-BG" w:bidi="ar-SA"/>
        </w:rPr>
        <w:t xml:space="preserve"> </w:t>
      </w:r>
      <w:r w:rsidR="00916714" w:rsidRPr="00263DD9">
        <w:rPr>
          <w:rFonts w:ascii="Arial Narrow" w:hAnsi="Arial Narrow" w:cs="Arial Narrow"/>
          <w:sz w:val="20"/>
          <w:szCs w:val="20"/>
          <w:lang w:eastAsia="bg-BG" w:bidi="ar-SA"/>
        </w:rPr>
        <w:t xml:space="preserve">lower than 1.0-1.2 m/s </w:t>
      </w:r>
      <w:r w:rsidR="00462D2C">
        <w:rPr>
          <w:rFonts w:ascii="Arial Narrow" w:hAnsi="Arial Narrow" w:cs="Arial Narrow"/>
          <w:sz w:val="20"/>
          <w:szCs w:val="20"/>
          <w:lang w:eastAsia="bg-BG" w:bidi="ar-SA"/>
        </w:rPr>
        <w:t xml:space="preserve">at the moment of </w:t>
      </w:r>
      <w:r w:rsidR="00916714" w:rsidRPr="00263DD9">
        <w:rPr>
          <w:rFonts w:ascii="Arial Narrow" w:hAnsi="Arial Narrow" w:cs="Arial Narrow"/>
          <w:sz w:val="20"/>
          <w:szCs w:val="20"/>
          <w:lang w:eastAsia="bg-BG" w:bidi="ar-SA"/>
        </w:rPr>
        <w:t>pollutant</w:t>
      </w:r>
      <w:r w:rsidR="00462D2C">
        <w:rPr>
          <w:rFonts w:ascii="Arial Narrow" w:hAnsi="Arial Narrow" w:cs="Arial Narrow"/>
          <w:sz w:val="20"/>
          <w:szCs w:val="20"/>
          <w:lang w:eastAsia="bg-BG" w:bidi="ar-SA"/>
        </w:rPr>
        <w:t>`s emitting, its</w:t>
      </w:r>
      <w:r w:rsidR="00916714" w:rsidRPr="00263DD9">
        <w:rPr>
          <w:rFonts w:ascii="Arial Narrow" w:hAnsi="Arial Narrow" w:cs="Arial Narrow"/>
          <w:sz w:val="20"/>
          <w:szCs w:val="20"/>
          <w:lang w:eastAsia="bg-BG" w:bidi="ar-SA"/>
        </w:rPr>
        <w:t xml:space="preserve"> concentration at that distance would be higher than M</w:t>
      </w:r>
      <w:r w:rsidR="00915C68">
        <w:rPr>
          <w:rFonts w:ascii="Arial Narrow" w:hAnsi="Arial Narrow" w:cs="Arial Narrow"/>
          <w:sz w:val="20"/>
          <w:szCs w:val="20"/>
          <w:lang w:eastAsia="bg-BG" w:bidi="ar-SA"/>
        </w:rPr>
        <w:t xml:space="preserve">aximum </w:t>
      </w:r>
      <w:r w:rsidR="00916714" w:rsidRPr="00263DD9">
        <w:rPr>
          <w:rFonts w:ascii="Arial Narrow" w:hAnsi="Arial Narrow" w:cs="Arial Narrow"/>
          <w:sz w:val="20"/>
          <w:szCs w:val="20"/>
          <w:lang w:eastAsia="bg-BG" w:bidi="ar-SA"/>
        </w:rPr>
        <w:t>A</w:t>
      </w:r>
      <w:r w:rsidR="00915C68">
        <w:rPr>
          <w:rFonts w:ascii="Arial Narrow" w:hAnsi="Arial Narrow" w:cs="Arial Narrow"/>
          <w:sz w:val="20"/>
          <w:szCs w:val="20"/>
          <w:lang w:eastAsia="bg-BG" w:bidi="ar-SA"/>
        </w:rPr>
        <w:t xml:space="preserve">dmissible </w:t>
      </w:r>
      <w:r w:rsidR="00916714" w:rsidRPr="00263DD9">
        <w:rPr>
          <w:rFonts w:ascii="Arial Narrow" w:hAnsi="Arial Narrow" w:cs="Arial Narrow"/>
          <w:sz w:val="20"/>
          <w:szCs w:val="20"/>
          <w:lang w:eastAsia="bg-BG" w:bidi="ar-SA"/>
        </w:rPr>
        <w:t>C</w:t>
      </w:r>
      <w:r w:rsidR="00915C68">
        <w:rPr>
          <w:rFonts w:ascii="Arial Narrow" w:hAnsi="Arial Narrow" w:cs="Arial Narrow"/>
          <w:sz w:val="20"/>
          <w:szCs w:val="20"/>
          <w:lang w:eastAsia="bg-BG" w:bidi="ar-SA"/>
        </w:rPr>
        <w:t>oncentration (MAC)</w:t>
      </w:r>
      <w:r w:rsidR="00916714" w:rsidRPr="00263DD9">
        <w:rPr>
          <w:rFonts w:ascii="Arial Narrow" w:hAnsi="Arial Narrow" w:cs="Arial Narrow"/>
          <w:sz w:val="20"/>
          <w:szCs w:val="20"/>
          <w:lang w:eastAsia="bg-BG" w:bidi="ar-SA"/>
        </w:rPr>
        <w:t xml:space="preserve"> </w:t>
      </w:r>
      <w:r w:rsidR="006470EE">
        <w:rPr>
          <w:rFonts w:ascii="Arial Narrow" w:hAnsi="Arial Narrow" w:cs="Arial Narrow"/>
          <w:sz w:val="20"/>
          <w:szCs w:val="20"/>
          <w:lang w:eastAsia="bg-BG" w:bidi="ar-SA"/>
        </w:rPr>
        <w:t xml:space="preserve">of </w:t>
      </w:r>
      <w:r w:rsidR="00916714" w:rsidRPr="00263DD9">
        <w:rPr>
          <w:rFonts w:ascii="Arial Narrow" w:hAnsi="Arial Narrow" w:cs="Arial Narrow"/>
          <w:sz w:val="20"/>
          <w:szCs w:val="20"/>
          <w:lang w:eastAsia="bg-BG" w:bidi="ar-SA"/>
        </w:rPr>
        <w:t>SO</w:t>
      </w:r>
      <w:r w:rsidR="00916714" w:rsidRPr="00263DD9">
        <w:rPr>
          <w:rFonts w:ascii="Arial Narrow" w:hAnsi="Arial Narrow" w:cs="Arial Narrow"/>
          <w:sz w:val="20"/>
          <w:szCs w:val="20"/>
          <w:vertAlign w:val="subscript"/>
          <w:lang w:eastAsia="bg-BG" w:bidi="ar-SA"/>
        </w:rPr>
        <w:t>2</w:t>
      </w:r>
      <w:r w:rsidR="006470EE">
        <w:rPr>
          <w:rFonts w:ascii="Arial Narrow" w:hAnsi="Arial Narrow" w:cs="Arial Narrow"/>
          <w:sz w:val="20"/>
          <w:szCs w:val="20"/>
          <w:lang w:eastAsia="bg-BG" w:bidi="ar-SA"/>
        </w:rPr>
        <w:t xml:space="preserve"> on hour bas</w:t>
      </w:r>
      <w:r w:rsidR="00B75D4D">
        <w:rPr>
          <w:rFonts w:ascii="Arial Narrow" w:hAnsi="Arial Narrow" w:cs="Arial Narrow"/>
          <w:sz w:val="20"/>
          <w:szCs w:val="20"/>
          <w:lang w:eastAsia="bg-BG" w:bidi="ar-SA"/>
        </w:rPr>
        <w:t>is</w:t>
      </w:r>
      <w:r w:rsidR="006470EE">
        <w:rPr>
          <w:rFonts w:ascii="Arial Narrow" w:hAnsi="Arial Narrow" w:cs="Arial Narrow"/>
          <w:sz w:val="20"/>
          <w:szCs w:val="20"/>
          <w:lang w:eastAsia="bg-BG" w:bidi="ar-SA"/>
        </w:rPr>
        <w:t xml:space="preserve">. </w:t>
      </w:r>
      <w:r w:rsidR="00916714" w:rsidRPr="00263DD9">
        <w:rPr>
          <w:rFonts w:ascii="Arial Narrow" w:hAnsi="Arial Narrow" w:cs="Arial Narrow"/>
          <w:sz w:val="20"/>
          <w:szCs w:val="20"/>
          <w:lang w:eastAsia="bg-BG" w:bidi="ar-SA"/>
        </w:rPr>
        <w:t xml:space="preserve">However, </w:t>
      </w:r>
      <w:proofErr w:type="spellStart"/>
      <w:r w:rsidR="00916714" w:rsidRPr="00263DD9">
        <w:rPr>
          <w:rFonts w:ascii="Arial Narrow" w:hAnsi="Arial Narrow" w:cs="Arial Narrow"/>
          <w:sz w:val="20"/>
          <w:szCs w:val="20"/>
          <w:lang w:eastAsia="bg-BG" w:bidi="ar-SA"/>
        </w:rPr>
        <w:t>Radomir</w:t>
      </w:r>
      <w:proofErr w:type="spellEnd"/>
      <w:r w:rsidR="00916714" w:rsidRPr="00263DD9">
        <w:rPr>
          <w:rFonts w:ascii="Arial Narrow" w:hAnsi="Arial Narrow" w:cs="Arial Narrow"/>
          <w:sz w:val="20"/>
          <w:szCs w:val="20"/>
          <w:lang w:eastAsia="bg-BG" w:bidi="ar-SA"/>
        </w:rPr>
        <w:t xml:space="preserve">, </w:t>
      </w:r>
      <w:proofErr w:type="spellStart"/>
      <w:r w:rsidR="00916714" w:rsidRPr="00263DD9">
        <w:rPr>
          <w:rFonts w:ascii="Arial Narrow" w:hAnsi="Arial Narrow" w:cs="Arial Narrow"/>
          <w:sz w:val="20"/>
          <w:szCs w:val="20"/>
          <w:lang w:eastAsia="bg-BG" w:bidi="ar-SA"/>
        </w:rPr>
        <w:t>Dupnitsa</w:t>
      </w:r>
      <w:proofErr w:type="spellEnd"/>
      <w:r w:rsidR="00916714" w:rsidRPr="00263DD9">
        <w:rPr>
          <w:rFonts w:ascii="Arial Narrow" w:hAnsi="Arial Narrow" w:cs="Arial Narrow"/>
          <w:sz w:val="20"/>
          <w:szCs w:val="20"/>
          <w:lang w:eastAsia="bg-BG" w:bidi="ar-SA"/>
        </w:rPr>
        <w:t xml:space="preserve">, and </w:t>
      </w:r>
      <w:proofErr w:type="spellStart"/>
      <w:r w:rsidR="00916714" w:rsidRPr="00263DD9">
        <w:rPr>
          <w:rFonts w:ascii="Arial Narrow" w:hAnsi="Arial Narrow" w:cs="Arial Narrow"/>
          <w:sz w:val="20"/>
          <w:szCs w:val="20"/>
          <w:lang w:eastAsia="bg-BG" w:bidi="ar-SA"/>
        </w:rPr>
        <w:t>Kyustendil</w:t>
      </w:r>
      <w:proofErr w:type="spellEnd"/>
      <w:r w:rsidR="00916714" w:rsidRPr="00263DD9">
        <w:rPr>
          <w:rFonts w:ascii="Arial Narrow" w:hAnsi="Arial Narrow" w:cs="Arial Narrow"/>
          <w:sz w:val="20"/>
          <w:szCs w:val="20"/>
          <w:lang w:eastAsia="bg-BG" w:bidi="ar-SA"/>
        </w:rPr>
        <w:t xml:space="preserve"> are situated at a longer distance from TPP “</w:t>
      </w:r>
      <w:proofErr w:type="spellStart"/>
      <w:r w:rsidR="00916714" w:rsidRPr="00263DD9">
        <w:rPr>
          <w:rFonts w:ascii="Arial Narrow" w:hAnsi="Arial Narrow" w:cs="Arial Narrow"/>
          <w:sz w:val="20"/>
          <w:szCs w:val="20"/>
          <w:lang w:eastAsia="bg-BG" w:bidi="ar-SA"/>
        </w:rPr>
        <w:t>Bobov</w:t>
      </w:r>
      <w:proofErr w:type="spellEnd"/>
      <w:r w:rsidR="00916714" w:rsidRPr="00263DD9">
        <w:rPr>
          <w:rFonts w:ascii="Arial Narrow" w:hAnsi="Arial Narrow" w:cs="Arial Narrow"/>
          <w:sz w:val="20"/>
          <w:szCs w:val="20"/>
          <w:lang w:eastAsia="bg-BG" w:bidi="ar-SA"/>
        </w:rPr>
        <w:t xml:space="preserve"> </w:t>
      </w:r>
      <w:proofErr w:type="spellStart"/>
      <w:r w:rsidR="00916714" w:rsidRPr="00263DD9">
        <w:rPr>
          <w:rFonts w:ascii="Arial Narrow" w:hAnsi="Arial Narrow" w:cs="Arial Narrow"/>
          <w:sz w:val="20"/>
          <w:szCs w:val="20"/>
          <w:lang w:eastAsia="bg-BG" w:bidi="ar-SA"/>
        </w:rPr>
        <w:lastRenderedPageBreak/>
        <w:t>dol</w:t>
      </w:r>
      <w:proofErr w:type="spellEnd"/>
      <w:r w:rsidR="00916714" w:rsidRPr="00263DD9">
        <w:rPr>
          <w:rFonts w:ascii="Arial Narrow" w:hAnsi="Arial Narrow" w:cs="Arial Narrow"/>
          <w:sz w:val="20"/>
          <w:szCs w:val="20"/>
          <w:lang w:eastAsia="bg-BG" w:bidi="ar-SA"/>
        </w:rPr>
        <w:t>” and direct negative effects on the health of their inhabitants would be not expected if the SO</w:t>
      </w:r>
      <w:r w:rsidR="00916714" w:rsidRPr="00EE45BD">
        <w:rPr>
          <w:rFonts w:ascii="Arial Narrow" w:hAnsi="Arial Narrow" w:cs="Arial Narrow"/>
          <w:sz w:val="20"/>
          <w:szCs w:val="20"/>
          <w:vertAlign w:val="subscript"/>
          <w:lang w:eastAsia="bg-BG" w:bidi="ar-SA"/>
        </w:rPr>
        <w:t>2</w:t>
      </w:r>
      <w:r w:rsidR="00916714" w:rsidRPr="00263DD9">
        <w:rPr>
          <w:rFonts w:ascii="Arial Narrow" w:hAnsi="Arial Narrow" w:cs="Arial Narrow"/>
          <w:sz w:val="20"/>
          <w:szCs w:val="20"/>
          <w:lang w:eastAsia="bg-BG" w:bidi="ar-SA"/>
        </w:rPr>
        <w:t xml:space="preserve"> is released accidentally in atmosphere for a short period of time.</w:t>
      </w:r>
    </w:p>
    <w:p w:rsidR="00D82C66" w:rsidRPr="00263DD9" w:rsidRDefault="00D82C66" w:rsidP="003B1283">
      <w:pPr>
        <w:spacing w:before="60"/>
        <w:jc w:val="both"/>
        <w:rPr>
          <w:rFonts w:ascii="Arial Narrow" w:hAnsi="Arial Narrow" w:cs="Arial Narrow"/>
          <w:sz w:val="20"/>
          <w:szCs w:val="20"/>
          <w:lang w:eastAsia="bg-BG" w:bidi="ar-SA"/>
        </w:rPr>
      </w:pPr>
    </w:p>
    <w:p w:rsidR="00E10A9A" w:rsidRPr="00916714" w:rsidRDefault="003B70F9" w:rsidP="003B70F9">
      <w:pPr>
        <w:spacing w:before="60"/>
        <w:jc w:val="both"/>
        <w:rPr>
          <w:rFonts w:ascii="Arial Narrow" w:hAnsi="Arial Narrow" w:cs="Arial Narrow"/>
          <w:sz w:val="20"/>
          <w:szCs w:val="20"/>
          <w:lang w:eastAsia="bg-BG" w:bidi="ar-SA"/>
        </w:rPr>
      </w:pPr>
      <w:proofErr w:type="spellStart"/>
      <w:r w:rsidRPr="00916714">
        <w:rPr>
          <w:rFonts w:ascii="Arial Narrow" w:hAnsi="Arial Narrow" w:cs="Arial Narrow"/>
          <w:b/>
          <w:bCs/>
          <w:lang w:val="bg-BG" w:eastAsia="bg-BG" w:bidi="ar-SA"/>
        </w:rPr>
        <w:t>References</w:t>
      </w:r>
      <w:proofErr w:type="spellEnd"/>
    </w:p>
    <w:p w:rsidR="0091326C" w:rsidRDefault="00AC659D" w:rsidP="003B1283">
      <w:pPr>
        <w:widowControl/>
        <w:spacing w:before="120"/>
        <w:ind w:left="272" w:hanging="27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Arrhenius, S. 1896. </w:t>
      </w:r>
      <w:proofErr w:type="gramStart"/>
      <w:r w:rsidRPr="00AC659D">
        <w:rPr>
          <w:rFonts w:ascii="Arial Narrow" w:hAnsi="Arial Narrow" w:cs="Arial Narrow"/>
          <w:i/>
          <w:sz w:val="20"/>
          <w:szCs w:val="20"/>
          <w:lang w:eastAsia="bg-BG" w:bidi="ar-SA"/>
        </w:rPr>
        <w:t>On the influence of carbonic acid on in the air upon the temperature of the ground.</w:t>
      </w:r>
      <w:proofErr w:type="gramEnd"/>
      <w:r w:rsidRPr="00AC659D">
        <w:rPr>
          <w:rFonts w:ascii="Arial Narrow" w:hAnsi="Arial Narrow" w:cs="Arial Narrow"/>
          <w:i/>
          <w:sz w:val="20"/>
          <w:szCs w:val="20"/>
          <w:lang w:eastAsia="bg-BG" w:bidi="ar-SA"/>
        </w:rPr>
        <w:t xml:space="preserve"> </w:t>
      </w:r>
      <w:r>
        <w:rPr>
          <w:rFonts w:ascii="Arial Narrow" w:hAnsi="Arial Narrow" w:cs="Arial Narrow"/>
          <w:sz w:val="20"/>
          <w:szCs w:val="20"/>
          <w:lang w:eastAsia="bg-BG" w:bidi="ar-SA"/>
        </w:rPr>
        <w:t>Philosophical Magazine and Journal of Science</w:t>
      </w:r>
      <w:r w:rsidR="0091326C">
        <w:rPr>
          <w:rFonts w:ascii="Arial Narrow" w:hAnsi="Arial Narrow" w:cs="Arial Narrow"/>
          <w:sz w:val="20"/>
          <w:szCs w:val="20"/>
          <w:lang w:eastAsia="bg-BG" w:bidi="ar-SA"/>
        </w:rPr>
        <w:t xml:space="preserve"> 41, 237-276.</w:t>
      </w:r>
    </w:p>
    <w:p w:rsidR="00E10A9A" w:rsidRPr="002C5CDF" w:rsidRDefault="00602AF5" w:rsidP="003B1283">
      <w:pPr>
        <w:widowControl/>
        <w:ind w:left="272" w:hanging="272"/>
        <w:jc w:val="both"/>
        <w:rPr>
          <w:rFonts w:ascii="Arial Narrow" w:hAnsi="Arial Narrow" w:cs="Arial Narrow"/>
          <w:sz w:val="20"/>
          <w:szCs w:val="20"/>
          <w:lang w:val="bg-BG" w:eastAsia="bg-BG" w:bidi="ar-SA"/>
        </w:rPr>
      </w:pPr>
      <w:proofErr w:type="gramStart"/>
      <w:r>
        <w:rPr>
          <w:rFonts w:ascii="Arial Narrow" w:hAnsi="Arial Narrow" w:cs="Arial Narrow"/>
          <w:sz w:val="20"/>
          <w:szCs w:val="20"/>
          <w:lang w:eastAsia="bg-BG" w:bidi="ar-SA"/>
        </w:rPr>
        <w:t xml:space="preserve">Barrett, M., and R. </w:t>
      </w:r>
      <w:proofErr w:type="spellStart"/>
      <w:r>
        <w:rPr>
          <w:rFonts w:ascii="Arial Narrow" w:hAnsi="Arial Narrow" w:cs="Arial Narrow"/>
          <w:sz w:val="20"/>
          <w:szCs w:val="20"/>
          <w:lang w:eastAsia="bg-BG" w:bidi="ar-SA"/>
        </w:rPr>
        <w:t>Protheroe</w:t>
      </w:r>
      <w:proofErr w:type="spellEnd"/>
      <w:r>
        <w:rPr>
          <w:rFonts w:ascii="Arial Narrow" w:hAnsi="Arial Narrow" w:cs="Arial Narrow"/>
          <w:sz w:val="20"/>
          <w:szCs w:val="20"/>
          <w:lang w:eastAsia="bg-BG" w:bidi="ar-SA"/>
        </w:rPr>
        <w:t>.</w:t>
      </w:r>
      <w:proofErr w:type="gramEnd"/>
      <w:r>
        <w:rPr>
          <w:rFonts w:ascii="Arial Narrow" w:hAnsi="Arial Narrow" w:cs="Arial Narrow"/>
          <w:sz w:val="20"/>
          <w:szCs w:val="20"/>
          <w:lang w:eastAsia="bg-BG" w:bidi="ar-SA"/>
        </w:rPr>
        <w:t xml:space="preserve"> 1994. </w:t>
      </w:r>
      <w:r w:rsidR="00D83E33" w:rsidRPr="00D83E33">
        <w:rPr>
          <w:rFonts w:ascii="Arial Narrow" w:hAnsi="Arial Narrow" w:cs="Arial Narrow"/>
          <w:i/>
          <w:sz w:val="20"/>
          <w:szCs w:val="20"/>
          <w:lang w:eastAsia="bg-BG" w:bidi="ar-SA"/>
        </w:rPr>
        <w:t>Sulfur emission from large point sources in Europe.</w:t>
      </w:r>
      <w:r w:rsidR="00D83E33">
        <w:rPr>
          <w:rFonts w:ascii="Arial Narrow" w:hAnsi="Arial Narrow" w:cs="Arial Narrow"/>
          <w:sz w:val="20"/>
          <w:szCs w:val="20"/>
          <w:lang w:eastAsia="bg-BG" w:bidi="ar-SA"/>
        </w:rPr>
        <w:t xml:space="preserve"> </w:t>
      </w:r>
      <w:proofErr w:type="gramStart"/>
      <w:r w:rsidR="00D83E33">
        <w:rPr>
          <w:rFonts w:ascii="Arial Narrow" w:hAnsi="Arial Narrow" w:cs="Arial Narrow"/>
          <w:sz w:val="20"/>
          <w:szCs w:val="20"/>
          <w:lang w:eastAsia="bg-BG" w:bidi="ar-SA"/>
        </w:rPr>
        <w:t xml:space="preserve">Air Pollution and Climate Series </w:t>
      </w:r>
      <w:r w:rsidR="00D83E33">
        <w:rPr>
          <w:rFonts w:cs="Times New Roman"/>
          <w:sz w:val="20"/>
          <w:szCs w:val="20"/>
          <w:lang w:eastAsia="bg-BG" w:bidi="ar-SA"/>
        </w:rPr>
        <w:t>№</w:t>
      </w:r>
      <w:r w:rsidR="00D83E33">
        <w:rPr>
          <w:rFonts w:ascii="Arial Narrow" w:hAnsi="Arial Narrow" w:cs="Arial Narrow"/>
          <w:sz w:val="20"/>
          <w:szCs w:val="20"/>
          <w:lang w:eastAsia="bg-BG" w:bidi="ar-SA"/>
        </w:rPr>
        <w:t xml:space="preserve"> 3.</w:t>
      </w:r>
      <w:proofErr w:type="gramEnd"/>
      <w:r w:rsidR="00D83E33">
        <w:rPr>
          <w:rFonts w:ascii="Arial Narrow" w:hAnsi="Arial Narrow" w:cs="Arial Narrow"/>
          <w:sz w:val="20"/>
          <w:szCs w:val="20"/>
          <w:lang w:eastAsia="bg-BG" w:bidi="ar-SA"/>
        </w:rPr>
        <w:t xml:space="preserve"> </w:t>
      </w:r>
      <w:proofErr w:type="gramStart"/>
      <w:r w:rsidR="00D83E33">
        <w:rPr>
          <w:rFonts w:ascii="Arial Narrow" w:hAnsi="Arial Narrow" w:cs="Arial Narrow"/>
          <w:sz w:val="20"/>
          <w:szCs w:val="20"/>
          <w:lang w:eastAsia="bg-BG" w:bidi="ar-SA"/>
        </w:rPr>
        <w:t>Swedish NGO Secretariat on Acid Rain.</w:t>
      </w:r>
      <w:proofErr w:type="gramEnd"/>
      <w:r w:rsidR="00D83E33">
        <w:rPr>
          <w:rFonts w:ascii="Arial Narrow" w:hAnsi="Arial Narrow" w:cs="Arial Narrow"/>
          <w:sz w:val="20"/>
          <w:szCs w:val="20"/>
          <w:lang w:eastAsia="bg-BG" w:bidi="ar-SA"/>
        </w:rPr>
        <w:t xml:space="preserve"> </w:t>
      </w:r>
    </w:p>
    <w:p w:rsidR="00E5449E" w:rsidRDefault="00E5449E" w:rsidP="003B1283">
      <w:pPr>
        <w:ind w:left="280" w:hanging="283"/>
        <w:jc w:val="both"/>
        <w:rPr>
          <w:rFonts w:ascii="Arial Narrow" w:hAnsi="Arial Narrow"/>
          <w:sz w:val="20"/>
          <w:szCs w:val="20"/>
        </w:rPr>
      </w:pPr>
      <w:proofErr w:type="spellStart"/>
      <w:r w:rsidRPr="00E5449E">
        <w:rPr>
          <w:rFonts w:ascii="Arial Narrow" w:hAnsi="Arial Narrow"/>
          <w:sz w:val="20"/>
          <w:szCs w:val="20"/>
        </w:rPr>
        <w:t>Beychok</w:t>
      </w:r>
      <w:proofErr w:type="spellEnd"/>
      <w:r w:rsidRPr="00E5449E">
        <w:rPr>
          <w:rFonts w:ascii="Arial Narrow" w:hAnsi="Arial Narrow"/>
          <w:sz w:val="20"/>
          <w:szCs w:val="20"/>
        </w:rPr>
        <w:t xml:space="preserve">, M.R., 2005. </w:t>
      </w:r>
      <w:r w:rsidRPr="00E5449E">
        <w:rPr>
          <w:rFonts w:ascii="Arial Narrow" w:hAnsi="Arial Narrow"/>
          <w:i/>
          <w:iCs/>
          <w:sz w:val="20"/>
          <w:szCs w:val="20"/>
        </w:rPr>
        <w:t xml:space="preserve">Fundamentals of Stack Gas Dispersion </w:t>
      </w:r>
      <w:r w:rsidRPr="00E5449E">
        <w:rPr>
          <w:rFonts w:ascii="Arial Narrow" w:hAnsi="Arial Narrow"/>
          <w:sz w:val="20"/>
          <w:szCs w:val="20"/>
        </w:rPr>
        <w:t xml:space="preserve">(4th edition), Milton R. </w:t>
      </w:r>
      <w:proofErr w:type="spellStart"/>
      <w:r w:rsidRPr="00E5449E">
        <w:rPr>
          <w:rFonts w:ascii="Arial Narrow" w:hAnsi="Arial Narrow"/>
          <w:sz w:val="20"/>
          <w:szCs w:val="20"/>
        </w:rPr>
        <w:t>Beychok</w:t>
      </w:r>
      <w:proofErr w:type="spellEnd"/>
      <w:r w:rsidRPr="00E5449E">
        <w:rPr>
          <w:rFonts w:ascii="Arial Narrow" w:hAnsi="Arial Narrow"/>
          <w:sz w:val="20"/>
          <w:szCs w:val="20"/>
        </w:rPr>
        <w:t xml:space="preserve"> Press</w:t>
      </w:r>
      <w:r>
        <w:rPr>
          <w:rFonts w:ascii="Arial Narrow" w:hAnsi="Arial Narrow"/>
          <w:sz w:val="20"/>
          <w:szCs w:val="20"/>
        </w:rPr>
        <w:t>.</w:t>
      </w:r>
    </w:p>
    <w:p w:rsidR="00955BEB" w:rsidRDefault="00955BEB" w:rsidP="003B1283">
      <w:pPr>
        <w:ind w:left="280" w:hanging="283"/>
        <w:jc w:val="both"/>
        <w:rPr>
          <w:rFonts w:ascii="Arial Narrow" w:hAnsi="Arial Narrow"/>
          <w:sz w:val="20"/>
          <w:szCs w:val="20"/>
        </w:rPr>
      </w:pPr>
      <w:r w:rsidRPr="00955BEB">
        <w:rPr>
          <w:rFonts w:ascii="Arial Narrow" w:hAnsi="Arial Narrow"/>
          <w:sz w:val="20"/>
          <w:szCs w:val="20"/>
        </w:rPr>
        <w:t xml:space="preserve">Briggs, G.A., 1965. </w:t>
      </w:r>
      <w:r w:rsidRPr="00955BEB">
        <w:rPr>
          <w:rFonts w:ascii="Arial Narrow" w:hAnsi="Arial Narrow"/>
          <w:i/>
          <w:sz w:val="20"/>
          <w:szCs w:val="20"/>
        </w:rPr>
        <w:t>A plume rise model compared with observations.</w:t>
      </w:r>
      <w:r w:rsidRPr="00955BEB">
        <w:rPr>
          <w:rFonts w:ascii="Arial Narrow" w:hAnsi="Arial Narrow"/>
          <w:sz w:val="20"/>
          <w:szCs w:val="20"/>
        </w:rPr>
        <w:t xml:space="preserve"> </w:t>
      </w:r>
      <w:proofErr w:type="gramStart"/>
      <w:r w:rsidRPr="00955BEB">
        <w:rPr>
          <w:rFonts w:ascii="Arial Narrow" w:hAnsi="Arial Narrow"/>
          <w:iCs/>
          <w:sz w:val="20"/>
          <w:szCs w:val="20"/>
        </w:rPr>
        <w:t>Journal of the Air Pollution Control Association</w:t>
      </w:r>
      <w:r w:rsidRPr="00955BEB">
        <w:rPr>
          <w:rFonts w:ascii="Arial Narrow" w:hAnsi="Arial Narrow"/>
          <w:i/>
          <w:iCs/>
          <w:sz w:val="20"/>
          <w:szCs w:val="20"/>
        </w:rPr>
        <w:t xml:space="preserve"> </w:t>
      </w:r>
      <w:r>
        <w:rPr>
          <w:rFonts w:ascii="Arial Narrow" w:hAnsi="Arial Narrow"/>
          <w:i/>
          <w:iCs/>
          <w:sz w:val="20"/>
          <w:szCs w:val="20"/>
        </w:rPr>
        <w:t xml:space="preserve">vol. </w:t>
      </w:r>
      <w:r w:rsidRPr="00955BEB">
        <w:rPr>
          <w:rFonts w:ascii="Arial Narrow" w:hAnsi="Arial Narrow"/>
          <w:sz w:val="20"/>
          <w:szCs w:val="20"/>
        </w:rPr>
        <w:t xml:space="preserve">15, </w:t>
      </w:r>
      <w:r>
        <w:rPr>
          <w:rFonts w:ascii="Arial Narrow" w:hAnsi="Arial Narrow"/>
          <w:sz w:val="20"/>
          <w:szCs w:val="20"/>
        </w:rPr>
        <w:t>pp.</w:t>
      </w:r>
      <w:r w:rsidRPr="00955BEB">
        <w:rPr>
          <w:rFonts w:ascii="Arial Narrow" w:hAnsi="Arial Narrow"/>
          <w:sz w:val="20"/>
          <w:szCs w:val="20"/>
        </w:rPr>
        <w:t>433-438.</w:t>
      </w:r>
      <w:proofErr w:type="gramEnd"/>
    </w:p>
    <w:p w:rsidR="00076434" w:rsidRPr="00076434" w:rsidRDefault="00076434" w:rsidP="003B1283">
      <w:pPr>
        <w:ind w:left="280" w:hanging="283"/>
        <w:jc w:val="both"/>
        <w:rPr>
          <w:rFonts w:ascii="Arial Narrow" w:hAnsi="Arial Narrow"/>
          <w:sz w:val="20"/>
          <w:szCs w:val="20"/>
        </w:rPr>
      </w:pPr>
      <w:proofErr w:type="gramStart"/>
      <w:r w:rsidRPr="00076434">
        <w:rPr>
          <w:rFonts w:ascii="Arial Narrow" w:hAnsi="Arial Narrow"/>
          <w:bCs/>
          <w:color w:val="000000"/>
          <w:sz w:val="20"/>
          <w:szCs w:val="20"/>
          <w:shd w:val="clear" w:color="auto" w:fill="FFFFFF"/>
        </w:rPr>
        <w:t xml:space="preserve">Directive 2001/80/EC on the limitation of </w:t>
      </w:r>
      <w:r w:rsidR="00606EFF">
        <w:rPr>
          <w:rFonts w:ascii="Arial Narrow" w:hAnsi="Arial Narrow"/>
          <w:bCs/>
          <w:color w:val="000000"/>
          <w:sz w:val="20"/>
          <w:szCs w:val="20"/>
          <w:shd w:val="clear" w:color="auto" w:fill="FFFFFF"/>
        </w:rPr>
        <w:t>E</w:t>
      </w:r>
      <w:r w:rsidRPr="00076434">
        <w:rPr>
          <w:rFonts w:ascii="Arial Narrow" w:hAnsi="Arial Narrow"/>
          <w:bCs/>
          <w:color w:val="000000"/>
          <w:sz w:val="20"/>
          <w:szCs w:val="20"/>
          <w:shd w:val="clear" w:color="auto" w:fill="FFFFFF"/>
        </w:rPr>
        <w:t xml:space="preserve">missions of </w:t>
      </w:r>
      <w:r w:rsidR="00606EFF">
        <w:rPr>
          <w:rFonts w:ascii="Arial Narrow" w:hAnsi="Arial Narrow"/>
          <w:bCs/>
          <w:color w:val="000000"/>
          <w:sz w:val="20"/>
          <w:szCs w:val="20"/>
          <w:shd w:val="clear" w:color="auto" w:fill="FFFFFF"/>
        </w:rPr>
        <w:t>C</w:t>
      </w:r>
      <w:r w:rsidRPr="00076434">
        <w:rPr>
          <w:rFonts w:ascii="Arial Narrow" w:hAnsi="Arial Narrow"/>
          <w:bCs/>
          <w:color w:val="000000"/>
          <w:sz w:val="20"/>
          <w:szCs w:val="20"/>
          <w:shd w:val="clear" w:color="auto" w:fill="FFFFFF"/>
        </w:rPr>
        <w:t xml:space="preserve">ertain </w:t>
      </w:r>
      <w:r w:rsidR="00606EFF">
        <w:rPr>
          <w:rFonts w:ascii="Arial Narrow" w:hAnsi="Arial Narrow"/>
          <w:bCs/>
          <w:color w:val="000000"/>
          <w:sz w:val="20"/>
          <w:szCs w:val="20"/>
          <w:shd w:val="clear" w:color="auto" w:fill="FFFFFF"/>
        </w:rPr>
        <w:t>P</w:t>
      </w:r>
      <w:r w:rsidRPr="00076434">
        <w:rPr>
          <w:rFonts w:ascii="Arial Narrow" w:hAnsi="Arial Narrow"/>
          <w:bCs/>
          <w:color w:val="000000"/>
          <w:sz w:val="20"/>
          <w:szCs w:val="20"/>
          <w:shd w:val="clear" w:color="auto" w:fill="FFFFFF"/>
        </w:rPr>
        <w:t xml:space="preserve">ollutants into the air from </w:t>
      </w:r>
      <w:r w:rsidR="00606EFF">
        <w:rPr>
          <w:rFonts w:ascii="Arial Narrow" w:hAnsi="Arial Narrow"/>
          <w:bCs/>
          <w:color w:val="000000"/>
          <w:sz w:val="20"/>
          <w:szCs w:val="20"/>
          <w:shd w:val="clear" w:color="auto" w:fill="FFFFFF"/>
        </w:rPr>
        <w:t>L</w:t>
      </w:r>
      <w:r w:rsidRPr="00076434">
        <w:rPr>
          <w:rFonts w:ascii="Arial Narrow" w:hAnsi="Arial Narrow"/>
          <w:bCs/>
          <w:color w:val="000000"/>
          <w:sz w:val="20"/>
          <w:szCs w:val="20"/>
          <w:shd w:val="clear" w:color="auto" w:fill="FFFFFF"/>
        </w:rPr>
        <w:t xml:space="preserve">arge </w:t>
      </w:r>
      <w:r w:rsidR="00606EFF">
        <w:rPr>
          <w:rFonts w:ascii="Arial Narrow" w:hAnsi="Arial Narrow"/>
          <w:bCs/>
          <w:color w:val="000000"/>
          <w:sz w:val="20"/>
          <w:szCs w:val="20"/>
          <w:shd w:val="clear" w:color="auto" w:fill="FFFFFF"/>
        </w:rPr>
        <w:t>C</w:t>
      </w:r>
      <w:r w:rsidRPr="00076434">
        <w:rPr>
          <w:rFonts w:ascii="Arial Narrow" w:hAnsi="Arial Narrow"/>
          <w:bCs/>
          <w:color w:val="000000"/>
          <w:sz w:val="20"/>
          <w:szCs w:val="20"/>
          <w:shd w:val="clear" w:color="auto" w:fill="FFFFFF"/>
        </w:rPr>
        <w:t xml:space="preserve">ombustion </w:t>
      </w:r>
      <w:r w:rsidR="00606EFF">
        <w:rPr>
          <w:rFonts w:ascii="Arial Narrow" w:hAnsi="Arial Narrow"/>
          <w:bCs/>
          <w:color w:val="000000"/>
          <w:sz w:val="20"/>
          <w:szCs w:val="20"/>
          <w:shd w:val="clear" w:color="auto" w:fill="FFFFFF"/>
        </w:rPr>
        <w:t>P</w:t>
      </w:r>
      <w:r w:rsidRPr="00076434">
        <w:rPr>
          <w:rFonts w:ascii="Arial Narrow" w:hAnsi="Arial Narrow"/>
          <w:bCs/>
          <w:color w:val="000000"/>
          <w:sz w:val="20"/>
          <w:szCs w:val="20"/>
          <w:shd w:val="clear" w:color="auto" w:fill="FFFFFF"/>
        </w:rPr>
        <w:t>lants</w:t>
      </w:r>
      <w:r w:rsidR="00606EFF">
        <w:rPr>
          <w:rFonts w:ascii="Arial Narrow" w:hAnsi="Arial Narrow"/>
          <w:bCs/>
          <w:color w:val="000000"/>
          <w:sz w:val="20"/>
          <w:szCs w:val="20"/>
          <w:shd w:val="clear" w:color="auto" w:fill="FFFFFF"/>
        </w:rPr>
        <w:t>.</w:t>
      </w:r>
      <w:proofErr w:type="gramEnd"/>
      <w:r w:rsidR="00606EFF">
        <w:rPr>
          <w:rFonts w:ascii="Arial Narrow" w:hAnsi="Arial Narrow"/>
          <w:bCs/>
          <w:color w:val="000000"/>
          <w:sz w:val="20"/>
          <w:szCs w:val="20"/>
          <w:shd w:val="clear" w:color="auto" w:fill="FFFFFF"/>
        </w:rPr>
        <w:t xml:space="preserve"> </w:t>
      </w:r>
      <w:proofErr w:type="gramStart"/>
      <w:r w:rsidR="00606EFF">
        <w:rPr>
          <w:rFonts w:ascii="Arial Narrow" w:hAnsi="Arial Narrow"/>
          <w:bCs/>
          <w:color w:val="000000"/>
          <w:sz w:val="20"/>
          <w:szCs w:val="20"/>
          <w:shd w:val="clear" w:color="auto" w:fill="FFFFFF"/>
        </w:rPr>
        <w:t>European Parliament and Council of EU, 23</w:t>
      </w:r>
      <w:r w:rsidR="00606EFF" w:rsidRPr="00606EFF">
        <w:rPr>
          <w:rFonts w:ascii="Arial Narrow" w:hAnsi="Arial Narrow"/>
          <w:bCs/>
          <w:color w:val="000000"/>
          <w:sz w:val="20"/>
          <w:szCs w:val="20"/>
          <w:shd w:val="clear" w:color="auto" w:fill="FFFFFF"/>
          <w:vertAlign w:val="superscript"/>
        </w:rPr>
        <w:t>th</w:t>
      </w:r>
      <w:r w:rsidR="00606EFF">
        <w:rPr>
          <w:rFonts w:ascii="Arial Narrow" w:hAnsi="Arial Narrow"/>
          <w:bCs/>
          <w:color w:val="000000"/>
          <w:sz w:val="20"/>
          <w:szCs w:val="20"/>
          <w:shd w:val="clear" w:color="auto" w:fill="FFFFFF"/>
        </w:rPr>
        <w:t xml:space="preserve"> of October, 2001.</w:t>
      </w:r>
      <w:proofErr w:type="gramEnd"/>
    </w:p>
    <w:p w:rsidR="003E25B6" w:rsidRDefault="003E25B6" w:rsidP="003B1283">
      <w:pPr>
        <w:ind w:left="280" w:hanging="283"/>
        <w:jc w:val="both"/>
        <w:rPr>
          <w:rFonts w:ascii="Arial Narrow" w:hAnsi="Arial Narrow"/>
          <w:sz w:val="20"/>
          <w:szCs w:val="20"/>
        </w:rPr>
      </w:pPr>
      <w:proofErr w:type="spellStart"/>
      <w:r>
        <w:rPr>
          <w:rFonts w:ascii="Arial Narrow" w:hAnsi="Arial Narrow"/>
          <w:sz w:val="20"/>
          <w:szCs w:val="20"/>
        </w:rPr>
        <w:t>Dnevnik</w:t>
      </w:r>
      <w:proofErr w:type="spellEnd"/>
      <w:r>
        <w:rPr>
          <w:rFonts w:ascii="Arial Narrow" w:hAnsi="Arial Narrow"/>
          <w:sz w:val="20"/>
          <w:szCs w:val="20"/>
        </w:rPr>
        <w:t xml:space="preserve"> newspaper, </w:t>
      </w:r>
      <w:proofErr w:type="gramStart"/>
      <w:r>
        <w:rPr>
          <w:rFonts w:ascii="Arial Narrow" w:hAnsi="Arial Narrow"/>
          <w:sz w:val="20"/>
          <w:szCs w:val="20"/>
        </w:rPr>
        <w:t>23</w:t>
      </w:r>
      <w:r w:rsidRPr="00606EFF">
        <w:rPr>
          <w:rFonts w:ascii="Arial Narrow" w:hAnsi="Arial Narrow"/>
          <w:sz w:val="20"/>
          <w:szCs w:val="20"/>
          <w:vertAlign w:val="superscript"/>
        </w:rPr>
        <w:t>th</w:t>
      </w:r>
      <w:r w:rsidR="00606EFF">
        <w:rPr>
          <w:rFonts w:ascii="Arial Narrow" w:hAnsi="Arial Narrow"/>
          <w:sz w:val="20"/>
          <w:szCs w:val="20"/>
          <w:vertAlign w:val="superscript"/>
        </w:rPr>
        <w:t xml:space="preserve"> </w:t>
      </w:r>
      <w:r w:rsidRPr="00606EFF">
        <w:rPr>
          <w:rFonts w:ascii="Arial Narrow" w:hAnsi="Arial Narrow"/>
          <w:sz w:val="20"/>
          <w:szCs w:val="20"/>
          <w:vertAlign w:val="superscript"/>
        </w:rPr>
        <w:t xml:space="preserve"> </w:t>
      </w:r>
      <w:r>
        <w:rPr>
          <w:rFonts w:ascii="Arial Narrow" w:hAnsi="Arial Narrow"/>
          <w:sz w:val="20"/>
          <w:szCs w:val="20"/>
        </w:rPr>
        <w:t>of</w:t>
      </w:r>
      <w:proofErr w:type="gramEnd"/>
      <w:r>
        <w:rPr>
          <w:rFonts w:ascii="Arial Narrow" w:hAnsi="Arial Narrow"/>
          <w:sz w:val="20"/>
          <w:szCs w:val="20"/>
        </w:rPr>
        <w:t xml:space="preserve"> December, 2014.</w:t>
      </w:r>
    </w:p>
    <w:p w:rsidR="00B2305C" w:rsidRDefault="00F9152A" w:rsidP="003B1283">
      <w:pPr>
        <w:ind w:left="280" w:hanging="283"/>
        <w:jc w:val="both"/>
        <w:rPr>
          <w:rFonts w:ascii="Arial Narrow" w:hAnsi="Arial Narrow"/>
          <w:sz w:val="20"/>
          <w:szCs w:val="20"/>
        </w:rPr>
      </w:pPr>
      <w:proofErr w:type="gramStart"/>
      <w:r w:rsidRPr="00F9152A">
        <w:rPr>
          <w:rFonts w:ascii="Arial Narrow" w:hAnsi="Arial Narrow"/>
          <w:sz w:val="20"/>
          <w:szCs w:val="20"/>
        </w:rPr>
        <w:t>EEA 2007.</w:t>
      </w:r>
      <w:proofErr w:type="gramEnd"/>
      <w:r w:rsidRPr="00F9152A">
        <w:rPr>
          <w:rFonts w:ascii="Arial Narrow" w:hAnsi="Arial Narrow"/>
          <w:sz w:val="20"/>
          <w:szCs w:val="20"/>
        </w:rPr>
        <w:t xml:space="preserve"> </w:t>
      </w:r>
      <w:proofErr w:type="gramStart"/>
      <w:r w:rsidRPr="004A1F6E">
        <w:rPr>
          <w:rFonts w:ascii="Arial Narrow" w:hAnsi="Arial Narrow"/>
          <w:i/>
          <w:sz w:val="20"/>
          <w:szCs w:val="20"/>
        </w:rPr>
        <w:t>EMEP/ CORINAIR</w:t>
      </w:r>
      <w:r w:rsidRPr="00F9152A">
        <w:rPr>
          <w:rFonts w:ascii="Arial Narrow" w:hAnsi="Arial Narrow"/>
          <w:sz w:val="20"/>
          <w:szCs w:val="20"/>
        </w:rPr>
        <w:t xml:space="preserve"> </w:t>
      </w:r>
      <w:r w:rsidRPr="00F9152A">
        <w:rPr>
          <w:rFonts w:ascii="Arial Narrow" w:hAnsi="Arial Narrow"/>
          <w:i/>
          <w:sz w:val="20"/>
          <w:szCs w:val="20"/>
        </w:rPr>
        <w:t>Atmospheric Emission Inventory Guidebook - 2007.</w:t>
      </w:r>
      <w:proofErr w:type="gramEnd"/>
      <w:r w:rsidRPr="00F9152A">
        <w:rPr>
          <w:rFonts w:ascii="Arial Narrow" w:hAnsi="Arial Narrow"/>
          <w:i/>
          <w:sz w:val="20"/>
          <w:szCs w:val="20"/>
        </w:rPr>
        <w:t xml:space="preserve"> </w:t>
      </w:r>
      <w:proofErr w:type="gramStart"/>
      <w:r w:rsidRPr="00F9152A">
        <w:rPr>
          <w:rFonts w:ascii="Arial Narrow" w:hAnsi="Arial Narrow"/>
          <w:sz w:val="20"/>
          <w:szCs w:val="20"/>
        </w:rPr>
        <w:t>European Environment Agency, 2007.</w:t>
      </w:r>
      <w:proofErr w:type="gramEnd"/>
      <w:r w:rsidRPr="00F9152A">
        <w:rPr>
          <w:rFonts w:ascii="Arial Narrow" w:hAnsi="Arial Narrow"/>
          <w:sz w:val="20"/>
          <w:szCs w:val="20"/>
        </w:rPr>
        <w:t xml:space="preserve"> </w:t>
      </w:r>
    </w:p>
    <w:p w:rsidR="00B2305C" w:rsidRPr="00B2305C" w:rsidRDefault="00B2305C" w:rsidP="003B1283">
      <w:pPr>
        <w:ind w:left="280" w:hanging="283"/>
        <w:jc w:val="both"/>
        <w:rPr>
          <w:rFonts w:ascii="Arial Narrow" w:hAnsi="Arial Narrow" w:cs="Arial"/>
          <w:color w:val="000000" w:themeColor="text1"/>
          <w:sz w:val="20"/>
          <w:szCs w:val="20"/>
        </w:rPr>
      </w:pPr>
      <w:r w:rsidRPr="00B2305C">
        <w:rPr>
          <w:rStyle w:val="citation"/>
          <w:rFonts w:ascii="Arial Narrow" w:hAnsi="Arial Narrow" w:cs="Arial"/>
          <w:color w:val="252525"/>
          <w:sz w:val="20"/>
          <w:szCs w:val="20"/>
        </w:rPr>
        <w:t xml:space="preserve">Grubb, M. and J. </w:t>
      </w:r>
      <w:proofErr w:type="spellStart"/>
      <w:r w:rsidRPr="00B2305C">
        <w:rPr>
          <w:rStyle w:val="citation"/>
          <w:rFonts w:ascii="Arial Narrow" w:hAnsi="Arial Narrow" w:cs="Arial"/>
          <w:color w:val="252525"/>
          <w:sz w:val="20"/>
          <w:szCs w:val="20"/>
        </w:rPr>
        <w:t>Depledge</w:t>
      </w:r>
      <w:proofErr w:type="spellEnd"/>
      <w:r w:rsidRPr="00B2305C">
        <w:rPr>
          <w:rStyle w:val="citation"/>
          <w:rFonts w:ascii="Arial Narrow" w:hAnsi="Arial Narrow" w:cs="Arial"/>
          <w:color w:val="252525"/>
          <w:sz w:val="20"/>
          <w:szCs w:val="20"/>
        </w:rPr>
        <w:t>. J.</w:t>
      </w:r>
      <w:r>
        <w:rPr>
          <w:rStyle w:val="citation"/>
          <w:rFonts w:ascii="Arial Narrow" w:hAnsi="Arial Narrow" w:cs="Arial"/>
          <w:color w:val="252525"/>
          <w:sz w:val="20"/>
          <w:szCs w:val="20"/>
        </w:rPr>
        <w:t xml:space="preserve"> </w:t>
      </w:r>
      <w:r w:rsidRPr="00B2305C">
        <w:rPr>
          <w:rStyle w:val="citation"/>
          <w:rFonts w:ascii="Arial Narrow" w:hAnsi="Arial Narrow" w:cs="Arial"/>
          <w:color w:val="252525"/>
          <w:sz w:val="20"/>
          <w:szCs w:val="20"/>
        </w:rPr>
        <w:t>2001</w:t>
      </w:r>
      <w:r>
        <w:rPr>
          <w:rStyle w:val="citation"/>
          <w:rFonts w:ascii="Arial" w:hAnsi="Arial" w:cs="Arial"/>
          <w:color w:val="252525"/>
          <w:sz w:val="19"/>
          <w:szCs w:val="19"/>
        </w:rPr>
        <w:t xml:space="preserve">. </w:t>
      </w:r>
      <w:hyperlink r:id="rId17" w:history="1">
        <w:proofErr w:type="gramStart"/>
        <w:r w:rsidRPr="00B2305C">
          <w:rPr>
            <w:rStyle w:val="Hyperlink"/>
            <w:rFonts w:ascii="Arial Narrow" w:hAnsi="Arial Narrow" w:cs="Arial"/>
            <w:i/>
            <w:color w:val="000000" w:themeColor="text1"/>
            <w:sz w:val="20"/>
            <w:szCs w:val="20"/>
            <w:u w:val="none"/>
          </w:rPr>
          <w:t>The Seven Myths of Kyoto</w:t>
        </w:r>
      </w:hyperlink>
      <w:r w:rsidRPr="00B2305C">
        <w:rPr>
          <w:rStyle w:val="citation"/>
          <w:rFonts w:ascii="Arial Narrow" w:hAnsi="Arial Narrow" w:cs="Arial"/>
          <w:color w:val="000000" w:themeColor="text1"/>
          <w:sz w:val="20"/>
          <w:szCs w:val="20"/>
        </w:rPr>
        <w:t>.</w:t>
      </w:r>
      <w:proofErr w:type="gramEnd"/>
      <w:r>
        <w:rPr>
          <w:rStyle w:val="citation"/>
          <w:rFonts w:ascii="Arial Narrow" w:hAnsi="Arial Narrow" w:cs="Arial"/>
          <w:color w:val="000000" w:themeColor="text1"/>
          <w:sz w:val="20"/>
          <w:szCs w:val="20"/>
        </w:rPr>
        <w:t xml:space="preserve"> </w:t>
      </w:r>
      <w:proofErr w:type="gramStart"/>
      <w:r w:rsidRPr="00B2305C">
        <w:rPr>
          <w:rStyle w:val="citation"/>
          <w:rFonts w:ascii="Arial Narrow" w:hAnsi="Arial Narrow" w:cs="Arial"/>
          <w:iCs/>
          <w:color w:val="000000" w:themeColor="text1"/>
          <w:sz w:val="20"/>
          <w:szCs w:val="20"/>
        </w:rPr>
        <w:t>Climate Policy</w:t>
      </w:r>
      <w:r>
        <w:rPr>
          <w:rStyle w:val="citation"/>
          <w:rFonts w:ascii="Arial Narrow" w:hAnsi="Arial Narrow" w:cs="Arial"/>
          <w:i/>
          <w:iCs/>
          <w:color w:val="000000" w:themeColor="text1"/>
          <w:sz w:val="20"/>
          <w:szCs w:val="20"/>
        </w:rPr>
        <w:t xml:space="preserve"> </w:t>
      </w:r>
      <w:r w:rsidRPr="00B2305C">
        <w:rPr>
          <w:rStyle w:val="citation"/>
          <w:rFonts w:ascii="Arial Narrow" w:hAnsi="Arial Narrow" w:cs="Arial"/>
          <w:bCs/>
          <w:color w:val="000000" w:themeColor="text1"/>
          <w:sz w:val="20"/>
          <w:szCs w:val="20"/>
        </w:rPr>
        <w:t>1</w:t>
      </w:r>
      <w:r>
        <w:rPr>
          <w:rStyle w:val="citation"/>
          <w:rFonts w:ascii="Arial Narrow" w:hAnsi="Arial Narrow" w:cs="Arial"/>
          <w:bCs/>
          <w:color w:val="000000" w:themeColor="text1"/>
          <w:sz w:val="20"/>
          <w:szCs w:val="20"/>
        </w:rPr>
        <w:t xml:space="preserve">, </w:t>
      </w:r>
      <w:r w:rsidRPr="00B2305C">
        <w:rPr>
          <w:rStyle w:val="citation"/>
          <w:rFonts w:ascii="Arial Narrow" w:hAnsi="Arial Narrow" w:cs="Arial"/>
          <w:color w:val="000000" w:themeColor="text1"/>
          <w:sz w:val="20"/>
          <w:szCs w:val="20"/>
        </w:rPr>
        <w:t>2</w:t>
      </w:r>
      <w:r>
        <w:rPr>
          <w:rStyle w:val="citation"/>
          <w:rFonts w:ascii="Arial Narrow" w:hAnsi="Arial Narrow" w:cs="Arial"/>
          <w:color w:val="000000" w:themeColor="text1"/>
          <w:sz w:val="20"/>
          <w:szCs w:val="20"/>
        </w:rPr>
        <w:t>.</w:t>
      </w:r>
      <w:proofErr w:type="gramEnd"/>
    </w:p>
    <w:p w:rsidR="006178DC" w:rsidRPr="006178DC" w:rsidRDefault="006178DC" w:rsidP="003B1283">
      <w:pPr>
        <w:ind w:left="280" w:hanging="283"/>
        <w:jc w:val="both"/>
        <w:rPr>
          <w:rFonts w:ascii="Arial Narrow" w:hAnsi="Arial Narrow"/>
          <w:sz w:val="20"/>
          <w:szCs w:val="20"/>
          <w:lang w:val="bg-BG"/>
        </w:rPr>
      </w:pPr>
      <w:proofErr w:type="spellStart"/>
      <w:proofErr w:type="gramStart"/>
      <w:r>
        <w:rPr>
          <w:rFonts w:ascii="Arial Narrow" w:hAnsi="Arial Narrow"/>
          <w:sz w:val="20"/>
          <w:szCs w:val="20"/>
        </w:rPr>
        <w:t>Jecheva</w:t>
      </w:r>
      <w:proofErr w:type="spellEnd"/>
      <w:r>
        <w:rPr>
          <w:rFonts w:ascii="Arial Narrow" w:hAnsi="Arial Narrow"/>
          <w:sz w:val="20"/>
          <w:szCs w:val="20"/>
        </w:rPr>
        <w:t xml:space="preserve">, T.D., </w:t>
      </w:r>
      <w:proofErr w:type="spellStart"/>
      <w:r>
        <w:rPr>
          <w:rFonts w:ascii="Arial Narrow" w:hAnsi="Arial Narrow"/>
          <w:sz w:val="20"/>
          <w:szCs w:val="20"/>
        </w:rPr>
        <w:t>Georgiev</w:t>
      </w:r>
      <w:proofErr w:type="spellEnd"/>
      <w:r>
        <w:rPr>
          <w:rFonts w:ascii="Arial Narrow" w:hAnsi="Arial Narrow"/>
          <w:sz w:val="20"/>
          <w:szCs w:val="20"/>
        </w:rPr>
        <w:t xml:space="preserve">, V.L., </w:t>
      </w:r>
      <w:proofErr w:type="spellStart"/>
      <w:r>
        <w:rPr>
          <w:rFonts w:ascii="Arial Narrow" w:hAnsi="Arial Narrow"/>
          <w:sz w:val="20"/>
          <w:szCs w:val="20"/>
        </w:rPr>
        <w:t>Bonchev</w:t>
      </w:r>
      <w:proofErr w:type="spellEnd"/>
      <w:r>
        <w:rPr>
          <w:rFonts w:ascii="Arial Narrow" w:hAnsi="Arial Narrow"/>
          <w:sz w:val="20"/>
          <w:szCs w:val="20"/>
        </w:rPr>
        <w:t xml:space="preserve">, N.V., and I.N. </w:t>
      </w:r>
      <w:proofErr w:type="spellStart"/>
      <w:r>
        <w:rPr>
          <w:rFonts w:ascii="Arial Narrow" w:hAnsi="Arial Narrow"/>
          <w:sz w:val="20"/>
          <w:szCs w:val="20"/>
        </w:rPr>
        <w:t>Dimova</w:t>
      </w:r>
      <w:proofErr w:type="spellEnd"/>
      <w:r>
        <w:rPr>
          <w:rFonts w:ascii="Arial Narrow" w:hAnsi="Arial Narrow"/>
          <w:sz w:val="20"/>
          <w:szCs w:val="20"/>
        </w:rPr>
        <w:t>.</w:t>
      </w:r>
      <w:proofErr w:type="gramEnd"/>
      <w:r>
        <w:rPr>
          <w:rFonts w:ascii="Arial Narrow" w:hAnsi="Arial Narrow"/>
          <w:sz w:val="20"/>
          <w:szCs w:val="20"/>
        </w:rPr>
        <w:t xml:space="preserve"> </w:t>
      </w:r>
      <w:proofErr w:type="gramStart"/>
      <w:r>
        <w:rPr>
          <w:rFonts w:ascii="Arial Narrow" w:hAnsi="Arial Narrow"/>
          <w:sz w:val="20"/>
          <w:szCs w:val="20"/>
        </w:rPr>
        <w:t xml:space="preserve">2011. Flue gas desulfurization systems (FGD) for units 1-6 in TPP “Maritza East-2” </w:t>
      </w:r>
      <w:r>
        <w:rPr>
          <w:rFonts w:ascii="Arial Narrow" w:hAnsi="Arial Narrow"/>
          <w:sz w:val="20"/>
          <w:szCs w:val="20"/>
          <w:lang w:val="bg-BG"/>
        </w:rPr>
        <w:t xml:space="preserve">– </w:t>
      </w:r>
      <w:r>
        <w:rPr>
          <w:rFonts w:ascii="Arial Narrow" w:hAnsi="Arial Narrow"/>
          <w:sz w:val="20"/>
          <w:szCs w:val="20"/>
        </w:rPr>
        <w:t>basic comparison.</w:t>
      </w:r>
      <w:proofErr w:type="gramEnd"/>
      <w:r>
        <w:rPr>
          <w:rFonts w:ascii="Arial Narrow" w:hAnsi="Arial Narrow"/>
          <w:sz w:val="20"/>
          <w:szCs w:val="20"/>
        </w:rPr>
        <w:t xml:space="preserve"> Paper presented at Forum for Energy, Varna, Bulgaria.</w:t>
      </w:r>
    </w:p>
    <w:p w:rsidR="00743A0E" w:rsidRDefault="00F470C2" w:rsidP="003B1283">
      <w:pPr>
        <w:ind w:left="280" w:hanging="283"/>
        <w:jc w:val="both"/>
        <w:rPr>
          <w:rFonts w:ascii="Arial Narrow" w:hAnsi="Arial Narrow" w:cs="Times New Roman"/>
          <w:i/>
          <w:sz w:val="20"/>
          <w:szCs w:val="20"/>
          <w:lang w:eastAsia="bg-BG" w:bidi="ar-SA"/>
        </w:rPr>
      </w:pPr>
      <w:r>
        <w:rPr>
          <w:rFonts w:ascii="Arial Narrow" w:hAnsi="Arial Narrow" w:cs="Times New Roman"/>
          <w:sz w:val="20"/>
          <w:szCs w:val="20"/>
          <w:lang w:eastAsia="bg-BG" w:bidi="ar-SA"/>
        </w:rPr>
        <w:t xml:space="preserve">Monthly </w:t>
      </w:r>
      <w:proofErr w:type="spellStart"/>
      <w:r>
        <w:rPr>
          <w:rFonts w:ascii="Arial Narrow" w:hAnsi="Arial Narrow" w:cs="Times New Roman"/>
          <w:sz w:val="20"/>
          <w:szCs w:val="20"/>
          <w:lang w:eastAsia="bg-BG" w:bidi="ar-SA"/>
        </w:rPr>
        <w:t>Hydrometereological</w:t>
      </w:r>
      <w:proofErr w:type="spellEnd"/>
      <w:r>
        <w:rPr>
          <w:rFonts w:ascii="Arial Narrow" w:hAnsi="Arial Narrow" w:cs="Times New Roman"/>
          <w:sz w:val="20"/>
          <w:szCs w:val="20"/>
          <w:lang w:eastAsia="bg-BG" w:bidi="ar-SA"/>
        </w:rPr>
        <w:t xml:space="preserve"> Bulletin, 2014. </w:t>
      </w:r>
      <w:proofErr w:type="gramStart"/>
      <w:r w:rsidRPr="00F470C2">
        <w:rPr>
          <w:rFonts w:ascii="Arial Narrow" w:hAnsi="Arial Narrow" w:cs="Times New Roman"/>
          <w:i/>
          <w:sz w:val="20"/>
          <w:szCs w:val="20"/>
          <w:lang w:eastAsia="bg-BG" w:bidi="ar-SA"/>
        </w:rPr>
        <w:t xml:space="preserve">National Institute of </w:t>
      </w:r>
      <w:proofErr w:type="spellStart"/>
      <w:r w:rsidRPr="00F470C2">
        <w:rPr>
          <w:rFonts w:ascii="Arial Narrow" w:hAnsi="Arial Narrow" w:cs="Times New Roman"/>
          <w:i/>
          <w:sz w:val="20"/>
          <w:szCs w:val="20"/>
          <w:lang w:eastAsia="bg-BG" w:bidi="ar-SA"/>
        </w:rPr>
        <w:t>Metereology</w:t>
      </w:r>
      <w:proofErr w:type="spellEnd"/>
      <w:r w:rsidRPr="00F470C2">
        <w:rPr>
          <w:rFonts w:ascii="Arial Narrow" w:hAnsi="Arial Narrow" w:cs="Times New Roman"/>
          <w:i/>
          <w:sz w:val="20"/>
          <w:szCs w:val="20"/>
          <w:lang w:eastAsia="bg-BG" w:bidi="ar-SA"/>
        </w:rPr>
        <w:t xml:space="preserve"> and Hydrology, Bulgarian Academy of Science, Sofia.</w:t>
      </w:r>
      <w:proofErr w:type="gramEnd"/>
    </w:p>
    <w:p w:rsidR="005270E4" w:rsidRPr="00EE0C8D" w:rsidRDefault="005270E4" w:rsidP="003B1283">
      <w:pPr>
        <w:ind w:left="280" w:hanging="283"/>
        <w:jc w:val="both"/>
        <w:rPr>
          <w:rFonts w:ascii="Arial Narrow" w:hAnsi="Arial Narrow"/>
          <w:sz w:val="20"/>
          <w:szCs w:val="20"/>
        </w:rPr>
      </w:pPr>
      <w:r w:rsidRPr="00C76439">
        <w:rPr>
          <w:rFonts w:ascii="Arial Narrow" w:hAnsi="Arial Narrow"/>
          <w:i/>
          <w:iCs/>
          <w:sz w:val="20"/>
          <w:szCs w:val="20"/>
        </w:rPr>
        <w:t>Ordinance №10</w:t>
      </w:r>
      <w:r w:rsidR="002D66B9" w:rsidRPr="00C76439">
        <w:rPr>
          <w:rFonts w:ascii="Arial Narrow" w:hAnsi="Arial Narrow"/>
          <w:i/>
          <w:iCs/>
          <w:sz w:val="20"/>
          <w:szCs w:val="20"/>
        </w:rPr>
        <w:t xml:space="preserve"> on the Emission Limit Values of </w:t>
      </w:r>
      <w:proofErr w:type="spellStart"/>
      <w:r w:rsidR="002D66B9" w:rsidRPr="00C76439">
        <w:rPr>
          <w:rFonts w:ascii="Arial Narrow" w:hAnsi="Arial Narrow"/>
          <w:i/>
          <w:iCs/>
          <w:sz w:val="20"/>
          <w:szCs w:val="20"/>
        </w:rPr>
        <w:t>sulphur</w:t>
      </w:r>
      <w:proofErr w:type="spellEnd"/>
      <w:r w:rsidR="002D66B9" w:rsidRPr="00C76439">
        <w:rPr>
          <w:rFonts w:ascii="Arial Narrow" w:hAnsi="Arial Narrow"/>
          <w:i/>
          <w:iCs/>
          <w:sz w:val="20"/>
          <w:szCs w:val="20"/>
        </w:rPr>
        <w:t xml:space="preserve"> dioxide, nitrogen oxides</w:t>
      </w:r>
      <w:r w:rsidR="00743A0E" w:rsidRPr="00C76439">
        <w:rPr>
          <w:rFonts w:ascii="Arial Narrow" w:hAnsi="Arial Narrow"/>
          <w:i/>
          <w:iCs/>
          <w:sz w:val="20"/>
          <w:szCs w:val="20"/>
        </w:rPr>
        <w:t xml:space="preserve"> </w:t>
      </w:r>
      <w:r w:rsidR="002D66B9" w:rsidRPr="00C76439">
        <w:rPr>
          <w:rFonts w:ascii="Arial Narrow" w:hAnsi="Arial Narrow"/>
          <w:i/>
          <w:iCs/>
          <w:sz w:val="20"/>
          <w:szCs w:val="20"/>
        </w:rPr>
        <w:t>and total dust, discharged to the atmosphere from large combustion plants</w:t>
      </w:r>
      <w:r w:rsidR="00C76439">
        <w:rPr>
          <w:rFonts w:ascii="Arial Narrow" w:hAnsi="Arial Narrow"/>
          <w:i/>
          <w:iCs/>
          <w:sz w:val="20"/>
          <w:szCs w:val="20"/>
        </w:rPr>
        <w:t>.</w:t>
      </w:r>
      <w:r w:rsidRPr="002D66B9">
        <w:rPr>
          <w:rFonts w:ascii="Arial Narrow" w:hAnsi="Arial Narrow"/>
          <w:iCs/>
          <w:sz w:val="20"/>
          <w:szCs w:val="20"/>
        </w:rPr>
        <w:t xml:space="preserve"> </w:t>
      </w:r>
      <w:proofErr w:type="gramStart"/>
      <w:r w:rsidRPr="00EE0C8D">
        <w:rPr>
          <w:rFonts w:ascii="Arial Narrow" w:hAnsi="Arial Narrow"/>
          <w:iCs/>
          <w:sz w:val="20"/>
          <w:szCs w:val="20"/>
        </w:rPr>
        <w:t>State Gazette №93/2003.</w:t>
      </w:r>
      <w:proofErr w:type="gramEnd"/>
    </w:p>
    <w:p w:rsidR="00BF68F0" w:rsidRPr="00F9152A" w:rsidRDefault="00F9152A" w:rsidP="003B1283">
      <w:pPr>
        <w:ind w:left="280" w:hanging="283"/>
        <w:jc w:val="both"/>
        <w:rPr>
          <w:rFonts w:ascii="Arial Narrow" w:hAnsi="Arial Narrow"/>
          <w:sz w:val="20"/>
          <w:szCs w:val="20"/>
        </w:rPr>
      </w:pPr>
      <w:proofErr w:type="spellStart"/>
      <w:proofErr w:type="gramStart"/>
      <w:r w:rsidRPr="00F9152A">
        <w:rPr>
          <w:rFonts w:ascii="Arial Narrow" w:hAnsi="Arial Narrow"/>
          <w:sz w:val="20"/>
          <w:szCs w:val="20"/>
        </w:rPr>
        <w:t>P</w:t>
      </w:r>
      <w:r w:rsidR="00BF68F0" w:rsidRPr="00F9152A">
        <w:rPr>
          <w:rFonts w:ascii="Arial Narrow" w:hAnsi="Arial Narrow"/>
          <w:sz w:val="20"/>
          <w:szCs w:val="20"/>
        </w:rPr>
        <w:t>asquill</w:t>
      </w:r>
      <w:proofErr w:type="spellEnd"/>
      <w:r w:rsidR="00BF68F0" w:rsidRPr="00F9152A">
        <w:rPr>
          <w:rFonts w:ascii="Arial Narrow" w:hAnsi="Arial Narrow"/>
          <w:sz w:val="20"/>
          <w:szCs w:val="20"/>
        </w:rPr>
        <w:t>, F., 1961.</w:t>
      </w:r>
      <w:proofErr w:type="gramEnd"/>
      <w:r w:rsidR="00BF68F0" w:rsidRPr="00F9152A">
        <w:rPr>
          <w:rFonts w:ascii="Arial Narrow" w:hAnsi="Arial Narrow"/>
          <w:sz w:val="20"/>
          <w:szCs w:val="20"/>
        </w:rPr>
        <w:t xml:space="preserve"> </w:t>
      </w:r>
      <w:proofErr w:type="gramStart"/>
      <w:r w:rsidR="00BF68F0" w:rsidRPr="00F9152A">
        <w:rPr>
          <w:rFonts w:ascii="Arial Narrow" w:hAnsi="Arial Narrow"/>
          <w:i/>
          <w:sz w:val="20"/>
          <w:szCs w:val="20"/>
        </w:rPr>
        <w:t>The estimation of the dispersion of windborne material.</w:t>
      </w:r>
      <w:proofErr w:type="gramEnd"/>
      <w:r w:rsidR="00BF68F0" w:rsidRPr="00F9152A">
        <w:rPr>
          <w:rFonts w:ascii="Arial Narrow" w:hAnsi="Arial Narrow"/>
          <w:i/>
          <w:sz w:val="20"/>
          <w:szCs w:val="20"/>
        </w:rPr>
        <w:t xml:space="preserve"> </w:t>
      </w:r>
      <w:r w:rsidR="00BF68F0" w:rsidRPr="00F9152A">
        <w:rPr>
          <w:rFonts w:ascii="Arial Narrow" w:hAnsi="Arial Narrow"/>
          <w:iCs/>
          <w:sz w:val="20"/>
          <w:szCs w:val="20"/>
        </w:rPr>
        <w:t xml:space="preserve">The Meteorological Magazine vol. </w:t>
      </w:r>
      <w:r w:rsidR="00BF68F0" w:rsidRPr="00F9152A">
        <w:rPr>
          <w:rFonts w:ascii="Arial Narrow" w:hAnsi="Arial Narrow"/>
          <w:sz w:val="20"/>
          <w:szCs w:val="20"/>
        </w:rPr>
        <w:t xml:space="preserve">90, pp. 33-49. </w:t>
      </w:r>
    </w:p>
    <w:p w:rsidR="0092147F" w:rsidRDefault="0092147F" w:rsidP="003B1283">
      <w:pPr>
        <w:ind w:left="280" w:hanging="283"/>
        <w:jc w:val="both"/>
        <w:rPr>
          <w:rFonts w:ascii="Arial Narrow" w:hAnsi="Arial Narrow" w:cs="Arial"/>
          <w:color w:val="252525"/>
          <w:sz w:val="20"/>
          <w:szCs w:val="20"/>
          <w:shd w:val="clear" w:color="auto" w:fill="FFFFFF"/>
        </w:rPr>
      </w:pPr>
      <w:proofErr w:type="gramStart"/>
      <w:r w:rsidRPr="0092147F">
        <w:rPr>
          <w:rFonts w:ascii="Arial Narrow" w:hAnsi="Arial Narrow" w:cs="Arial"/>
          <w:color w:val="252525"/>
          <w:sz w:val="20"/>
          <w:szCs w:val="20"/>
          <w:shd w:val="clear" w:color="auto" w:fill="FFFFFF"/>
        </w:rPr>
        <w:t>Peterson, E.W. and J.P. Hennessey, Jr., 1978</w:t>
      </w:r>
      <w:r>
        <w:rPr>
          <w:rFonts w:ascii="Arial Narrow" w:hAnsi="Arial Narrow" w:cs="Arial"/>
          <w:color w:val="252525"/>
          <w:sz w:val="20"/>
          <w:szCs w:val="20"/>
          <w:shd w:val="clear" w:color="auto" w:fill="FFFFFF"/>
        </w:rPr>
        <w:t>.</w:t>
      </w:r>
      <w:proofErr w:type="gramEnd"/>
      <w:r>
        <w:rPr>
          <w:rFonts w:ascii="Arial Narrow" w:hAnsi="Arial Narrow" w:cs="Arial"/>
          <w:color w:val="252525"/>
          <w:sz w:val="20"/>
          <w:szCs w:val="20"/>
          <w:shd w:val="clear" w:color="auto" w:fill="FFFFFF"/>
        </w:rPr>
        <w:t xml:space="preserve"> </w:t>
      </w:r>
      <w:proofErr w:type="gramStart"/>
      <w:r w:rsidRPr="0092147F">
        <w:rPr>
          <w:rFonts w:ascii="Arial Narrow" w:hAnsi="Arial Narrow" w:cs="Arial"/>
          <w:i/>
          <w:iCs/>
          <w:color w:val="252525"/>
          <w:sz w:val="20"/>
          <w:szCs w:val="20"/>
          <w:shd w:val="clear" w:color="auto" w:fill="FFFFFF"/>
        </w:rPr>
        <w:t>On the use of power laws for estimat</w:t>
      </w:r>
      <w:r>
        <w:rPr>
          <w:rFonts w:ascii="Arial Narrow" w:hAnsi="Arial Narrow" w:cs="Arial"/>
          <w:i/>
          <w:iCs/>
          <w:color w:val="252525"/>
          <w:sz w:val="20"/>
          <w:szCs w:val="20"/>
          <w:shd w:val="clear" w:color="auto" w:fill="FFFFFF"/>
        </w:rPr>
        <w:t xml:space="preserve">ion </w:t>
      </w:r>
      <w:r w:rsidRPr="0092147F">
        <w:rPr>
          <w:rFonts w:ascii="Arial Narrow" w:hAnsi="Arial Narrow" w:cs="Arial"/>
          <w:i/>
          <w:iCs/>
          <w:color w:val="252525"/>
          <w:sz w:val="20"/>
          <w:szCs w:val="20"/>
          <w:shd w:val="clear" w:color="auto" w:fill="FFFFFF"/>
        </w:rPr>
        <w:t>of wind power potential</w:t>
      </w:r>
      <w:r>
        <w:rPr>
          <w:rFonts w:ascii="Arial Narrow" w:hAnsi="Arial Narrow" w:cs="Arial"/>
          <w:i/>
          <w:iCs/>
          <w:color w:val="252525"/>
          <w:sz w:val="20"/>
          <w:szCs w:val="20"/>
          <w:shd w:val="clear" w:color="auto" w:fill="FFFFFF"/>
        </w:rPr>
        <w:t>.</w:t>
      </w:r>
      <w:proofErr w:type="gramEnd"/>
      <w:r w:rsidRPr="0092147F">
        <w:rPr>
          <w:rFonts w:ascii="Arial Narrow" w:hAnsi="Arial Narrow" w:cs="Arial"/>
          <w:color w:val="252525"/>
          <w:sz w:val="20"/>
          <w:szCs w:val="20"/>
          <w:shd w:val="clear" w:color="auto" w:fill="FFFFFF"/>
        </w:rPr>
        <w:t xml:space="preserve"> J</w:t>
      </w:r>
      <w:r>
        <w:rPr>
          <w:rFonts w:ascii="Arial Narrow" w:hAnsi="Arial Narrow" w:cs="Arial"/>
          <w:color w:val="252525"/>
          <w:sz w:val="20"/>
          <w:szCs w:val="20"/>
          <w:shd w:val="clear" w:color="auto" w:fill="FFFFFF"/>
        </w:rPr>
        <w:t xml:space="preserve">ournal of </w:t>
      </w:r>
      <w:r w:rsidRPr="0092147F">
        <w:rPr>
          <w:rFonts w:ascii="Arial Narrow" w:hAnsi="Arial Narrow" w:cs="Arial"/>
          <w:color w:val="252525"/>
          <w:sz w:val="20"/>
          <w:szCs w:val="20"/>
          <w:shd w:val="clear" w:color="auto" w:fill="FFFFFF"/>
        </w:rPr>
        <w:t>Appl</w:t>
      </w:r>
      <w:r>
        <w:rPr>
          <w:rFonts w:ascii="Arial Narrow" w:hAnsi="Arial Narrow" w:cs="Arial"/>
          <w:color w:val="252525"/>
          <w:sz w:val="20"/>
          <w:szCs w:val="20"/>
          <w:shd w:val="clear" w:color="auto" w:fill="FFFFFF"/>
        </w:rPr>
        <w:t xml:space="preserve">ied </w:t>
      </w:r>
      <w:r w:rsidRPr="0092147F">
        <w:rPr>
          <w:rFonts w:ascii="Arial Narrow" w:hAnsi="Arial Narrow" w:cs="Arial"/>
          <w:color w:val="252525"/>
          <w:sz w:val="20"/>
          <w:szCs w:val="20"/>
          <w:shd w:val="clear" w:color="auto" w:fill="FFFFFF"/>
        </w:rPr>
        <w:t>Meteorology, Vol. 17, pp. 390-394</w:t>
      </w:r>
      <w:r>
        <w:rPr>
          <w:rFonts w:ascii="Arial Narrow" w:hAnsi="Arial Narrow" w:cs="Arial"/>
          <w:color w:val="252525"/>
          <w:sz w:val="20"/>
          <w:szCs w:val="20"/>
          <w:shd w:val="clear" w:color="auto" w:fill="FFFFFF"/>
        </w:rPr>
        <w:t>.</w:t>
      </w:r>
    </w:p>
    <w:p w:rsidR="00AA706F" w:rsidRDefault="00AA706F" w:rsidP="003B1283">
      <w:pPr>
        <w:ind w:left="280" w:hanging="283"/>
        <w:jc w:val="both"/>
        <w:rPr>
          <w:rFonts w:ascii="Arial Narrow" w:hAnsi="Arial Narrow" w:cs="Arial"/>
          <w:color w:val="252525"/>
          <w:sz w:val="20"/>
          <w:szCs w:val="20"/>
          <w:shd w:val="clear" w:color="auto" w:fill="FFFFFF"/>
        </w:rPr>
      </w:pPr>
      <w:proofErr w:type="gramStart"/>
      <w:r>
        <w:rPr>
          <w:rFonts w:ascii="Arial Narrow" w:hAnsi="Arial Narrow" w:cs="Arial Narrow"/>
          <w:sz w:val="20"/>
          <w:szCs w:val="20"/>
          <w:lang w:eastAsia="bg-BG" w:bidi="ar-SA"/>
        </w:rPr>
        <w:t>Review of the Gothenburg Protocol.</w:t>
      </w:r>
      <w:proofErr w:type="gramEnd"/>
      <w:r>
        <w:rPr>
          <w:rFonts w:ascii="Arial Narrow" w:hAnsi="Arial Narrow" w:cs="Arial Narrow"/>
          <w:sz w:val="20"/>
          <w:szCs w:val="20"/>
          <w:lang w:eastAsia="bg-BG" w:bidi="ar-SA"/>
        </w:rPr>
        <w:t xml:space="preserve"> 1999. Report of the Task Force on Integrated Assessment </w:t>
      </w:r>
      <w:proofErr w:type="spellStart"/>
      <w:r>
        <w:rPr>
          <w:rFonts w:ascii="Arial Narrow" w:hAnsi="Arial Narrow" w:cs="Arial Narrow"/>
          <w:sz w:val="20"/>
          <w:szCs w:val="20"/>
          <w:lang w:eastAsia="bg-BG" w:bidi="ar-SA"/>
        </w:rPr>
        <w:t>Modelling</w:t>
      </w:r>
      <w:proofErr w:type="spellEnd"/>
      <w:r>
        <w:rPr>
          <w:rFonts w:ascii="Arial Narrow" w:hAnsi="Arial Narrow" w:cs="Arial Narrow"/>
          <w:sz w:val="20"/>
          <w:szCs w:val="20"/>
          <w:lang w:eastAsia="bg-BG" w:bidi="ar-SA"/>
        </w:rPr>
        <w:t xml:space="preserve"> and the Centre for Integrated Assessment </w:t>
      </w:r>
      <w:proofErr w:type="spellStart"/>
      <w:r>
        <w:rPr>
          <w:rFonts w:ascii="Arial Narrow" w:hAnsi="Arial Narrow" w:cs="Arial Narrow"/>
          <w:sz w:val="20"/>
          <w:szCs w:val="20"/>
          <w:lang w:eastAsia="bg-BG" w:bidi="ar-SA"/>
        </w:rPr>
        <w:t>Modelling</w:t>
      </w:r>
      <w:proofErr w:type="spellEnd"/>
      <w:r>
        <w:rPr>
          <w:rFonts w:ascii="Arial Narrow" w:hAnsi="Arial Narrow" w:cs="Arial Narrow"/>
          <w:sz w:val="20"/>
          <w:szCs w:val="20"/>
          <w:lang w:eastAsia="bg-BG" w:bidi="ar-SA"/>
        </w:rPr>
        <w:t>, 1999</w:t>
      </w:r>
    </w:p>
    <w:p w:rsidR="003C621A" w:rsidRDefault="003C621A" w:rsidP="003B1283">
      <w:pPr>
        <w:ind w:left="280" w:hanging="283"/>
        <w:jc w:val="both"/>
        <w:rPr>
          <w:rFonts w:ascii="Arial Narrow" w:hAnsi="Arial Narrow" w:cs="Arial"/>
          <w:i/>
          <w:color w:val="252525"/>
          <w:sz w:val="20"/>
          <w:szCs w:val="20"/>
          <w:shd w:val="clear" w:color="auto" w:fill="FFFFFF"/>
        </w:rPr>
      </w:pPr>
      <w:proofErr w:type="gramStart"/>
      <w:r>
        <w:rPr>
          <w:rFonts w:ascii="Arial Narrow" w:hAnsi="Arial Narrow" w:cs="Arial"/>
          <w:color w:val="252525"/>
          <w:sz w:val="20"/>
          <w:szCs w:val="20"/>
          <w:shd w:val="clear" w:color="auto" w:fill="FFFFFF"/>
        </w:rPr>
        <w:t>South-East European Industrial Market.</w:t>
      </w:r>
      <w:proofErr w:type="gramEnd"/>
      <w:r>
        <w:rPr>
          <w:rFonts w:ascii="Arial Narrow" w:hAnsi="Arial Narrow" w:cs="Arial"/>
          <w:color w:val="252525"/>
          <w:sz w:val="20"/>
          <w:szCs w:val="20"/>
          <w:shd w:val="clear" w:color="auto" w:fill="FFFFFF"/>
        </w:rPr>
        <w:t xml:space="preserve"> 2010. </w:t>
      </w:r>
      <w:r w:rsidRPr="003C621A">
        <w:rPr>
          <w:rFonts w:ascii="Arial Narrow" w:hAnsi="Arial Narrow" w:cs="Arial"/>
          <w:i/>
          <w:color w:val="252525"/>
          <w:sz w:val="20"/>
          <w:szCs w:val="20"/>
          <w:shd w:val="clear" w:color="auto" w:fill="FFFFFF"/>
        </w:rPr>
        <w:t>Thermal plants market in Bulgaria, pp. 7-11 May-June.</w:t>
      </w:r>
    </w:p>
    <w:p w:rsidR="00BC4765" w:rsidRDefault="00BC4765" w:rsidP="003B1283">
      <w:pPr>
        <w:ind w:left="280" w:hanging="283"/>
        <w:jc w:val="both"/>
        <w:rPr>
          <w:rFonts w:ascii="Arial Narrow" w:hAnsi="Arial Narrow" w:cs="Arial Narrow"/>
          <w:i/>
          <w:sz w:val="20"/>
          <w:szCs w:val="20"/>
          <w:lang w:eastAsia="bg-BG" w:bidi="ar-SA"/>
        </w:rPr>
      </w:pPr>
    </w:p>
    <w:p w:rsidR="003B70F9" w:rsidRDefault="003B70F9" w:rsidP="003B1283">
      <w:pPr>
        <w:ind w:left="280" w:hanging="283"/>
        <w:jc w:val="both"/>
        <w:rPr>
          <w:rFonts w:ascii="Arial Narrow" w:hAnsi="Arial Narrow" w:cs="Arial Narrow"/>
          <w:i/>
          <w:sz w:val="20"/>
          <w:szCs w:val="20"/>
          <w:lang w:eastAsia="bg-BG" w:bidi="ar-SA"/>
        </w:rPr>
      </w:pPr>
    </w:p>
    <w:p w:rsidR="003B70F9" w:rsidRDefault="003B70F9" w:rsidP="003B1283">
      <w:pPr>
        <w:ind w:left="280" w:hanging="283"/>
        <w:jc w:val="both"/>
        <w:rPr>
          <w:rFonts w:ascii="Arial Narrow" w:hAnsi="Arial Narrow" w:cs="Arial Narrow"/>
          <w:i/>
          <w:sz w:val="20"/>
          <w:szCs w:val="20"/>
          <w:lang w:eastAsia="bg-BG" w:bidi="ar-SA"/>
        </w:rPr>
      </w:pPr>
    </w:p>
    <w:p w:rsidR="003B70F9" w:rsidRPr="003B70F9" w:rsidRDefault="003B1283" w:rsidP="003B70F9">
      <w:pPr>
        <w:pStyle w:val="Nagl"/>
        <w:jc w:val="both"/>
        <w:rPr>
          <w:rFonts w:ascii="Arial Narrow" w:hAnsi="Arial Narrow"/>
          <w:color w:val="000000"/>
          <w:sz w:val="16"/>
          <w:szCs w:val="16"/>
        </w:rPr>
      </w:pPr>
      <w:r w:rsidRPr="0095527E">
        <w:rPr>
          <w:rFonts w:ascii="Arial Narrow" w:hAnsi="Arial Narrow"/>
          <w:bCs/>
          <w:caps w:val="0"/>
          <w:sz w:val="16"/>
          <w:szCs w:val="16"/>
        </w:rPr>
        <w:t>The article has been</w:t>
      </w:r>
      <w:r w:rsidR="00F255B2">
        <w:rPr>
          <w:rFonts w:ascii="Arial Narrow" w:hAnsi="Arial Narrow"/>
          <w:bCs/>
          <w:caps w:val="0"/>
          <w:sz w:val="16"/>
          <w:szCs w:val="16"/>
        </w:rPr>
        <w:t xml:space="preserve"> reviewed by prof. </w:t>
      </w:r>
      <w:proofErr w:type="spellStart"/>
      <w:r w:rsidR="00F255B2">
        <w:rPr>
          <w:rFonts w:ascii="Arial Narrow" w:hAnsi="Arial Narrow"/>
          <w:bCs/>
          <w:caps w:val="0"/>
          <w:sz w:val="16"/>
          <w:szCs w:val="16"/>
        </w:rPr>
        <w:t>Stoyan</w:t>
      </w:r>
      <w:proofErr w:type="spellEnd"/>
      <w:r w:rsidR="00F255B2">
        <w:rPr>
          <w:rFonts w:ascii="Arial Narrow" w:hAnsi="Arial Narrow"/>
          <w:bCs/>
          <w:caps w:val="0"/>
          <w:sz w:val="16"/>
          <w:szCs w:val="16"/>
        </w:rPr>
        <w:t xml:space="preserve"> </w:t>
      </w:r>
      <w:proofErr w:type="spellStart"/>
      <w:r w:rsidR="00F255B2">
        <w:rPr>
          <w:rFonts w:ascii="Arial Narrow" w:hAnsi="Arial Narrow"/>
          <w:bCs/>
          <w:caps w:val="0"/>
          <w:sz w:val="16"/>
          <w:szCs w:val="16"/>
        </w:rPr>
        <w:t>Groudev</w:t>
      </w:r>
      <w:proofErr w:type="spellEnd"/>
      <w:r w:rsidR="00F255B2">
        <w:rPr>
          <w:rFonts w:ascii="Arial Narrow" w:hAnsi="Arial Narrow"/>
          <w:bCs/>
          <w:caps w:val="0"/>
          <w:sz w:val="16"/>
          <w:szCs w:val="16"/>
        </w:rPr>
        <w:t xml:space="preserve">. </w:t>
      </w:r>
    </w:p>
    <w:p w:rsidR="00E10A9A" w:rsidRPr="0092147F" w:rsidRDefault="00E10A9A" w:rsidP="003B1283">
      <w:pPr>
        <w:ind w:left="280" w:hanging="283"/>
        <w:jc w:val="both"/>
        <w:rPr>
          <w:i/>
        </w:rPr>
        <w:sectPr w:rsidR="00E10A9A" w:rsidRPr="0092147F" w:rsidSect="003B1283">
          <w:type w:val="continuous"/>
          <w:pgSz w:w="11906" w:h="16838" w:code="9"/>
          <w:pgMar w:top="1021" w:right="1134" w:bottom="1247" w:left="1134" w:header="720" w:footer="794" w:gutter="0"/>
          <w:cols w:num="2" w:space="454"/>
          <w:docGrid w:linePitch="240"/>
        </w:sectPr>
      </w:pPr>
    </w:p>
    <w:p w:rsidR="00722CA1" w:rsidRDefault="00722CA1" w:rsidP="003B1283"/>
    <w:sectPr w:rsidR="00722CA1" w:rsidSect="003B1283">
      <w:type w:val="continuous"/>
      <w:pgSz w:w="11906" w:h="16838" w:code="9"/>
      <w:pgMar w:top="1021" w:right="1134" w:bottom="1247" w:left="1134" w:header="720" w:footer="794"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21" w:rsidRDefault="00E23B21" w:rsidP="003B1283">
      <w:r>
        <w:separator/>
      </w:r>
    </w:p>
  </w:endnote>
  <w:endnote w:type="continuationSeparator" w:id="0">
    <w:p w:rsidR="00E23B21" w:rsidRDefault="00E23B21" w:rsidP="003B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PL">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12195"/>
      <w:docPartObj>
        <w:docPartGallery w:val="Page Numbers (Bottom of Page)"/>
        <w:docPartUnique/>
      </w:docPartObj>
    </w:sdtPr>
    <w:sdtEndPr>
      <w:rPr>
        <w:rFonts w:ascii="Arial" w:hAnsi="Arial" w:cs="Arial"/>
        <w:noProof/>
        <w:sz w:val="20"/>
        <w:szCs w:val="20"/>
      </w:rPr>
    </w:sdtEndPr>
    <w:sdtContent>
      <w:p w:rsidR="00D35161" w:rsidRPr="003B1283" w:rsidRDefault="00D35161" w:rsidP="003B1283">
        <w:pPr>
          <w:pStyle w:val="Footer"/>
          <w:jc w:val="center"/>
          <w:rPr>
            <w:rFonts w:ascii="Arial" w:hAnsi="Arial" w:cs="Arial"/>
            <w:sz w:val="20"/>
            <w:szCs w:val="20"/>
          </w:rPr>
        </w:pPr>
        <w:r w:rsidRPr="003B1283">
          <w:rPr>
            <w:rFonts w:ascii="Arial" w:hAnsi="Arial" w:cs="Arial"/>
            <w:sz w:val="20"/>
            <w:szCs w:val="20"/>
          </w:rPr>
          <w:fldChar w:fldCharType="begin"/>
        </w:r>
        <w:r w:rsidRPr="003B1283">
          <w:rPr>
            <w:rFonts w:ascii="Arial" w:hAnsi="Arial" w:cs="Arial"/>
            <w:sz w:val="20"/>
            <w:szCs w:val="20"/>
          </w:rPr>
          <w:instrText xml:space="preserve"> PAGE   \* MERGEFORMAT </w:instrText>
        </w:r>
        <w:r w:rsidRPr="003B1283">
          <w:rPr>
            <w:rFonts w:ascii="Arial" w:hAnsi="Arial" w:cs="Arial"/>
            <w:sz w:val="20"/>
            <w:szCs w:val="20"/>
          </w:rPr>
          <w:fldChar w:fldCharType="separate"/>
        </w:r>
        <w:r w:rsidR="00937121">
          <w:rPr>
            <w:rFonts w:ascii="Arial" w:hAnsi="Arial" w:cs="Arial"/>
            <w:noProof/>
            <w:sz w:val="20"/>
            <w:szCs w:val="20"/>
          </w:rPr>
          <w:t>95</w:t>
        </w:r>
        <w:r w:rsidRPr="003B1283">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21" w:rsidRDefault="00E23B21" w:rsidP="003B1283">
      <w:r>
        <w:separator/>
      </w:r>
    </w:p>
  </w:footnote>
  <w:footnote w:type="continuationSeparator" w:id="0">
    <w:p w:rsidR="00E23B21" w:rsidRDefault="00E23B21" w:rsidP="003B1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numFmt w:val="decimal"/>
      <w:lvlText w:val="%2"/>
      <w:lvlJc w:val="left"/>
      <w:pPr>
        <w:tabs>
          <w:tab w:val="num" w:pos="0"/>
        </w:tabs>
        <w:ind w:left="1080" w:hanging="360"/>
      </w:pPr>
    </w:lvl>
    <w:lvl w:ilvl="2">
      <w:numFmt w:val="decimal"/>
      <w:lvlText w:val="%3"/>
      <w:lvlJc w:val="left"/>
      <w:pPr>
        <w:tabs>
          <w:tab w:val="num" w:pos="0"/>
        </w:tabs>
        <w:ind w:left="1440" w:hanging="360"/>
      </w:pPr>
    </w:lvl>
    <w:lvl w:ilvl="3">
      <w:numFmt w:val="decimal"/>
      <w:lvlText w:val="%4"/>
      <w:lvlJc w:val="left"/>
      <w:pPr>
        <w:tabs>
          <w:tab w:val="num" w:pos="0"/>
        </w:tabs>
        <w:ind w:left="1800" w:hanging="360"/>
      </w:pPr>
    </w:lvl>
    <w:lvl w:ilvl="4">
      <w:numFmt w:val="decimal"/>
      <w:lvlText w:val="%5"/>
      <w:lvlJc w:val="left"/>
      <w:pPr>
        <w:tabs>
          <w:tab w:val="num" w:pos="0"/>
        </w:tabs>
        <w:ind w:left="2160" w:hanging="360"/>
      </w:pPr>
    </w:lvl>
    <w:lvl w:ilvl="5">
      <w:numFmt w:val="decimal"/>
      <w:lvlText w:val="%6"/>
      <w:lvlJc w:val="left"/>
      <w:pPr>
        <w:tabs>
          <w:tab w:val="num" w:pos="0"/>
        </w:tabs>
        <w:ind w:left="2520" w:hanging="360"/>
      </w:pPr>
    </w:lvl>
    <w:lvl w:ilvl="6">
      <w:numFmt w:val="decimal"/>
      <w:lvlText w:val="%7"/>
      <w:lvlJc w:val="left"/>
      <w:pPr>
        <w:tabs>
          <w:tab w:val="num" w:pos="0"/>
        </w:tabs>
        <w:ind w:left="2880" w:hanging="360"/>
      </w:pPr>
    </w:lvl>
    <w:lvl w:ilvl="7">
      <w:numFmt w:val="decimal"/>
      <w:lvlText w:val="%8"/>
      <w:lvlJc w:val="left"/>
      <w:pPr>
        <w:tabs>
          <w:tab w:val="num" w:pos="0"/>
        </w:tabs>
        <w:ind w:left="3240" w:hanging="360"/>
      </w:pPr>
    </w:lvl>
    <w:lvl w:ilvl="8">
      <w:numFmt w:val="decimal"/>
      <w:lvlText w:val="%9"/>
      <w:lvlJc w:val="left"/>
      <w:pPr>
        <w:tabs>
          <w:tab w:val="num" w:pos="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B43729"/>
    <w:multiLevelType w:val="hybridMultilevel"/>
    <w:tmpl w:val="B5564B7C"/>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
    <w:nsid w:val="3BB13667"/>
    <w:multiLevelType w:val="multilevel"/>
    <w:tmpl w:val="8ED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47405C"/>
    <w:multiLevelType w:val="hybridMultilevel"/>
    <w:tmpl w:val="B5564B7C"/>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5">
    <w:nsid w:val="56791DA9"/>
    <w:multiLevelType w:val="hybridMultilevel"/>
    <w:tmpl w:val="45F4F29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EF"/>
    <w:rsid w:val="0000331F"/>
    <w:rsid w:val="00004206"/>
    <w:rsid w:val="00007F08"/>
    <w:rsid w:val="00010E28"/>
    <w:rsid w:val="000136A8"/>
    <w:rsid w:val="000161CF"/>
    <w:rsid w:val="00020EAA"/>
    <w:rsid w:val="000265AC"/>
    <w:rsid w:val="00031254"/>
    <w:rsid w:val="00031956"/>
    <w:rsid w:val="00032E41"/>
    <w:rsid w:val="00035694"/>
    <w:rsid w:val="000458D6"/>
    <w:rsid w:val="0005006B"/>
    <w:rsid w:val="00050CE0"/>
    <w:rsid w:val="00055DCB"/>
    <w:rsid w:val="000603C5"/>
    <w:rsid w:val="000677A5"/>
    <w:rsid w:val="00075E89"/>
    <w:rsid w:val="00076434"/>
    <w:rsid w:val="00082BA8"/>
    <w:rsid w:val="00084111"/>
    <w:rsid w:val="00087774"/>
    <w:rsid w:val="000A73E4"/>
    <w:rsid w:val="000A755E"/>
    <w:rsid w:val="000B4A77"/>
    <w:rsid w:val="000B7530"/>
    <w:rsid w:val="000C681F"/>
    <w:rsid w:val="000D126A"/>
    <w:rsid w:val="000D1708"/>
    <w:rsid w:val="000D355E"/>
    <w:rsid w:val="000D4D47"/>
    <w:rsid w:val="000D74BA"/>
    <w:rsid w:val="000D75F6"/>
    <w:rsid w:val="000E7159"/>
    <w:rsid w:val="000F5C07"/>
    <w:rsid w:val="000F6DE7"/>
    <w:rsid w:val="001038BC"/>
    <w:rsid w:val="00113A61"/>
    <w:rsid w:val="00117987"/>
    <w:rsid w:val="00120520"/>
    <w:rsid w:val="0012647A"/>
    <w:rsid w:val="00135AA1"/>
    <w:rsid w:val="00143D1E"/>
    <w:rsid w:val="001476CF"/>
    <w:rsid w:val="0017686B"/>
    <w:rsid w:val="0018366C"/>
    <w:rsid w:val="00183919"/>
    <w:rsid w:val="00186259"/>
    <w:rsid w:val="00191DC4"/>
    <w:rsid w:val="001A0CA6"/>
    <w:rsid w:val="001A2D09"/>
    <w:rsid w:val="001A46AA"/>
    <w:rsid w:val="001B3763"/>
    <w:rsid w:val="001B7D77"/>
    <w:rsid w:val="001C3A5F"/>
    <w:rsid w:val="001D1CC3"/>
    <w:rsid w:val="001D3F3A"/>
    <w:rsid w:val="001D7381"/>
    <w:rsid w:val="001E0D29"/>
    <w:rsid w:val="001E4627"/>
    <w:rsid w:val="001F1AEF"/>
    <w:rsid w:val="00203083"/>
    <w:rsid w:val="002105FF"/>
    <w:rsid w:val="00210DF9"/>
    <w:rsid w:val="00211B74"/>
    <w:rsid w:val="002129AF"/>
    <w:rsid w:val="00215A55"/>
    <w:rsid w:val="00220FB1"/>
    <w:rsid w:val="00230824"/>
    <w:rsid w:val="00230D08"/>
    <w:rsid w:val="00233745"/>
    <w:rsid w:val="002374A3"/>
    <w:rsid w:val="002379B2"/>
    <w:rsid w:val="00246F08"/>
    <w:rsid w:val="00253B6B"/>
    <w:rsid w:val="00254ACF"/>
    <w:rsid w:val="00263DD9"/>
    <w:rsid w:val="00263E6B"/>
    <w:rsid w:val="00264A76"/>
    <w:rsid w:val="002674C2"/>
    <w:rsid w:val="00267D1E"/>
    <w:rsid w:val="00272AB5"/>
    <w:rsid w:val="00284962"/>
    <w:rsid w:val="00286A9A"/>
    <w:rsid w:val="00292252"/>
    <w:rsid w:val="00292447"/>
    <w:rsid w:val="002929BC"/>
    <w:rsid w:val="002B3A7C"/>
    <w:rsid w:val="002B4393"/>
    <w:rsid w:val="002B7218"/>
    <w:rsid w:val="002B75DF"/>
    <w:rsid w:val="002C36CE"/>
    <w:rsid w:val="002C5CDF"/>
    <w:rsid w:val="002D4AAF"/>
    <w:rsid w:val="002D58B5"/>
    <w:rsid w:val="002D64A7"/>
    <w:rsid w:val="002D66B9"/>
    <w:rsid w:val="002D76C5"/>
    <w:rsid w:val="002E0FCA"/>
    <w:rsid w:val="002E742F"/>
    <w:rsid w:val="002F0581"/>
    <w:rsid w:val="002F1B9E"/>
    <w:rsid w:val="002F2984"/>
    <w:rsid w:val="002F6231"/>
    <w:rsid w:val="00300541"/>
    <w:rsid w:val="00300EB9"/>
    <w:rsid w:val="003104C9"/>
    <w:rsid w:val="003134CF"/>
    <w:rsid w:val="00313A6A"/>
    <w:rsid w:val="00315039"/>
    <w:rsid w:val="0031786A"/>
    <w:rsid w:val="00321865"/>
    <w:rsid w:val="00321925"/>
    <w:rsid w:val="0033304A"/>
    <w:rsid w:val="003371F0"/>
    <w:rsid w:val="00342E1F"/>
    <w:rsid w:val="00343B0F"/>
    <w:rsid w:val="00351ED5"/>
    <w:rsid w:val="00364B4F"/>
    <w:rsid w:val="00364BAC"/>
    <w:rsid w:val="00366D1B"/>
    <w:rsid w:val="003716F3"/>
    <w:rsid w:val="00376762"/>
    <w:rsid w:val="00380439"/>
    <w:rsid w:val="0038267B"/>
    <w:rsid w:val="00383FFA"/>
    <w:rsid w:val="003910C4"/>
    <w:rsid w:val="00396DE2"/>
    <w:rsid w:val="00397B91"/>
    <w:rsid w:val="003A3E13"/>
    <w:rsid w:val="003A3E3B"/>
    <w:rsid w:val="003A5694"/>
    <w:rsid w:val="003B1283"/>
    <w:rsid w:val="003B1E55"/>
    <w:rsid w:val="003B70F9"/>
    <w:rsid w:val="003C0C08"/>
    <w:rsid w:val="003C1FFF"/>
    <w:rsid w:val="003C2190"/>
    <w:rsid w:val="003C621A"/>
    <w:rsid w:val="003D01F2"/>
    <w:rsid w:val="003D0AEA"/>
    <w:rsid w:val="003D1C69"/>
    <w:rsid w:val="003D76C0"/>
    <w:rsid w:val="003E25B6"/>
    <w:rsid w:val="00407F5E"/>
    <w:rsid w:val="0041095B"/>
    <w:rsid w:val="004165F1"/>
    <w:rsid w:val="00416E45"/>
    <w:rsid w:val="00421A3B"/>
    <w:rsid w:val="004361E7"/>
    <w:rsid w:val="00436943"/>
    <w:rsid w:val="00451B10"/>
    <w:rsid w:val="004546D7"/>
    <w:rsid w:val="0045475B"/>
    <w:rsid w:val="00454D53"/>
    <w:rsid w:val="00462D2C"/>
    <w:rsid w:val="004633F6"/>
    <w:rsid w:val="0046575C"/>
    <w:rsid w:val="00466403"/>
    <w:rsid w:val="00470239"/>
    <w:rsid w:val="00472637"/>
    <w:rsid w:val="00472F86"/>
    <w:rsid w:val="00487B77"/>
    <w:rsid w:val="00495169"/>
    <w:rsid w:val="00497AF2"/>
    <w:rsid w:val="004A1F6E"/>
    <w:rsid w:val="004A3E91"/>
    <w:rsid w:val="004B1197"/>
    <w:rsid w:val="004B1659"/>
    <w:rsid w:val="004B239F"/>
    <w:rsid w:val="004C30D0"/>
    <w:rsid w:val="004C3A83"/>
    <w:rsid w:val="004C4E6B"/>
    <w:rsid w:val="004C6E15"/>
    <w:rsid w:val="004D58C1"/>
    <w:rsid w:val="004D77B1"/>
    <w:rsid w:val="004E5E04"/>
    <w:rsid w:val="004E7F36"/>
    <w:rsid w:val="005057EE"/>
    <w:rsid w:val="005102C3"/>
    <w:rsid w:val="005217D1"/>
    <w:rsid w:val="00522BA1"/>
    <w:rsid w:val="00523473"/>
    <w:rsid w:val="00524A83"/>
    <w:rsid w:val="00525A08"/>
    <w:rsid w:val="005270E4"/>
    <w:rsid w:val="00533425"/>
    <w:rsid w:val="0054026E"/>
    <w:rsid w:val="00542D7D"/>
    <w:rsid w:val="00544B3F"/>
    <w:rsid w:val="0055456D"/>
    <w:rsid w:val="00556A60"/>
    <w:rsid w:val="00561C9A"/>
    <w:rsid w:val="00562A03"/>
    <w:rsid w:val="005630F5"/>
    <w:rsid w:val="00565001"/>
    <w:rsid w:val="00565559"/>
    <w:rsid w:val="0056567F"/>
    <w:rsid w:val="005656D2"/>
    <w:rsid w:val="00571DD9"/>
    <w:rsid w:val="0058402B"/>
    <w:rsid w:val="00592DE3"/>
    <w:rsid w:val="005A2C30"/>
    <w:rsid w:val="005C4990"/>
    <w:rsid w:val="005C5D14"/>
    <w:rsid w:val="005C7D70"/>
    <w:rsid w:val="005D28FD"/>
    <w:rsid w:val="005D3869"/>
    <w:rsid w:val="005D5F9B"/>
    <w:rsid w:val="005D754F"/>
    <w:rsid w:val="005E3D52"/>
    <w:rsid w:val="005F2E0A"/>
    <w:rsid w:val="005F5970"/>
    <w:rsid w:val="00602AF5"/>
    <w:rsid w:val="0060330D"/>
    <w:rsid w:val="00604FAA"/>
    <w:rsid w:val="00606EFF"/>
    <w:rsid w:val="006119F1"/>
    <w:rsid w:val="0061594F"/>
    <w:rsid w:val="00616B1E"/>
    <w:rsid w:val="006178DC"/>
    <w:rsid w:val="00634C97"/>
    <w:rsid w:val="00637159"/>
    <w:rsid w:val="00642ACF"/>
    <w:rsid w:val="0064482E"/>
    <w:rsid w:val="006470EE"/>
    <w:rsid w:val="0065113C"/>
    <w:rsid w:val="00656395"/>
    <w:rsid w:val="00663335"/>
    <w:rsid w:val="006642C0"/>
    <w:rsid w:val="0066722B"/>
    <w:rsid w:val="00673F19"/>
    <w:rsid w:val="00686F45"/>
    <w:rsid w:val="00695A70"/>
    <w:rsid w:val="00697122"/>
    <w:rsid w:val="006A34E7"/>
    <w:rsid w:val="006B0BEF"/>
    <w:rsid w:val="006D27B3"/>
    <w:rsid w:val="006D71A0"/>
    <w:rsid w:val="006E2803"/>
    <w:rsid w:val="006F0895"/>
    <w:rsid w:val="006F356E"/>
    <w:rsid w:val="006F6846"/>
    <w:rsid w:val="006F7AC1"/>
    <w:rsid w:val="006F7B25"/>
    <w:rsid w:val="00710653"/>
    <w:rsid w:val="00716A0A"/>
    <w:rsid w:val="007208F9"/>
    <w:rsid w:val="00721506"/>
    <w:rsid w:val="00722CA1"/>
    <w:rsid w:val="007269CA"/>
    <w:rsid w:val="00733D09"/>
    <w:rsid w:val="00734559"/>
    <w:rsid w:val="00742ED7"/>
    <w:rsid w:val="00743A0E"/>
    <w:rsid w:val="0074633B"/>
    <w:rsid w:val="007470B3"/>
    <w:rsid w:val="00754A81"/>
    <w:rsid w:val="0075571C"/>
    <w:rsid w:val="0075712D"/>
    <w:rsid w:val="007605BB"/>
    <w:rsid w:val="00764DDD"/>
    <w:rsid w:val="0078054D"/>
    <w:rsid w:val="0079333B"/>
    <w:rsid w:val="00795D08"/>
    <w:rsid w:val="007A7742"/>
    <w:rsid w:val="007B7550"/>
    <w:rsid w:val="007C180B"/>
    <w:rsid w:val="007D07E3"/>
    <w:rsid w:val="007D1371"/>
    <w:rsid w:val="007D38BC"/>
    <w:rsid w:val="007D69B8"/>
    <w:rsid w:val="007E1121"/>
    <w:rsid w:val="007E298B"/>
    <w:rsid w:val="007E4C5A"/>
    <w:rsid w:val="007E581A"/>
    <w:rsid w:val="007F36F0"/>
    <w:rsid w:val="007F7FC3"/>
    <w:rsid w:val="00800E21"/>
    <w:rsid w:val="00802A92"/>
    <w:rsid w:val="00822832"/>
    <w:rsid w:val="00822B0D"/>
    <w:rsid w:val="00827621"/>
    <w:rsid w:val="008371A9"/>
    <w:rsid w:val="0084017A"/>
    <w:rsid w:val="00840D10"/>
    <w:rsid w:val="0084482F"/>
    <w:rsid w:val="0084778E"/>
    <w:rsid w:val="00850AAF"/>
    <w:rsid w:val="00856CDF"/>
    <w:rsid w:val="008576CA"/>
    <w:rsid w:val="0087098F"/>
    <w:rsid w:val="00876CFC"/>
    <w:rsid w:val="00885C9C"/>
    <w:rsid w:val="00885D4C"/>
    <w:rsid w:val="00893CB3"/>
    <w:rsid w:val="008943D4"/>
    <w:rsid w:val="008A1EFE"/>
    <w:rsid w:val="008A4316"/>
    <w:rsid w:val="008B38C8"/>
    <w:rsid w:val="008B4DC3"/>
    <w:rsid w:val="008B5FBA"/>
    <w:rsid w:val="008C0549"/>
    <w:rsid w:val="008C0CA1"/>
    <w:rsid w:val="008C64FC"/>
    <w:rsid w:val="008C6EB9"/>
    <w:rsid w:val="008C7A90"/>
    <w:rsid w:val="008D390C"/>
    <w:rsid w:val="008F136C"/>
    <w:rsid w:val="008F1CC8"/>
    <w:rsid w:val="008F2FBF"/>
    <w:rsid w:val="008F3FCC"/>
    <w:rsid w:val="008F6EAE"/>
    <w:rsid w:val="00900989"/>
    <w:rsid w:val="0091326C"/>
    <w:rsid w:val="00915C68"/>
    <w:rsid w:val="00916714"/>
    <w:rsid w:val="0092147F"/>
    <w:rsid w:val="00930869"/>
    <w:rsid w:val="00937121"/>
    <w:rsid w:val="009377E5"/>
    <w:rsid w:val="009419CC"/>
    <w:rsid w:val="00945D51"/>
    <w:rsid w:val="0094636C"/>
    <w:rsid w:val="00954DC9"/>
    <w:rsid w:val="00955A20"/>
    <w:rsid w:val="00955BEB"/>
    <w:rsid w:val="00957F8F"/>
    <w:rsid w:val="00961055"/>
    <w:rsid w:val="0097160A"/>
    <w:rsid w:val="00975C60"/>
    <w:rsid w:val="00976E6E"/>
    <w:rsid w:val="00980266"/>
    <w:rsid w:val="00981F1C"/>
    <w:rsid w:val="009840B2"/>
    <w:rsid w:val="00992994"/>
    <w:rsid w:val="009945F0"/>
    <w:rsid w:val="009A56FD"/>
    <w:rsid w:val="009B308C"/>
    <w:rsid w:val="009B677E"/>
    <w:rsid w:val="009B6A37"/>
    <w:rsid w:val="009B74BC"/>
    <w:rsid w:val="009B79D1"/>
    <w:rsid w:val="009C20F5"/>
    <w:rsid w:val="009C5E74"/>
    <w:rsid w:val="009D222B"/>
    <w:rsid w:val="009D7B21"/>
    <w:rsid w:val="009F431C"/>
    <w:rsid w:val="009F4658"/>
    <w:rsid w:val="00A016DA"/>
    <w:rsid w:val="00A0508D"/>
    <w:rsid w:val="00A07D68"/>
    <w:rsid w:val="00A177D5"/>
    <w:rsid w:val="00A21FC7"/>
    <w:rsid w:val="00A25A48"/>
    <w:rsid w:val="00A323B8"/>
    <w:rsid w:val="00A409B2"/>
    <w:rsid w:val="00A53109"/>
    <w:rsid w:val="00A57D4E"/>
    <w:rsid w:val="00A674BD"/>
    <w:rsid w:val="00A70788"/>
    <w:rsid w:val="00A766B5"/>
    <w:rsid w:val="00A93FD1"/>
    <w:rsid w:val="00A946D6"/>
    <w:rsid w:val="00A957D5"/>
    <w:rsid w:val="00AA706F"/>
    <w:rsid w:val="00AA73A0"/>
    <w:rsid w:val="00AC2B24"/>
    <w:rsid w:val="00AC659D"/>
    <w:rsid w:val="00AD3C5B"/>
    <w:rsid w:val="00AF0F8F"/>
    <w:rsid w:val="00B01E58"/>
    <w:rsid w:val="00B03794"/>
    <w:rsid w:val="00B0586C"/>
    <w:rsid w:val="00B12B2A"/>
    <w:rsid w:val="00B13808"/>
    <w:rsid w:val="00B21800"/>
    <w:rsid w:val="00B2305C"/>
    <w:rsid w:val="00B25C4B"/>
    <w:rsid w:val="00B31EC4"/>
    <w:rsid w:val="00B469FA"/>
    <w:rsid w:val="00B54302"/>
    <w:rsid w:val="00B640FA"/>
    <w:rsid w:val="00B651A3"/>
    <w:rsid w:val="00B716C4"/>
    <w:rsid w:val="00B71764"/>
    <w:rsid w:val="00B75D4D"/>
    <w:rsid w:val="00B824DF"/>
    <w:rsid w:val="00B82FC1"/>
    <w:rsid w:val="00B832CB"/>
    <w:rsid w:val="00B847E4"/>
    <w:rsid w:val="00B971A7"/>
    <w:rsid w:val="00BA1003"/>
    <w:rsid w:val="00BA1F21"/>
    <w:rsid w:val="00BA5818"/>
    <w:rsid w:val="00BA63BC"/>
    <w:rsid w:val="00BA6D14"/>
    <w:rsid w:val="00BB3478"/>
    <w:rsid w:val="00BB4346"/>
    <w:rsid w:val="00BB5745"/>
    <w:rsid w:val="00BC1512"/>
    <w:rsid w:val="00BC1686"/>
    <w:rsid w:val="00BC4765"/>
    <w:rsid w:val="00BE2940"/>
    <w:rsid w:val="00BF0416"/>
    <w:rsid w:val="00BF0BFB"/>
    <w:rsid w:val="00BF41B8"/>
    <w:rsid w:val="00BF68F0"/>
    <w:rsid w:val="00BF7CA6"/>
    <w:rsid w:val="00BF7D96"/>
    <w:rsid w:val="00C0562D"/>
    <w:rsid w:val="00C17727"/>
    <w:rsid w:val="00C17C72"/>
    <w:rsid w:val="00C17E3E"/>
    <w:rsid w:val="00C20B81"/>
    <w:rsid w:val="00C20E87"/>
    <w:rsid w:val="00C33316"/>
    <w:rsid w:val="00C33C96"/>
    <w:rsid w:val="00C364C7"/>
    <w:rsid w:val="00C3792C"/>
    <w:rsid w:val="00C40093"/>
    <w:rsid w:val="00C46807"/>
    <w:rsid w:val="00C52BCA"/>
    <w:rsid w:val="00C719DC"/>
    <w:rsid w:val="00C71A0A"/>
    <w:rsid w:val="00C76439"/>
    <w:rsid w:val="00C8537A"/>
    <w:rsid w:val="00C925A3"/>
    <w:rsid w:val="00C92971"/>
    <w:rsid w:val="00CA0CFD"/>
    <w:rsid w:val="00CA2833"/>
    <w:rsid w:val="00CA735C"/>
    <w:rsid w:val="00CC0F60"/>
    <w:rsid w:val="00CC65ED"/>
    <w:rsid w:val="00CC7090"/>
    <w:rsid w:val="00CD2D41"/>
    <w:rsid w:val="00CD3D39"/>
    <w:rsid w:val="00CD733A"/>
    <w:rsid w:val="00CE04B3"/>
    <w:rsid w:val="00CE058A"/>
    <w:rsid w:val="00CE1EA5"/>
    <w:rsid w:val="00CE2979"/>
    <w:rsid w:val="00CF76AA"/>
    <w:rsid w:val="00D007F5"/>
    <w:rsid w:val="00D06581"/>
    <w:rsid w:val="00D06870"/>
    <w:rsid w:val="00D11CE3"/>
    <w:rsid w:val="00D15F91"/>
    <w:rsid w:val="00D2786B"/>
    <w:rsid w:val="00D306DA"/>
    <w:rsid w:val="00D35161"/>
    <w:rsid w:val="00D37FE3"/>
    <w:rsid w:val="00D43EA7"/>
    <w:rsid w:val="00D50CCD"/>
    <w:rsid w:val="00D542D9"/>
    <w:rsid w:val="00D54AA5"/>
    <w:rsid w:val="00D6167B"/>
    <w:rsid w:val="00D624EC"/>
    <w:rsid w:val="00D62C61"/>
    <w:rsid w:val="00D66A09"/>
    <w:rsid w:val="00D70E92"/>
    <w:rsid w:val="00D802C2"/>
    <w:rsid w:val="00D82C66"/>
    <w:rsid w:val="00D82DA5"/>
    <w:rsid w:val="00D83E33"/>
    <w:rsid w:val="00D848C6"/>
    <w:rsid w:val="00D84B25"/>
    <w:rsid w:val="00D86CAE"/>
    <w:rsid w:val="00D91BED"/>
    <w:rsid w:val="00D96916"/>
    <w:rsid w:val="00D96E1B"/>
    <w:rsid w:val="00DA33C1"/>
    <w:rsid w:val="00DA7225"/>
    <w:rsid w:val="00DC37A6"/>
    <w:rsid w:val="00DC53E3"/>
    <w:rsid w:val="00DD1392"/>
    <w:rsid w:val="00DF1F40"/>
    <w:rsid w:val="00E01A64"/>
    <w:rsid w:val="00E02825"/>
    <w:rsid w:val="00E02A0F"/>
    <w:rsid w:val="00E03CFC"/>
    <w:rsid w:val="00E058D4"/>
    <w:rsid w:val="00E10A9A"/>
    <w:rsid w:val="00E10DB7"/>
    <w:rsid w:val="00E11D18"/>
    <w:rsid w:val="00E12E37"/>
    <w:rsid w:val="00E17457"/>
    <w:rsid w:val="00E23B21"/>
    <w:rsid w:val="00E266A3"/>
    <w:rsid w:val="00E44928"/>
    <w:rsid w:val="00E47966"/>
    <w:rsid w:val="00E479B2"/>
    <w:rsid w:val="00E47C04"/>
    <w:rsid w:val="00E50B06"/>
    <w:rsid w:val="00E5449E"/>
    <w:rsid w:val="00E55000"/>
    <w:rsid w:val="00E62CF7"/>
    <w:rsid w:val="00E6445D"/>
    <w:rsid w:val="00E66630"/>
    <w:rsid w:val="00E66B54"/>
    <w:rsid w:val="00E717C8"/>
    <w:rsid w:val="00E80520"/>
    <w:rsid w:val="00E82403"/>
    <w:rsid w:val="00E8267B"/>
    <w:rsid w:val="00E8554B"/>
    <w:rsid w:val="00E86F1E"/>
    <w:rsid w:val="00E875B9"/>
    <w:rsid w:val="00EA36BB"/>
    <w:rsid w:val="00EB20AB"/>
    <w:rsid w:val="00EB52B0"/>
    <w:rsid w:val="00EC13A7"/>
    <w:rsid w:val="00EC619C"/>
    <w:rsid w:val="00EC71A7"/>
    <w:rsid w:val="00ED1DBA"/>
    <w:rsid w:val="00ED2337"/>
    <w:rsid w:val="00EE0C8D"/>
    <w:rsid w:val="00EE3769"/>
    <w:rsid w:val="00EE4474"/>
    <w:rsid w:val="00EE45BD"/>
    <w:rsid w:val="00EE6482"/>
    <w:rsid w:val="00EF2B79"/>
    <w:rsid w:val="00F00070"/>
    <w:rsid w:val="00F0082A"/>
    <w:rsid w:val="00F02B19"/>
    <w:rsid w:val="00F07BE1"/>
    <w:rsid w:val="00F10012"/>
    <w:rsid w:val="00F13134"/>
    <w:rsid w:val="00F200C4"/>
    <w:rsid w:val="00F253ED"/>
    <w:rsid w:val="00F255B2"/>
    <w:rsid w:val="00F4037A"/>
    <w:rsid w:val="00F43ECD"/>
    <w:rsid w:val="00F470C2"/>
    <w:rsid w:val="00F50A8D"/>
    <w:rsid w:val="00F51AA5"/>
    <w:rsid w:val="00F54F09"/>
    <w:rsid w:val="00F565A9"/>
    <w:rsid w:val="00F677CA"/>
    <w:rsid w:val="00F71D04"/>
    <w:rsid w:val="00F7404E"/>
    <w:rsid w:val="00F854BB"/>
    <w:rsid w:val="00F91230"/>
    <w:rsid w:val="00F9152A"/>
    <w:rsid w:val="00F91B76"/>
    <w:rsid w:val="00FA32A8"/>
    <w:rsid w:val="00FA6FF1"/>
    <w:rsid w:val="00FA7E66"/>
    <w:rsid w:val="00FB2916"/>
    <w:rsid w:val="00FC7235"/>
    <w:rsid w:val="00FD6CA3"/>
    <w:rsid w:val="00FE0574"/>
    <w:rsid w:val="00FE1221"/>
    <w:rsid w:val="00FE3E61"/>
    <w:rsid w:val="00FE629A"/>
    <w:rsid w:val="00FE6770"/>
    <w:rsid w:val="00FE7749"/>
    <w:rsid w:val="00FF21B6"/>
    <w:rsid w:val="00FF3407"/>
    <w:rsid w:val="00FF3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table" w:styleId="TableGrid">
    <w:name w:val="Table Grid"/>
    <w:basedOn w:val="TableNormal"/>
    <w:uiPriority w:val="59"/>
    <w:rsid w:val="008F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2147F"/>
  </w:style>
  <w:style w:type="paragraph" w:styleId="BalloonText">
    <w:name w:val="Balloon Text"/>
    <w:basedOn w:val="Normal"/>
    <w:link w:val="BalloonTextChar"/>
    <w:uiPriority w:val="99"/>
    <w:semiHidden/>
    <w:unhideWhenUsed/>
    <w:rsid w:val="00D43EA7"/>
    <w:rPr>
      <w:rFonts w:ascii="Tahoma" w:hAnsi="Tahoma"/>
      <w:sz w:val="16"/>
      <w:szCs w:val="14"/>
    </w:rPr>
  </w:style>
  <w:style w:type="character" w:customStyle="1" w:styleId="BalloonTextChar">
    <w:name w:val="Balloon Text Char"/>
    <w:basedOn w:val="DefaultParagraphFont"/>
    <w:link w:val="BalloonText"/>
    <w:uiPriority w:val="99"/>
    <w:semiHidden/>
    <w:rsid w:val="00D43EA7"/>
    <w:rPr>
      <w:rFonts w:ascii="Tahoma" w:eastAsia="Arial Unicode MS" w:hAnsi="Tahoma" w:cs="Mangal"/>
      <w:kern w:val="1"/>
      <w:sz w:val="16"/>
      <w:szCs w:val="14"/>
      <w:lang w:eastAsia="zh-CN" w:bidi="hi-IN"/>
    </w:rPr>
  </w:style>
  <w:style w:type="character" w:customStyle="1" w:styleId="citation">
    <w:name w:val="citation"/>
    <w:basedOn w:val="DefaultParagraphFont"/>
    <w:rsid w:val="00B2305C"/>
  </w:style>
  <w:style w:type="paragraph" w:customStyle="1" w:styleId="Default">
    <w:name w:val="Default"/>
    <w:rsid w:val="005270E4"/>
    <w:pPr>
      <w:autoSpaceDE w:val="0"/>
      <w:autoSpaceDN w:val="0"/>
      <w:adjustRightInd w:val="0"/>
    </w:pPr>
    <w:rPr>
      <w:rFonts w:ascii="Arial" w:hAnsi="Arial" w:cs="Arial"/>
      <w:color w:val="000000"/>
      <w:sz w:val="24"/>
      <w:szCs w:val="24"/>
    </w:rPr>
  </w:style>
  <w:style w:type="paragraph" w:customStyle="1" w:styleId="blank">
    <w:name w:val="blank"/>
    <w:basedOn w:val="Normal"/>
    <w:rsid w:val="003B1283"/>
    <w:pPr>
      <w:widowControl/>
      <w:tabs>
        <w:tab w:val="left" w:pos="0"/>
        <w:tab w:val="right" w:pos="8953"/>
      </w:tabs>
      <w:suppressAutoHyphens w:val="0"/>
      <w:spacing w:line="240" w:lineRule="atLeast"/>
      <w:jc w:val="center"/>
    </w:pPr>
    <w:rPr>
      <w:rFonts w:ascii="Times New Roman PL" w:eastAsia="Times New Roman" w:hAnsi="Times New Roman PL" w:cs="Times New Roman"/>
      <w:i/>
      <w:kern w:val="0"/>
      <w:sz w:val="20"/>
      <w:szCs w:val="20"/>
      <w:lang w:val="en-GB" w:eastAsia="en-US" w:bidi="ar-SA"/>
    </w:rPr>
  </w:style>
  <w:style w:type="paragraph" w:styleId="Header">
    <w:name w:val="header"/>
    <w:basedOn w:val="Normal"/>
    <w:link w:val="HeaderChar"/>
    <w:uiPriority w:val="99"/>
    <w:unhideWhenUsed/>
    <w:rsid w:val="003B1283"/>
    <w:pPr>
      <w:tabs>
        <w:tab w:val="center" w:pos="4536"/>
        <w:tab w:val="right" w:pos="9072"/>
      </w:tabs>
    </w:pPr>
    <w:rPr>
      <w:szCs w:val="21"/>
    </w:rPr>
  </w:style>
  <w:style w:type="character" w:customStyle="1" w:styleId="HeaderChar">
    <w:name w:val="Header Char"/>
    <w:basedOn w:val="DefaultParagraphFont"/>
    <w:link w:val="Header"/>
    <w:uiPriority w:val="99"/>
    <w:rsid w:val="003B1283"/>
    <w:rPr>
      <w:rFonts w:eastAsia="Arial Unicode MS" w:cs="Mangal"/>
      <w:kern w:val="1"/>
      <w:sz w:val="24"/>
      <w:szCs w:val="21"/>
      <w:lang w:eastAsia="zh-CN" w:bidi="hi-IN"/>
    </w:rPr>
  </w:style>
  <w:style w:type="paragraph" w:customStyle="1" w:styleId="Nagl">
    <w:name w:val="Nagl"/>
    <w:basedOn w:val="Normal"/>
    <w:rsid w:val="003B1283"/>
    <w:pPr>
      <w:widowControl/>
      <w:suppressAutoHyphens w:val="0"/>
      <w:jc w:val="center"/>
    </w:pPr>
    <w:rPr>
      <w:rFonts w:eastAsia="Times New Roman" w:cs="Times New Roman"/>
      <w:caps/>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table" w:styleId="TableGrid">
    <w:name w:val="Table Grid"/>
    <w:basedOn w:val="TableNormal"/>
    <w:uiPriority w:val="59"/>
    <w:rsid w:val="008F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2147F"/>
  </w:style>
  <w:style w:type="paragraph" w:styleId="BalloonText">
    <w:name w:val="Balloon Text"/>
    <w:basedOn w:val="Normal"/>
    <w:link w:val="BalloonTextChar"/>
    <w:uiPriority w:val="99"/>
    <w:semiHidden/>
    <w:unhideWhenUsed/>
    <w:rsid w:val="00D43EA7"/>
    <w:rPr>
      <w:rFonts w:ascii="Tahoma" w:hAnsi="Tahoma"/>
      <w:sz w:val="16"/>
      <w:szCs w:val="14"/>
    </w:rPr>
  </w:style>
  <w:style w:type="character" w:customStyle="1" w:styleId="BalloonTextChar">
    <w:name w:val="Balloon Text Char"/>
    <w:basedOn w:val="DefaultParagraphFont"/>
    <w:link w:val="BalloonText"/>
    <w:uiPriority w:val="99"/>
    <w:semiHidden/>
    <w:rsid w:val="00D43EA7"/>
    <w:rPr>
      <w:rFonts w:ascii="Tahoma" w:eastAsia="Arial Unicode MS" w:hAnsi="Tahoma" w:cs="Mangal"/>
      <w:kern w:val="1"/>
      <w:sz w:val="16"/>
      <w:szCs w:val="14"/>
      <w:lang w:eastAsia="zh-CN" w:bidi="hi-IN"/>
    </w:rPr>
  </w:style>
  <w:style w:type="character" w:customStyle="1" w:styleId="citation">
    <w:name w:val="citation"/>
    <w:basedOn w:val="DefaultParagraphFont"/>
    <w:rsid w:val="00B2305C"/>
  </w:style>
  <w:style w:type="paragraph" w:customStyle="1" w:styleId="Default">
    <w:name w:val="Default"/>
    <w:rsid w:val="005270E4"/>
    <w:pPr>
      <w:autoSpaceDE w:val="0"/>
      <w:autoSpaceDN w:val="0"/>
      <w:adjustRightInd w:val="0"/>
    </w:pPr>
    <w:rPr>
      <w:rFonts w:ascii="Arial" w:hAnsi="Arial" w:cs="Arial"/>
      <w:color w:val="000000"/>
      <w:sz w:val="24"/>
      <w:szCs w:val="24"/>
    </w:rPr>
  </w:style>
  <w:style w:type="paragraph" w:customStyle="1" w:styleId="blank">
    <w:name w:val="blank"/>
    <w:basedOn w:val="Normal"/>
    <w:rsid w:val="003B1283"/>
    <w:pPr>
      <w:widowControl/>
      <w:tabs>
        <w:tab w:val="left" w:pos="0"/>
        <w:tab w:val="right" w:pos="8953"/>
      </w:tabs>
      <w:suppressAutoHyphens w:val="0"/>
      <w:spacing w:line="240" w:lineRule="atLeast"/>
      <w:jc w:val="center"/>
    </w:pPr>
    <w:rPr>
      <w:rFonts w:ascii="Times New Roman PL" w:eastAsia="Times New Roman" w:hAnsi="Times New Roman PL" w:cs="Times New Roman"/>
      <w:i/>
      <w:kern w:val="0"/>
      <w:sz w:val="20"/>
      <w:szCs w:val="20"/>
      <w:lang w:val="en-GB" w:eastAsia="en-US" w:bidi="ar-SA"/>
    </w:rPr>
  </w:style>
  <w:style w:type="paragraph" w:styleId="Header">
    <w:name w:val="header"/>
    <w:basedOn w:val="Normal"/>
    <w:link w:val="HeaderChar"/>
    <w:uiPriority w:val="99"/>
    <w:unhideWhenUsed/>
    <w:rsid w:val="003B1283"/>
    <w:pPr>
      <w:tabs>
        <w:tab w:val="center" w:pos="4536"/>
        <w:tab w:val="right" w:pos="9072"/>
      </w:tabs>
    </w:pPr>
    <w:rPr>
      <w:szCs w:val="21"/>
    </w:rPr>
  </w:style>
  <w:style w:type="character" w:customStyle="1" w:styleId="HeaderChar">
    <w:name w:val="Header Char"/>
    <w:basedOn w:val="DefaultParagraphFont"/>
    <w:link w:val="Header"/>
    <w:uiPriority w:val="99"/>
    <w:rsid w:val="003B1283"/>
    <w:rPr>
      <w:rFonts w:eastAsia="Arial Unicode MS" w:cs="Mangal"/>
      <w:kern w:val="1"/>
      <w:sz w:val="24"/>
      <w:szCs w:val="21"/>
      <w:lang w:eastAsia="zh-CN" w:bidi="hi-IN"/>
    </w:rPr>
  </w:style>
  <w:style w:type="paragraph" w:customStyle="1" w:styleId="Nagl">
    <w:name w:val="Nagl"/>
    <w:basedOn w:val="Normal"/>
    <w:rsid w:val="003B1283"/>
    <w:pPr>
      <w:widowControl/>
      <w:suppressAutoHyphens w:val="0"/>
      <w:jc w:val="center"/>
    </w:pPr>
    <w:rPr>
      <w:rFonts w:eastAsia="Times New Roman" w:cs="Times New Roman"/>
      <w:caps/>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econ.cam.ac.uk/rstaff/grubb/publications/JR09.pdf" TargetMode="Externa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ps_georgiew@abv.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s_georgiew@abv.bg"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New%20Documents_11_2013\Word%20files\Diploma_thesis\Cvetelina_2015\Wind_Rose_day_ti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New%20Documents_11_2013\Word%20files\Diploma_thesis\Cvetelina_2015\Wind_Rose_night_tim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New%20Documents_11_2013\Word%20files\Diploma_thesis\Cvetelina_2015\SO2_at_2_m_height_horizontal%20section_Improv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New%20Documents_11_2013\Word%20files\Diploma_thesis\Cvetelina_2015\SO2_at_2_m_height_horizontal%20section_Improv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New%20Documents_11_2013\Word%20files\UMGS%20Conference\2015\SO2_at_2_m_height_horizontal%20section_Impro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74667343411343"/>
          <c:y val="0.10552478275725885"/>
          <c:w val="0.62050433482400069"/>
          <c:h val="0.74663479314398273"/>
        </c:manualLayout>
      </c:layout>
      <c:radarChart>
        <c:radarStyle val="marker"/>
        <c:varyColors val="0"/>
        <c:ser>
          <c:idx val="0"/>
          <c:order val="0"/>
          <c:tx>
            <c:strRef>
              <c:f>'averaged value'!$B$1</c:f>
              <c:strCache>
                <c:ptCount val="1"/>
                <c:pt idx="0">
                  <c:v>0-2 m/s</c:v>
                </c:pt>
              </c:strCache>
            </c:strRef>
          </c:tx>
          <c:marker>
            <c:symbol val="diamond"/>
            <c:size val="5"/>
          </c:marker>
          <c:cat>
            <c:strRef>
              <c:f>'averaged value'!$A$2:$A$9</c:f>
              <c:strCache>
                <c:ptCount val="8"/>
                <c:pt idx="0">
                  <c:v>N</c:v>
                </c:pt>
                <c:pt idx="1">
                  <c:v>NE</c:v>
                </c:pt>
                <c:pt idx="2">
                  <c:v>E</c:v>
                </c:pt>
                <c:pt idx="3">
                  <c:v>SE</c:v>
                </c:pt>
                <c:pt idx="4">
                  <c:v>S</c:v>
                </c:pt>
                <c:pt idx="5">
                  <c:v>SW</c:v>
                </c:pt>
                <c:pt idx="6">
                  <c:v>W</c:v>
                </c:pt>
                <c:pt idx="7">
                  <c:v>NW</c:v>
                </c:pt>
              </c:strCache>
            </c:strRef>
          </c:cat>
          <c:val>
            <c:numRef>
              <c:f>'averaged value'!$B$2:$B$9</c:f>
              <c:numCache>
                <c:formatCode>0.00%</c:formatCode>
                <c:ptCount val="8"/>
                <c:pt idx="0">
                  <c:v>5.7000000000000134E-2</c:v>
                </c:pt>
                <c:pt idx="1">
                  <c:v>4.2000000000000114E-2</c:v>
                </c:pt>
                <c:pt idx="2">
                  <c:v>3.5000000000000323E-2</c:v>
                </c:pt>
                <c:pt idx="3">
                  <c:v>5.7000000000000134E-2</c:v>
                </c:pt>
                <c:pt idx="4">
                  <c:v>0.31900000000000323</c:v>
                </c:pt>
                <c:pt idx="5">
                  <c:v>8.5000000000000048E-2</c:v>
                </c:pt>
                <c:pt idx="6">
                  <c:v>2.8000000000000011E-2</c:v>
                </c:pt>
                <c:pt idx="7">
                  <c:v>3.1000000000000329E-2</c:v>
                </c:pt>
              </c:numCache>
            </c:numRef>
          </c:val>
        </c:ser>
        <c:ser>
          <c:idx val="1"/>
          <c:order val="1"/>
          <c:tx>
            <c:strRef>
              <c:f>'averaged value'!$C$1</c:f>
              <c:strCache>
                <c:ptCount val="1"/>
                <c:pt idx="0">
                  <c:v>2-5 m/s</c:v>
                </c:pt>
              </c:strCache>
            </c:strRef>
          </c:tx>
          <c:marker>
            <c:symbol val="square"/>
            <c:size val="5"/>
          </c:marker>
          <c:cat>
            <c:strRef>
              <c:f>'averaged value'!$A$2:$A$9</c:f>
              <c:strCache>
                <c:ptCount val="8"/>
                <c:pt idx="0">
                  <c:v>N</c:v>
                </c:pt>
                <c:pt idx="1">
                  <c:v>NE</c:v>
                </c:pt>
                <c:pt idx="2">
                  <c:v>E</c:v>
                </c:pt>
                <c:pt idx="3">
                  <c:v>SE</c:v>
                </c:pt>
                <c:pt idx="4">
                  <c:v>S</c:v>
                </c:pt>
                <c:pt idx="5">
                  <c:v>SW</c:v>
                </c:pt>
                <c:pt idx="6">
                  <c:v>W</c:v>
                </c:pt>
                <c:pt idx="7">
                  <c:v>NW</c:v>
                </c:pt>
              </c:strCache>
            </c:strRef>
          </c:cat>
          <c:val>
            <c:numRef>
              <c:f>'averaged value'!$C$2:$C$9</c:f>
              <c:numCache>
                <c:formatCode>0.00%</c:formatCode>
                <c:ptCount val="8"/>
                <c:pt idx="0">
                  <c:v>1.0000000000000083E-2</c:v>
                </c:pt>
                <c:pt idx="1">
                  <c:v>1.2999999999999998E-2</c:v>
                </c:pt>
                <c:pt idx="2">
                  <c:v>1.0000000000000154E-4</c:v>
                </c:pt>
                <c:pt idx="3">
                  <c:v>3.3000000000000002E-2</c:v>
                </c:pt>
                <c:pt idx="4">
                  <c:v>0.25800000000000001</c:v>
                </c:pt>
                <c:pt idx="5">
                  <c:v>1.9000000000000183E-2</c:v>
                </c:pt>
                <c:pt idx="6">
                  <c:v>1.0000000000000154E-4</c:v>
                </c:pt>
                <c:pt idx="7">
                  <c:v>1.0000000000000154E-4</c:v>
                </c:pt>
              </c:numCache>
            </c:numRef>
          </c:val>
        </c:ser>
        <c:ser>
          <c:idx val="2"/>
          <c:order val="2"/>
          <c:tx>
            <c:strRef>
              <c:f>'averaged value'!$D$1</c:f>
              <c:strCache>
                <c:ptCount val="1"/>
                <c:pt idx="0">
                  <c:v>5-10 m/s</c:v>
                </c:pt>
              </c:strCache>
            </c:strRef>
          </c:tx>
          <c:marker>
            <c:symbol val="triangle"/>
            <c:size val="5"/>
          </c:marker>
          <c:val>
            <c:numRef>
              <c:f>'averaged value'!$D$2:$D$9</c:f>
              <c:numCache>
                <c:formatCode>0.00%</c:formatCode>
                <c:ptCount val="8"/>
                <c:pt idx="0">
                  <c:v>1.0000000000000154E-4</c:v>
                </c:pt>
                <c:pt idx="1">
                  <c:v>1.0000000000000154E-4</c:v>
                </c:pt>
                <c:pt idx="2">
                  <c:v>1.0000000000000154E-4</c:v>
                </c:pt>
                <c:pt idx="3">
                  <c:v>1.0000000000000154E-4</c:v>
                </c:pt>
                <c:pt idx="4">
                  <c:v>1.2000000000000021E-2</c:v>
                </c:pt>
                <c:pt idx="5">
                  <c:v>1.0000000000000154E-4</c:v>
                </c:pt>
                <c:pt idx="6">
                  <c:v>1.0000000000000154E-4</c:v>
                </c:pt>
                <c:pt idx="7">
                  <c:v>1.0000000000000154E-4</c:v>
                </c:pt>
              </c:numCache>
            </c:numRef>
          </c:val>
        </c:ser>
        <c:dLbls>
          <c:showLegendKey val="0"/>
          <c:showVal val="0"/>
          <c:showCatName val="0"/>
          <c:showSerName val="0"/>
          <c:showPercent val="0"/>
          <c:showBubbleSize val="0"/>
        </c:dLbls>
        <c:axId val="261047040"/>
        <c:axId val="261048576"/>
      </c:radarChart>
      <c:catAx>
        <c:axId val="261047040"/>
        <c:scaling>
          <c:orientation val="minMax"/>
        </c:scaling>
        <c:delete val="0"/>
        <c:axPos val="b"/>
        <c:majorGridlines/>
        <c:majorTickMark val="out"/>
        <c:minorTickMark val="none"/>
        <c:tickLblPos val="nextTo"/>
        <c:crossAx val="261048576"/>
        <c:crosses val="autoZero"/>
        <c:auto val="1"/>
        <c:lblAlgn val="ctr"/>
        <c:lblOffset val="100"/>
        <c:noMultiLvlLbl val="0"/>
      </c:catAx>
      <c:valAx>
        <c:axId val="261048576"/>
        <c:scaling>
          <c:orientation val="minMax"/>
          <c:max val="0.4"/>
          <c:min val="0"/>
        </c:scaling>
        <c:delete val="0"/>
        <c:axPos val="l"/>
        <c:majorGridlines/>
        <c:numFmt formatCode="0.00%" sourceLinked="1"/>
        <c:majorTickMark val="out"/>
        <c:minorTickMark val="none"/>
        <c:tickLblPos val="nextTo"/>
        <c:spPr>
          <a:noFill/>
        </c:spPr>
        <c:txPr>
          <a:bodyPr/>
          <a:lstStyle/>
          <a:p>
            <a:pPr>
              <a:defRPr sz="800">
                <a:latin typeface="Arial Narrow" pitchFamily="34" charset="0"/>
              </a:defRPr>
            </a:pPr>
            <a:endParaRPr lang="bg-BG"/>
          </a:p>
        </c:txPr>
        <c:crossAx val="261047040"/>
        <c:crosses val="autoZero"/>
        <c:crossBetween val="between"/>
        <c:majorUnit val="0.2"/>
        <c:minorUnit val="1.0000000000000083E-2"/>
      </c:valAx>
    </c:plotArea>
    <c:legend>
      <c:legendPos val="b"/>
      <c:layout>
        <c:manualLayout>
          <c:xMode val="edge"/>
          <c:yMode val="edge"/>
          <c:x val="3.8024615855057002E-2"/>
          <c:y val="0.92497534770770451"/>
          <c:w val="0.92395076828988665"/>
          <c:h val="5.6333063507249106E-2"/>
        </c:manualLayout>
      </c:layout>
      <c:overlay val="0"/>
      <c:txPr>
        <a:bodyPr/>
        <a:lstStyle/>
        <a:p>
          <a:pPr>
            <a:defRPr sz="900">
              <a:latin typeface="Arial Narrow" pitchFamily="34" charset="0"/>
            </a:defRPr>
          </a:pPr>
          <a:endParaRPr lang="bg-BG"/>
        </a:p>
      </c:txPr>
    </c:legend>
    <c:plotVisOnly val="1"/>
    <c:dispBlanksAs val="gap"/>
    <c:showDLblsOverMax val="0"/>
  </c:chart>
  <c:spPr>
    <a:solidFill>
      <a:schemeClr val="bg1">
        <a:lumMod val="85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27548762287262"/>
          <c:y val="8.7168842456784565E-2"/>
          <c:w val="0.66052313964586484"/>
          <c:h val="0.76159309293805999"/>
        </c:manualLayout>
      </c:layout>
      <c:radarChart>
        <c:radarStyle val="marker"/>
        <c:varyColors val="0"/>
        <c:ser>
          <c:idx val="0"/>
          <c:order val="0"/>
          <c:tx>
            <c:strRef>
              <c:f>'averaged values'!$B$1</c:f>
              <c:strCache>
                <c:ptCount val="1"/>
                <c:pt idx="0">
                  <c:v>2-5 m/s</c:v>
                </c:pt>
              </c:strCache>
            </c:strRef>
          </c:tx>
          <c:marker>
            <c:symbol val="diamond"/>
            <c:size val="5"/>
          </c:marker>
          <c:cat>
            <c:strRef>
              <c:f>'averaged values'!$A$2:$A$9</c:f>
              <c:strCache>
                <c:ptCount val="8"/>
                <c:pt idx="0">
                  <c:v>N</c:v>
                </c:pt>
                <c:pt idx="1">
                  <c:v>NE</c:v>
                </c:pt>
                <c:pt idx="2">
                  <c:v>E</c:v>
                </c:pt>
                <c:pt idx="3">
                  <c:v>SE</c:v>
                </c:pt>
                <c:pt idx="4">
                  <c:v>S</c:v>
                </c:pt>
                <c:pt idx="5">
                  <c:v>SW</c:v>
                </c:pt>
                <c:pt idx="6">
                  <c:v>W</c:v>
                </c:pt>
                <c:pt idx="7">
                  <c:v>NW</c:v>
                </c:pt>
              </c:strCache>
            </c:strRef>
          </c:cat>
          <c:val>
            <c:numRef>
              <c:f>'averaged values'!$B$2:$B$9</c:f>
              <c:numCache>
                <c:formatCode>0.00%</c:formatCode>
                <c:ptCount val="8"/>
                <c:pt idx="0">
                  <c:v>4.9000000000000113E-2</c:v>
                </c:pt>
                <c:pt idx="1">
                  <c:v>7.5000000000000011E-2</c:v>
                </c:pt>
                <c:pt idx="2">
                  <c:v>9.8000000000000226E-2</c:v>
                </c:pt>
                <c:pt idx="3">
                  <c:v>0.1</c:v>
                </c:pt>
                <c:pt idx="4">
                  <c:v>0.25800000000000001</c:v>
                </c:pt>
                <c:pt idx="5">
                  <c:v>9.3000000000000208E-2</c:v>
                </c:pt>
                <c:pt idx="6">
                  <c:v>4.3999999999999997E-2</c:v>
                </c:pt>
                <c:pt idx="7">
                  <c:v>4.5999999999999999E-2</c:v>
                </c:pt>
              </c:numCache>
            </c:numRef>
          </c:val>
        </c:ser>
        <c:ser>
          <c:idx val="1"/>
          <c:order val="1"/>
          <c:tx>
            <c:strRef>
              <c:f>'averaged values'!$C$1</c:f>
              <c:strCache>
                <c:ptCount val="1"/>
                <c:pt idx="0">
                  <c:v>2-5 m/s </c:v>
                </c:pt>
              </c:strCache>
            </c:strRef>
          </c:tx>
          <c:marker>
            <c:symbol val="square"/>
            <c:size val="5"/>
          </c:marker>
          <c:cat>
            <c:strRef>
              <c:f>'averaged values'!$A$2:$A$9</c:f>
              <c:strCache>
                <c:ptCount val="8"/>
                <c:pt idx="0">
                  <c:v>N</c:v>
                </c:pt>
                <c:pt idx="1">
                  <c:v>NE</c:v>
                </c:pt>
                <c:pt idx="2">
                  <c:v>E</c:v>
                </c:pt>
                <c:pt idx="3">
                  <c:v>SE</c:v>
                </c:pt>
                <c:pt idx="4">
                  <c:v>S</c:v>
                </c:pt>
                <c:pt idx="5">
                  <c:v>SW</c:v>
                </c:pt>
                <c:pt idx="6">
                  <c:v>W</c:v>
                </c:pt>
                <c:pt idx="7">
                  <c:v>NW</c:v>
                </c:pt>
              </c:strCache>
            </c:strRef>
          </c:cat>
          <c:val>
            <c:numRef>
              <c:f>'averaged values'!$C$2:$C$9</c:f>
              <c:numCache>
                <c:formatCode>0.00%</c:formatCode>
                <c:ptCount val="8"/>
                <c:pt idx="0">
                  <c:v>1.4999999999999998E-2</c:v>
                </c:pt>
                <c:pt idx="1">
                  <c:v>2.0000000000000052E-3</c:v>
                </c:pt>
                <c:pt idx="2">
                  <c:v>1.0000000000000131E-4</c:v>
                </c:pt>
                <c:pt idx="3">
                  <c:v>1.0000000000000005E-2</c:v>
                </c:pt>
                <c:pt idx="4">
                  <c:v>0.17700000000000021</c:v>
                </c:pt>
                <c:pt idx="5">
                  <c:v>2.4E-2</c:v>
                </c:pt>
                <c:pt idx="6">
                  <c:v>1.0000000000000131E-4</c:v>
                </c:pt>
                <c:pt idx="7">
                  <c:v>1.0000000000000131E-4</c:v>
                </c:pt>
              </c:numCache>
            </c:numRef>
          </c:val>
        </c:ser>
        <c:ser>
          <c:idx val="2"/>
          <c:order val="2"/>
          <c:tx>
            <c:strRef>
              <c:f>'averaged values'!$D$1</c:f>
              <c:strCache>
                <c:ptCount val="1"/>
                <c:pt idx="0">
                  <c:v>5-10 m/s</c:v>
                </c:pt>
              </c:strCache>
            </c:strRef>
          </c:tx>
          <c:marker>
            <c:symbol val="triangle"/>
            <c:size val="5"/>
          </c:marker>
          <c:cat>
            <c:strRef>
              <c:f>'averaged values'!$A$2:$A$9</c:f>
              <c:strCache>
                <c:ptCount val="8"/>
                <c:pt idx="0">
                  <c:v>N</c:v>
                </c:pt>
                <c:pt idx="1">
                  <c:v>NE</c:v>
                </c:pt>
                <c:pt idx="2">
                  <c:v>E</c:v>
                </c:pt>
                <c:pt idx="3">
                  <c:v>SE</c:v>
                </c:pt>
                <c:pt idx="4">
                  <c:v>S</c:v>
                </c:pt>
                <c:pt idx="5">
                  <c:v>SW</c:v>
                </c:pt>
                <c:pt idx="6">
                  <c:v>W</c:v>
                </c:pt>
                <c:pt idx="7">
                  <c:v>NW</c:v>
                </c:pt>
              </c:strCache>
            </c:strRef>
          </c:cat>
          <c:val>
            <c:numRef>
              <c:f>'averaged values'!$D$2:$D$9</c:f>
              <c:numCache>
                <c:formatCode>0.00%</c:formatCode>
                <c:ptCount val="8"/>
                <c:pt idx="0">
                  <c:v>1.0000000000000131E-4</c:v>
                </c:pt>
                <c:pt idx="1">
                  <c:v>1.0000000000000131E-4</c:v>
                </c:pt>
                <c:pt idx="2">
                  <c:v>1.0000000000000131E-4</c:v>
                </c:pt>
                <c:pt idx="3">
                  <c:v>1.0000000000000131E-4</c:v>
                </c:pt>
                <c:pt idx="4">
                  <c:v>8.0000000000000227E-3</c:v>
                </c:pt>
                <c:pt idx="5">
                  <c:v>1.0000000000000131E-4</c:v>
                </c:pt>
                <c:pt idx="6">
                  <c:v>1.0000000000000131E-4</c:v>
                </c:pt>
                <c:pt idx="7">
                  <c:v>1.0000000000000131E-4</c:v>
                </c:pt>
              </c:numCache>
            </c:numRef>
          </c:val>
        </c:ser>
        <c:dLbls>
          <c:showLegendKey val="0"/>
          <c:showVal val="0"/>
          <c:showCatName val="0"/>
          <c:showSerName val="0"/>
          <c:showPercent val="0"/>
          <c:showBubbleSize val="0"/>
        </c:dLbls>
        <c:axId val="261069824"/>
        <c:axId val="261075712"/>
      </c:radarChart>
      <c:catAx>
        <c:axId val="261069824"/>
        <c:scaling>
          <c:orientation val="minMax"/>
        </c:scaling>
        <c:delete val="0"/>
        <c:axPos val="b"/>
        <c:majorGridlines/>
        <c:majorTickMark val="out"/>
        <c:minorTickMark val="none"/>
        <c:tickLblPos val="nextTo"/>
        <c:crossAx val="261075712"/>
        <c:crosses val="autoZero"/>
        <c:auto val="1"/>
        <c:lblAlgn val="ctr"/>
        <c:lblOffset val="100"/>
        <c:noMultiLvlLbl val="0"/>
      </c:catAx>
      <c:valAx>
        <c:axId val="261075712"/>
        <c:scaling>
          <c:orientation val="minMax"/>
          <c:max val="0.4"/>
        </c:scaling>
        <c:delete val="0"/>
        <c:axPos val="l"/>
        <c:majorGridlines/>
        <c:numFmt formatCode="0.00%" sourceLinked="1"/>
        <c:majorTickMark val="cross"/>
        <c:minorTickMark val="none"/>
        <c:tickLblPos val="nextTo"/>
        <c:txPr>
          <a:bodyPr/>
          <a:lstStyle/>
          <a:p>
            <a:pPr>
              <a:defRPr sz="900">
                <a:latin typeface="Arial Narrow" pitchFamily="34" charset="0"/>
              </a:defRPr>
            </a:pPr>
            <a:endParaRPr lang="bg-BG"/>
          </a:p>
        </c:txPr>
        <c:crossAx val="261069824"/>
        <c:crosses val="autoZero"/>
        <c:crossBetween val="between"/>
        <c:majorUnit val="0.2"/>
      </c:valAx>
    </c:plotArea>
    <c:legend>
      <c:legendPos val="b"/>
      <c:layout>
        <c:manualLayout>
          <c:xMode val="edge"/>
          <c:yMode val="edge"/>
          <c:x val="9.7924141835211795E-2"/>
          <c:y val="0.93004237215446162"/>
          <c:w val="0.85382471308733465"/>
          <c:h val="5.2528433945757132E-2"/>
        </c:manualLayout>
      </c:layout>
      <c:overlay val="0"/>
      <c:txPr>
        <a:bodyPr/>
        <a:lstStyle/>
        <a:p>
          <a:pPr>
            <a:defRPr sz="900">
              <a:latin typeface="Arial Narrow" pitchFamily="34" charset="0"/>
            </a:defRPr>
          </a:pPr>
          <a:endParaRPr lang="bg-BG"/>
        </a:p>
      </c:txPr>
    </c:legend>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84419325633244"/>
          <c:y val="0.13603004645339864"/>
          <c:w val="0.81430286153255238"/>
          <c:h val="0.58710594230114543"/>
        </c:manualLayout>
      </c:layout>
      <c:lineChart>
        <c:grouping val="standard"/>
        <c:varyColors val="0"/>
        <c:ser>
          <c:idx val="0"/>
          <c:order val="0"/>
          <c:tx>
            <c:strRef>
              <c:f>Sheet1!$B$1</c:f>
              <c:strCache>
                <c:ptCount val="1"/>
                <c:pt idx="0">
                  <c:v>A</c:v>
                </c:pt>
              </c:strCache>
            </c:strRef>
          </c:tx>
          <c:cat>
            <c:numRef>
              <c:f>Sheet1!$A$2:$A$8</c:f>
              <c:numCache>
                <c:formatCode>General</c:formatCode>
                <c:ptCount val="7"/>
                <c:pt idx="0">
                  <c:v>2.5</c:v>
                </c:pt>
                <c:pt idx="1">
                  <c:v>5</c:v>
                </c:pt>
                <c:pt idx="2">
                  <c:v>10</c:v>
                </c:pt>
                <c:pt idx="3">
                  <c:v>15</c:v>
                </c:pt>
                <c:pt idx="4">
                  <c:v>20</c:v>
                </c:pt>
                <c:pt idx="5">
                  <c:v>30</c:v>
                </c:pt>
              </c:numCache>
            </c:numRef>
          </c:cat>
          <c:val>
            <c:numRef>
              <c:f>Sheet1!$B$2:$B$8</c:f>
              <c:numCache>
                <c:formatCode>General</c:formatCode>
                <c:ptCount val="7"/>
                <c:pt idx="0">
                  <c:v>231</c:v>
                </c:pt>
                <c:pt idx="1">
                  <c:v>76</c:v>
                </c:pt>
                <c:pt idx="2">
                  <c:v>20.3</c:v>
                </c:pt>
                <c:pt idx="3">
                  <c:v>9.3000000000000007</c:v>
                </c:pt>
                <c:pt idx="4">
                  <c:v>5.3</c:v>
                </c:pt>
                <c:pt idx="5">
                  <c:v>2</c:v>
                </c:pt>
              </c:numCache>
            </c:numRef>
          </c:val>
          <c:smooth val="0"/>
        </c:ser>
        <c:ser>
          <c:idx val="1"/>
          <c:order val="1"/>
          <c:tx>
            <c:strRef>
              <c:f>Sheet1!$C$1</c:f>
              <c:strCache>
                <c:ptCount val="1"/>
                <c:pt idx="0">
                  <c:v>B</c:v>
                </c:pt>
              </c:strCache>
            </c:strRef>
          </c:tx>
          <c:marker>
            <c:symbol val="square"/>
            <c:size val="5"/>
          </c:marker>
          <c:cat>
            <c:numRef>
              <c:f>Sheet1!$A$2:$A$8</c:f>
              <c:numCache>
                <c:formatCode>General</c:formatCode>
                <c:ptCount val="7"/>
                <c:pt idx="0">
                  <c:v>2.5</c:v>
                </c:pt>
                <c:pt idx="1">
                  <c:v>5</c:v>
                </c:pt>
                <c:pt idx="2">
                  <c:v>10</c:v>
                </c:pt>
                <c:pt idx="3">
                  <c:v>15</c:v>
                </c:pt>
                <c:pt idx="4">
                  <c:v>20</c:v>
                </c:pt>
                <c:pt idx="5">
                  <c:v>30</c:v>
                </c:pt>
              </c:numCache>
            </c:numRef>
          </c:cat>
          <c:val>
            <c:numRef>
              <c:f>Sheet1!$C$2:$C$8</c:f>
              <c:numCache>
                <c:formatCode>General</c:formatCode>
                <c:ptCount val="7"/>
                <c:pt idx="0">
                  <c:v>211</c:v>
                </c:pt>
                <c:pt idx="1">
                  <c:v>70</c:v>
                </c:pt>
                <c:pt idx="2">
                  <c:v>18.899999999999999</c:v>
                </c:pt>
                <c:pt idx="3">
                  <c:v>8.3000000000000007</c:v>
                </c:pt>
                <c:pt idx="4">
                  <c:v>4.9000000000000004</c:v>
                </c:pt>
                <c:pt idx="5">
                  <c:v>2.1</c:v>
                </c:pt>
              </c:numCache>
            </c:numRef>
          </c:val>
          <c:smooth val="0"/>
        </c:ser>
        <c:ser>
          <c:idx val="2"/>
          <c:order val="2"/>
          <c:tx>
            <c:strRef>
              <c:f>Sheet1!$D$1</c:f>
              <c:strCache>
                <c:ptCount val="1"/>
                <c:pt idx="0">
                  <c:v>C</c:v>
                </c:pt>
              </c:strCache>
            </c:strRef>
          </c:tx>
          <c:marker>
            <c:symbol val="none"/>
          </c:marker>
          <c:dPt>
            <c:idx val="1"/>
            <c:marker>
              <c:symbol val="auto"/>
            </c:marker>
            <c:bubble3D val="0"/>
          </c:dPt>
          <c:cat>
            <c:numRef>
              <c:f>Sheet1!$A$2:$A$8</c:f>
              <c:numCache>
                <c:formatCode>General</c:formatCode>
                <c:ptCount val="7"/>
                <c:pt idx="0">
                  <c:v>2.5</c:v>
                </c:pt>
                <c:pt idx="1">
                  <c:v>5</c:v>
                </c:pt>
                <c:pt idx="2">
                  <c:v>10</c:v>
                </c:pt>
                <c:pt idx="3">
                  <c:v>15</c:v>
                </c:pt>
                <c:pt idx="4">
                  <c:v>20</c:v>
                </c:pt>
                <c:pt idx="5">
                  <c:v>30</c:v>
                </c:pt>
              </c:numCache>
            </c:numRef>
          </c:cat>
          <c:val>
            <c:numRef>
              <c:f>Sheet1!$D$2:$D$8</c:f>
              <c:numCache>
                <c:formatCode>General</c:formatCode>
                <c:ptCount val="7"/>
                <c:pt idx="0">
                  <c:v>118.6</c:v>
                </c:pt>
                <c:pt idx="1">
                  <c:v>78.099999999999994</c:v>
                </c:pt>
                <c:pt idx="2">
                  <c:v>28.3</c:v>
                </c:pt>
                <c:pt idx="3">
                  <c:v>14.3</c:v>
                </c:pt>
                <c:pt idx="4">
                  <c:v>8.7000000000000011</c:v>
                </c:pt>
                <c:pt idx="5">
                  <c:v>4.2</c:v>
                </c:pt>
              </c:numCache>
            </c:numRef>
          </c:val>
          <c:smooth val="0"/>
        </c:ser>
        <c:ser>
          <c:idx val="3"/>
          <c:order val="3"/>
          <c:tx>
            <c:strRef>
              <c:f>Sheet1!$E$1</c:f>
              <c:strCache>
                <c:ptCount val="1"/>
                <c:pt idx="0">
                  <c:v>D</c:v>
                </c:pt>
              </c:strCache>
            </c:strRef>
          </c:tx>
          <c:marker>
            <c:symbol val="none"/>
          </c:marker>
          <c:cat>
            <c:numRef>
              <c:f>Sheet1!$A$2:$A$8</c:f>
              <c:numCache>
                <c:formatCode>General</c:formatCode>
                <c:ptCount val="7"/>
                <c:pt idx="0">
                  <c:v>2.5</c:v>
                </c:pt>
                <c:pt idx="1">
                  <c:v>5</c:v>
                </c:pt>
                <c:pt idx="2">
                  <c:v>10</c:v>
                </c:pt>
                <c:pt idx="3">
                  <c:v>15</c:v>
                </c:pt>
                <c:pt idx="4">
                  <c:v>20</c:v>
                </c:pt>
                <c:pt idx="5">
                  <c:v>30</c:v>
                </c:pt>
              </c:numCache>
            </c:numRef>
          </c:cat>
          <c:val>
            <c:numRef>
              <c:f>Sheet1!$E$2:$E$8</c:f>
              <c:numCache>
                <c:formatCode>General</c:formatCode>
                <c:ptCount val="7"/>
                <c:pt idx="0">
                  <c:v>1</c:v>
                </c:pt>
                <c:pt idx="1">
                  <c:v>12.4</c:v>
                </c:pt>
                <c:pt idx="2">
                  <c:v>20.7</c:v>
                </c:pt>
                <c:pt idx="3">
                  <c:v>17.7</c:v>
                </c:pt>
                <c:pt idx="4">
                  <c:v>14.4</c:v>
                </c:pt>
                <c:pt idx="5">
                  <c:v>9.8000000000000007</c:v>
                </c:pt>
              </c:numCache>
            </c:numRef>
          </c:val>
          <c:smooth val="0"/>
        </c:ser>
        <c:ser>
          <c:idx val="4"/>
          <c:order val="4"/>
          <c:tx>
            <c:strRef>
              <c:f>Sheet1!$F$1</c:f>
              <c:strCache>
                <c:ptCount val="1"/>
                <c:pt idx="0">
                  <c:v>E</c:v>
                </c:pt>
              </c:strCache>
            </c:strRef>
          </c:tx>
          <c:cat>
            <c:numRef>
              <c:f>Sheet1!$A$2:$A$8</c:f>
              <c:numCache>
                <c:formatCode>General</c:formatCode>
                <c:ptCount val="7"/>
                <c:pt idx="0">
                  <c:v>2.5</c:v>
                </c:pt>
                <c:pt idx="1">
                  <c:v>5</c:v>
                </c:pt>
                <c:pt idx="2">
                  <c:v>10</c:v>
                </c:pt>
                <c:pt idx="3">
                  <c:v>15</c:v>
                </c:pt>
                <c:pt idx="4">
                  <c:v>20</c:v>
                </c:pt>
                <c:pt idx="5">
                  <c:v>30</c:v>
                </c:pt>
              </c:numCache>
            </c:numRef>
          </c:cat>
          <c:val>
            <c:numRef>
              <c:f>Sheet1!$F$2:$F$8</c:f>
              <c:numCache>
                <c:formatCode>General</c:formatCode>
                <c:ptCount val="7"/>
                <c:pt idx="0">
                  <c:v>1</c:v>
                </c:pt>
                <c:pt idx="1">
                  <c:v>1</c:v>
                </c:pt>
                <c:pt idx="2">
                  <c:v>9</c:v>
                </c:pt>
                <c:pt idx="3">
                  <c:v>12.4</c:v>
                </c:pt>
                <c:pt idx="4">
                  <c:v>18.899999999999999</c:v>
                </c:pt>
                <c:pt idx="5">
                  <c:v>17.899999999999999</c:v>
                </c:pt>
              </c:numCache>
            </c:numRef>
          </c:val>
          <c:smooth val="0"/>
        </c:ser>
        <c:ser>
          <c:idx val="5"/>
          <c:order val="5"/>
          <c:tx>
            <c:strRef>
              <c:f>Sheet1!$G$1</c:f>
              <c:strCache>
                <c:ptCount val="1"/>
                <c:pt idx="0">
                  <c:v>F</c:v>
                </c:pt>
              </c:strCache>
            </c:strRef>
          </c:tx>
          <c:marker>
            <c:symbol val="circle"/>
            <c:size val="5"/>
          </c:marker>
          <c:val>
            <c:numRef>
              <c:f>Sheet1!$G$2:$G$8</c:f>
              <c:numCache>
                <c:formatCode>General</c:formatCode>
                <c:ptCount val="7"/>
                <c:pt idx="0">
                  <c:v>0.1</c:v>
                </c:pt>
                <c:pt idx="1">
                  <c:v>0.1</c:v>
                </c:pt>
                <c:pt idx="2">
                  <c:v>0.1</c:v>
                </c:pt>
                <c:pt idx="3">
                  <c:v>0.1</c:v>
                </c:pt>
                <c:pt idx="4">
                  <c:v>0.1</c:v>
                </c:pt>
                <c:pt idx="5">
                  <c:v>1.5</c:v>
                </c:pt>
              </c:numCache>
            </c:numRef>
          </c:val>
          <c:smooth val="0"/>
        </c:ser>
        <c:ser>
          <c:idx val="6"/>
          <c:order val="6"/>
          <c:tx>
            <c:strRef>
              <c:f>Sheet1!$H$1</c:f>
              <c:strCache>
                <c:ptCount val="1"/>
                <c:pt idx="0">
                  <c:v>MAC</c:v>
                </c:pt>
              </c:strCache>
            </c:strRef>
          </c:tx>
          <c:marker>
            <c:symbol val="dot"/>
            <c:size val="7"/>
          </c:marker>
          <c:val>
            <c:numRef>
              <c:f>Sheet1!$H$2:$H$7</c:f>
              <c:numCache>
                <c:formatCode>General</c:formatCode>
                <c:ptCount val="6"/>
                <c:pt idx="0">
                  <c:v>350</c:v>
                </c:pt>
                <c:pt idx="1">
                  <c:v>350</c:v>
                </c:pt>
                <c:pt idx="2">
                  <c:v>350</c:v>
                </c:pt>
                <c:pt idx="3">
                  <c:v>350</c:v>
                </c:pt>
                <c:pt idx="4">
                  <c:v>350</c:v>
                </c:pt>
                <c:pt idx="5">
                  <c:v>350</c:v>
                </c:pt>
              </c:numCache>
            </c:numRef>
          </c:val>
          <c:smooth val="0"/>
        </c:ser>
        <c:dLbls>
          <c:showLegendKey val="0"/>
          <c:showVal val="0"/>
          <c:showCatName val="0"/>
          <c:showSerName val="0"/>
          <c:showPercent val="0"/>
          <c:showBubbleSize val="0"/>
        </c:dLbls>
        <c:marker val="1"/>
        <c:smooth val="0"/>
        <c:axId val="279778432"/>
        <c:axId val="279780352"/>
      </c:lineChart>
      <c:catAx>
        <c:axId val="279778432"/>
        <c:scaling>
          <c:orientation val="minMax"/>
        </c:scaling>
        <c:delete val="0"/>
        <c:axPos val="b"/>
        <c:title>
          <c:tx>
            <c:rich>
              <a:bodyPr/>
              <a:lstStyle/>
              <a:p>
                <a:pPr>
                  <a:defRPr b="0"/>
                </a:pPr>
                <a:r>
                  <a:rPr lang="en-US" b="0"/>
                  <a:t>Distance from TPP "Bobov dol",</a:t>
                </a:r>
                <a:r>
                  <a:rPr lang="bg-BG" b="0"/>
                  <a:t> </a:t>
                </a:r>
                <a:r>
                  <a:rPr lang="en-US" b="0"/>
                  <a:t>km</a:t>
                </a:r>
              </a:p>
            </c:rich>
          </c:tx>
          <c:layout>
            <c:manualLayout>
              <c:xMode val="edge"/>
              <c:yMode val="edge"/>
              <c:x val="0.40358220762539382"/>
              <c:y val="0.83956365408729938"/>
            </c:manualLayout>
          </c:layout>
          <c:overlay val="0"/>
        </c:title>
        <c:numFmt formatCode="General" sourceLinked="1"/>
        <c:majorTickMark val="out"/>
        <c:minorTickMark val="none"/>
        <c:tickLblPos val="nextTo"/>
        <c:crossAx val="279780352"/>
        <c:crosses val="autoZero"/>
        <c:auto val="1"/>
        <c:lblAlgn val="ctr"/>
        <c:lblOffset val="100"/>
        <c:noMultiLvlLbl val="0"/>
      </c:catAx>
      <c:valAx>
        <c:axId val="279780352"/>
        <c:scaling>
          <c:orientation val="minMax"/>
        </c:scaling>
        <c:delete val="0"/>
        <c:axPos val="l"/>
        <c:majorGridlines/>
        <c:numFmt formatCode="General" sourceLinked="1"/>
        <c:majorTickMark val="out"/>
        <c:minorTickMark val="none"/>
        <c:tickLblPos val="nextTo"/>
        <c:crossAx val="279778432"/>
        <c:crosses val="autoZero"/>
        <c:crossBetween val="between"/>
        <c:majorUnit val="100"/>
      </c:valAx>
    </c:plotArea>
    <c:legend>
      <c:legendPos val="b"/>
      <c:layout>
        <c:manualLayout>
          <c:xMode val="edge"/>
          <c:yMode val="edge"/>
          <c:x val="0"/>
          <c:y val="0.8952320716201958"/>
          <c:w val="0.99627801860133369"/>
          <c:h val="8.6461059085927994E-2"/>
        </c:manualLayout>
      </c:layout>
      <c:overlay val="0"/>
    </c:legend>
    <c:plotVisOnly val="1"/>
    <c:dispBlanksAs val="gap"/>
    <c:showDLblsOverMax val="0"/>
  </c:chart>
  <c:spPr>
    <a:solidFill>
      <a:schemeClr val="bg1">
        <a:lumMod val="95000"/>
      </a:schemeClr>
    </a:solidFill>
  </c:spPr>
  <c:txPr>
    <a:bodyPr/>
    <a:lstStyle/>
    <a:p>
      <a:pPr>
        <a:defRPr sz="900">
          <a:latin typeface="Arial Narrow" pitchFamily="34" charset="0"/>
        </a:defRPr>
      </a:pPr>
      <a:endParaRPr lang="bg-BG"/>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61990726768976"/>
          <c:y val="0.1301925517611135"/>
          <c:w val="0.83329035090125858"/>
          <c:h val="0.56363841987760799"/>
        </c:manualLayout>
      </c:layout>
      <c:lineChart>
        <c:grouping val="standard"/>
        <c:varyColors val="0"/>
        <c:ser>
          <c:idx val="0"/>
          <c:order val="0"/>
          <c:tx>
            <c:strRef>
              <c:f>Sheet2!$B$2</c:f>
              <c:strCache>
                <c:ptCount val="1"/>
                <c:pt idx="0">
                  <c:v>A</c:v>
                </c:pt>
              </c:strCache>
            </c:strRef>
          </c:tx>
          <c:marker>
            <c:symbol val="diamond"/>
            <c:size val="5"/>
          </c:marker>
          <c:cat>
            <c:numRef>
              <c:f>Sheet2!$A$3:$A$13</c:f>
              <c:numCache>
                <c:formatCode>General</c:formatCode>
                <c:ptCount val="11"/>
                <c:pt idx="0">
                  <c:v>100</c:v>
                </c:pt>
                <c:pt idx="1">
                  <c:v>75</c:v>
                </c:pt>
                <c:pt idx="2">
                  <c:v>50</c:v>
                </c:pt>
                <c:pt idx="3">
                  <c:v>25</c:v>
                </c:pt>
                <c:pt idx="4">
                  <c:v>1</c:v>
                </c:pt>
                <c:pt idx="5">
                  <c:v>0</c:v>
                </c:pt>
                <c:pt idx="6">
                  <c:v>-1</c:v>
                </c:pt>
                <c:pt idx="7">
                  <c:v>-25</c:v>
                </c:pt>
                <c:pt idx="8">
                  <c:v>-50</c:v>
                </c:pt>
                <c:pt idx="9">
                  <c:v>-75</c:v>
                </c:pt>
                <c:pt idx="10">
                  <c:v>-100</c:v>
                </c:pt>
              </c:numCache>
            </c:numRef>
          </c:cat>
          <c:val>
            <c:numRef>
              <c:f>Sheet2!$B$3:$B$13</c:f>
              <c:numCache>
                <c:formatCode>General</c:formatCode>
                <c:ptCount val="11"/>
                <c:pt idx="0">
                  <c:v>0.60000000000000064</c:v>
                </c:pt>
                <c:pt idx="1">
                  <c:v>1.5</c:v>
                </c:pt>
                <c:pt idx="2">
                  <c:v>3</c:v>
                </c:pt>
                <c:pt idx="3">
                  <c:v>4.7</c:v>
                </c:pt>
                <c:pt idx="4">
                  <c:v>5.4</c:v>
                </c:pt>
                <c:pt idx="5">
                  <c:v>5.5</c:v>
                </c:pt>
                <c:pt idx="6">
                  <c:v>5.4</c:v>
                </c:pt>
                <c:pt idx="7">
                  <c:v>4.7</c:v>
                </c:pt>
                <c:pt idx="8">
                  <c:v>3</c:v>
                </c:pt>
                <c:pt idx="9">
                  <c:v>1.5</c:v>
                </c:pt>
                <c:pt idx="10">
                  <c:v>0.60000000000000064</c:v>
                </c:pt>
              </c:numCache>
            </c:numRef>
          </c:val>
          <c:smooth val="0"/>
        </c:ser>
        <c:ser>
          <c:idx val="1"/>
          <c:order val="1"/>
          <c:tx>
            <c:strRef>
              <c:f>Sheet2!$C$2</c:f>
              <c:strCache>
                <c:ptCount val="1"/>
                <c:pt idx="0">
                  <c:v>B</c:v>
                </c:pt>
              </c:strCache>
            </c:strRef>
          </c:tx>
          <c:marker>
            <c:symbol val="square"/>
            <c:size val="5"/>
          </c:marker>
          <c:cat>
            <c:numRef>
              <c:f>Sheet2!$A$3:$A$13</c:f>
              <c:numCache>
                <c:formatCode>General</c:formatCode>
                <c:ptCount val="11"/>
                <c:pt idx="0">
                  <c:v>100</c:v>
                </c:pt>
                <c:pt idx="1">
                  <c:v>75</c:v>
                </c:pt>
                <c:pt idx="2">
                  <c:v>50</c:v>
                </c:pt>
                <c:pt idx="3">
                  <c:v>25</c:v>
                </c:pt>
                <c:pt idx="4">
                  <c:v>1</c:v>
                </c:pt>
                <c:pt idx="5">
                  <c:v>0</c:v>
                </c:pt>
                <c:pt idx="6">
                  <c:v>-1</c:v>
                </c:pt>
                <c:pt idx="7">
                  <c:v>-25</c:v>
                </c:pt>
                <c:pt idx="8">
                  <c:v>-50</c:v>
                </c:pt>
                <c:pt idx="9">
                  <c:v>-75</c:v>
                </c:pt>
                <c:pt idx="10">
                  <c:v>-100</c:v>
                </c:pt>
              </c:numCache>
            </c:numRef>
          </c:cat>
          <c:val>
            <c:numRef>
              <c:f>Sheet2!$C$3:$C$13</c:f>
              <c:numCache>
                <c:formatCode>General</c:formatCode>
                <c:ptCount val="11"/>
                <c:pt idx="0">
                  <c:v>1.4E-2</c:v>
                </c:pt>
                <c:pt idx="1">
                  <c:v>0.60000000000000064</c:v>
                </c:pt>
                <c:pt idx="2">
                  <c:v>1.9000000000000001</c:v>
                </c:pt>
                <c:pt idx="3">
                  <c:v>3.8</c:v>
                </c:pt>
                <c:pt idx="4">
                  <c:v>4.9000000000000004</c:v>
                </c:pt>
                <c:pt idx="5">
                  <c:v>5</c:v>
                </c:pt>
                <c:pt idx="6">
                  <c:v>4.9000000000000004</c:v>
                </c:pt>
                <c:pt idx="7">
                  <c:v>3.8</c:v>
                </c:pt>
                <c:pt idx="8">
                  <c:v>1.9000000000000001</c:v>
                </c:pt>
                <c:pt idx="9">
                  <c:v>0.60000000000000064</c:v>
                </c:pt>
                <c:pt idx="10">
                  <c:v>1.4E-2</c:v>
                </c:pt>
              </c:numCache>
            </c:numRef>
          </c:val>
          <c:smooth val="0"/>
        </c:ser>
        <c:ser>
          <c:idx val="2"/>
          <c:order val="2"/>
          <c:tx>
            <c:strRef>
              <c:f>Sheet2!$D$2</c:f>
              <c:strCache>
                <c:ptCount val="1"/>
                <c:pt idx="0">
                  <c:v>C</c:v>
                </c:pt>
              </c:strCache>
            </c:strRef>
          </c:tx>
          <c:marker>
            <c:symbol val="triangle"/>
            <c:size val="5"/>
          </c:marker>
          <c:cat>
            <c:numRef>
              <c:f>Sheet2!$A$3:$A$13</c:f>
              <c:numCache>
                <c:formatCode>General</c:formatCode>
                <c:ptCount val="11"/>
                <c:pt idx="0">
                  <c:v>100</c:v>
                </c:pt>
                <c:pt idx="1">
                  <c:v>75</c:v>
                </c:pt>
                <c:pt idx="2">
                  <c:v>50</c:v>
                </c:pt>
                <c:pt idx="3">
                  <c:v>25</c:v>
                </c:pt>
                <c:pt idx="4">
                  <c:v>1</c:v>
                </c:pt>
                <c:pt idx="5">
                  <c:v>0</c:v>
                </c:pt>
                <c:pt idx="6">
                  <c:v>-1</c:v>
                </c:pt>
                <c:pt idx="7">
                  <c:v>-25</c:v>
                </c:pt>
                <c:pt idx="8">
                  <c:v>-50</c:v>
                </c:pt>
                <c:pt idx="9">
                  <c:v>-75</c:v>
                </c:pt>
                <c:pt idx="10">
                  <c:v>-100</c:v>
                </c:pt>
              </c:numCache>
            </c:numRef>
          </c:cat>
          <c:val>
            <c:numRef>
              <c:f>Sheet2!$D$3:$D$13</c:f>
              <c:numCache>
                <c:formatCode>General</c:formatCode>
                <c:ptCount val="11"/>
                <c:pt idx="0">
                  <c:v>6.0000000000000114E-3</c:v>
                </c:pt>
                <c:pt idx="1">
                  <c:v>0.15000000000000024</c:v>
                </c:pt>
                <c:pt idx="2">
                  <c:v>1.4</c:v>
                </c:pt>
                <c:pt idx="3">
                  <c:v>5.6</c:v>
                </c:pt>
                <c:pt idx="4">
                  <c:v>8.7000000000000011</c:v>
                </c:pt>
                <c:pt idx="5">
                  <c:v>8.8000000000000007</c:v>
                </c:pt>
                <c:pt idx="6">
                  <c:v>8.7000000000000011</c:v>
                </c:pt>
                <c:pt idx="7">
                  <c:v>5.6</c:v>
                </c:pt>
                <c:pt idx="8">
                  <c:v>1.4</c:v>
                </c:pt>
                <c:pt idx="9">
                  <c:v>0.15000000000000024</c:v>
                </c:pt>
                <c:pt idx="10">
                  <c:v>6.0000000000000114E-3</c:v>
                </c:pt>
              </c:numCache>
            </c:numRef>
          </c:val>
          <c:smooth val="0"/>
        </c:ser>
        <c:ser>
          <c:idx val="3"/>
          <c:order val="3"/>
          <c:tx>
            <c:strRef>
              <c:f>Sheet2!$E$2</c:f>
              <c:strCache>
                <c:ptCount val="1"/>
                <c:pt idx="0">
                  <c:v>D</c:v>
                </c:pt>
              </c:strCache>
            </c:strRef>
          </c:tx>
          <c:marker>
            <c:symbol val="x"/>
            <c:size val="5"/>
          </c:marker>
          <c:cat>
            <c:numRef>
              <c:f>Sheet2!$A$3:$A$13</c:f>
              <c:numCache>
                <c:formatCode>General</c:formatCode>
                <c:ptCount val="11"/>
                <c:pt idx="0">
                  <c:v>100</c:v>
                </c:pt>
                <c:pt idx="1">
                  <c:v>75</c:v>
                </c:pt>
                <c:pt idx="2">
                  <c:v>50</c:v>
                </c:pt>
                <c:pt idx="3">
                  <c:v>25</c:v>
                </c:pt>
                <c:pt idx="4">
                  <c:v>1</c:v>
                </c:pt>
                <c:pt idx="5">
                  <c:v>0</c:v>
                </c:pt>
                <c:pt idx="6">
                  <c:v>-1</c:v>
                </c:pt>
                <c:pt idx="7">
                  <c:v>-25</c:v>
                </c:pt>
                <c:pt idx="8">
                  <c:v>-50</c:v>
                </c:pt>
                <c:pt idx="9">
                  <c:v>-75</c:v>
                </c:pt>
                <c:pt idx="10">
                  <c:v>-100</c:v>
                </c:pt>
              </c:numCache>
            </c:numRef>
          </c:cat>
          <c:val>
            <c:numRef>
              <c:f>Sheet2!$E$3:$E$13</c:f>
              <c:numCache>
                <c:formatCode>General</c:formatCode>
                <c:ptCount val="11"/>
                <c:pt idx="0">
                  <c:v>1.0000000000000087E-4</c:v>
                </c:pt>
                <c:pt idx="1">
                  <c:v>1.0000000000000041E-3</c:v>
                </c:pt>
                <c:pt idx="2">
                  <c:v>1.0000000000000005E-2</c:v>
                </c:pt>
                <c:pt idx="3">
                  <c:v>0.24000000000000021</c:v>
                </c:pt>
                <c:pt idx="4">
                  <c:v>5.2</c:v>
                </c:pt>
                <c:pt idx="5">
                  <c:v>5.3</c:v>
                </c:pt>
                <c:pt idx="6">
                  <c:v>5.2</c:v>
                </c:pt>
                <c:pt idx="7">
                  <c:v>0.24000000000000021</c:v>
                </c:pt>
                <c:pt idx="8">
                  <c:v>1.0000000000000005E-2</c:v>
                </c:pt>
                <c:pt idx="9">
                  <c:v>1.0000000000000041E-3</c:v>
                </c:pt>
                <c:pt idx="10">
                  <c:v>1.0000000000000087E-4</c:v>
                </c:pt>
              </c:numCache>
            </c:numRef>
          </c:val>
          <c:smooth val="0"/>
        </c:ser>
        <c:ser>
          <c:idx val="4"/>
          <c:order val="4"/>
          <c:tx>
            <c:strRef>
              <c:f>Sheet2!$F$2</c:f>
              <c:strCache>
                <c:ptCount val="1"/>
                <c:pt idx="0">
                  <c:v>E</c:v>
                </c:pt>
              </c:strCache>
            </c:strRef>
          </c:tx>
          <c:marker>
            <c:symbol val="star"/>
            <c:size val="5"/>
          </c:marker>
          <c:cat>
            <c:numRef>
              <c:f>Sheet2!$A$3:$A$13</c:f>
              <c:numCache>
                <c:formatCode>General</c:formatCode>
                <c:ptCount val="11"/>
                <c:pt idx="0">
                  <c:v>100</c:v>
                </c:pt>
                <c:pt idx="1">
                  <c:v>75</c:v>
                </c:pt>
                <c:pt idx="2">
                  <c:v>50</c:v>
                </c:pt>
                <c:pt idx="3">
                  <c:v>25</c:v>
                </c:pt>
                <c:pt idx="4">
                  <c:v>1</c:v>
                </c:pt>
                <c:pt idx="5">
                  <c:v>0</c:v>
                </c:pt>
                <c:pt idx="6">
                  <c:v>-1</c:v>
                </c:pt>
                <c:pt idx="7">
                  <c:v>-25</c:v>
                </c:pt>
                <c:pt idx="8">
                  <c:v>-50</c:v>
                </c:pt>
                <c:pt idx="9">
                  <c:v>-75</c:v>
                </c:pt>
                <c:pt idx="10">
                  <c:v>-100</c:v>
                </c:pt>
              </c:numCache>
            </c:numRef>
          </c:cat>
          <c:val>
            <c:numRef>
              <c:f>Sheet2!$F$3:$F$13</c:f>
              <c:numCache>
                <c:formatCode>General</c:formatCode>
                <c:ptCount val="11"/>
                <c:pt idx="0">
                  <c:v>1.0000000000000087E-4</c:v>
                </c:pt>
                <c:pt idx="1">
                  <c:v>1.0000000000000041E-3</c:v>
                </c:pt>
                <c:pt idx="2">
                  <c:v>1.4E-2</c:v>
                </c:pt>
                <c:pt idx="3">
                  <c:v>3.1</c:v>
                </c:pt>
                <c:pt idx="4">
                  <c:v>18.899999999999999</c:v>
                </c:pt>
                <c:pt idx="5">
                  <c:v>19</c:v>
                </c:pt>
                <c:pt idx="6">
                  <c:v>18.899999999999999</c:v>
                </c:pt>
                <c:pt idx="7">
                  <c:v>3.1</c:v>
                </c:pt>
                <c:pt idx="8">
                  <c:v>1.4E-2</c:v>
                </c:pt>
                <c:pt idx="9">
                  <c:v>1.0000000000000041E-3</c:v>
                </c:pt>
                <c:pt idx="10">
                  <c:v>1.0000000000000087E-4</c:v>
                </c:pt>
              </c:numCache>
            </c:numRef>
          </c:val>
          <c:smooth val="0"/>
        </c:ser>
        <c:ser>
          <c:idx val="5"/>
          <c:order val="5"/>
          <c:tx>
            <c:strRef>
              <c:f>Sheet2!$G$2</c:f>
              <c:strCache>
                <c:ptCount val="1"/>
                <c:pt idx="0">
                  <c:v>F</c:v>
                </c:pt>
              </c:strCache>
            </c:strRef>
          </c:tx>
          <c:marker>
            <c:symbol val="circle"/>
            <c:size val="5"/>
          </c:marker>
          <c:cat>
            <c:numRef>
              <c:f>Sheet2!$A$3:$A$13</c:f>
              <c:numCache>
                <c:formatCode>General</c:formatCode>
                <c:ptCount val="11"/>
                <c:pt idx="0">
                  <c:v>100</c:v>
                </c:pt>
                <c:pt idx="1">
                  <c:v>75</c:v>
                </c:pt>
                <c:pt idx="2">
                  <c:v>50</c:v>
                </c:pt>
                <c:pt idx="3">
                  <c:v>25</c:v>
                </c:pt>
                <c:pt idx="4">
                  <c:v>1</c:v>
                </c:pt>
                <c:pt idx="5">
                  <c:v>0</c:v>
                </c:pt>
                <c:pt idx="6">
                  <c:v>-1</c:v>
                </c:pt>
                <c:pt idx="7">
                  <c:v>-25</c:v>
                </c:pt>
                <c:pt idx="8">
                  <c:v>-50</c:v>
                </c:pt>
                <c:pt idx="9">
                  <c:v>-75</c:v>
                </c:pt>
                <c:pt idx="10">
                  <c:v>-100</c:v>
                </c:pt>
              </c:numCache>
            </c:numRef>
          </c:cat>
          <c:val>
            <c:numRef>
              <c:f>Sheet2!$G$3:$G$13</c:f>
              <c:numCache>
                <c:formatCode>General</c:formatCode>
                <c:ptCount val="11"/>
                <c:pt idx="0">
                  <c:v>1.0000000000000087E-4</c:v>
                </c:pt>
                <c:pt idx="1">
                  <c:v>1.0000000000000087E-4</c:v>
                </c:pt>
                <c:pt idx="2">
                  <c:v>1.0000000000000087E-4</c:v>
                </c:pt>
                <c:pt idx="3">
                  <c:v>5.0000000000000114E-3</c:v>
                </c:pt>
                <c:pt idx="4">
                  <c:v>0.30000000000000032</c:v>
                </c:pt>
                <c:pt idx="5">
                  <c:v>0.31000000000000183</c:v>
                </c:pt>
                <c:pt idx="6">
                  <c:v>0.30000000000000032</c:v>
                </c:pt>
                <c:pt idx="7">
                  <c:v>5.0000000000000114E-3</c:v>
                </c:pt>
                <c:pt idx="8">
                  <c:v>1.0000000000000087E-4</c:v>
                </c:pt>
                <c:pt idx="9">
                  <c:v>1.0000000000000087E-4</c:v>
                </c:pt>
                <c:pt idx="10">
                  <c:v>1.0000000000000087E-4</c:v>
                </c:pt>
              </c:numCache>
            </c:numRef>
          </c:val>
          <c:smooth val="0"/>
        </c:ser>
        <c:dLbls>
          <c:showLegendKey val="0"/>
          <c:showVal val="0"/>
          <c:showCatName val="0"/>
          <c:showSerName val="0"/>
          <c:showPercent val="0"/>
          <c:showBubbleSize val="0"/>
        </c:dLbls>
        <c:marker val="1"/>
        <c:smooth val="0"/>
        <c:axId val="279804544"/>
        <c:axId val="279814912"/>
      </c:lineChart>
      <c:catAx>
        <c:axId val="279804544"/>
        <c:scaling>
          <c:orientation val="minMax"/>
        </c:scaling>
        <c:delete val="0"/>
        <c:axPos val="b"/>
        <c:majorGridlines/>
        <c:title>
          <c:tx>
            <c:rich>
              <a:bodyPr/>
              <a:lstStyle/>
              <a:p>
                <a:pPr>
                  <a:defRPr/>
                </a:pPr>
                <a:r>
                  <a:rPr lang="en-US" b="0">
                    <a:latin typeface="Arial Narrow" pitchFamily="34" charset="0"/>
                  </a:rPr>
                  <a:t>Distance from plume`s centerline, m</a:t>
                </a:r>
              </a:p>
            </c:rich>
          </c:tx>
          <c:layout>
            <c:manualLayout>
              <c:xMode val="edge"/>
              <c:yMode val="edge"/>
              <c:x val="0.35435540069686572"/>
              <c:y val="0.81898333340314733"/>
            </c:manualLayout>
          </c:layout>
          <c:overlay val="0"/>
        </c:title>
        <c:numFmt formatCode="General" sourceLinked="0"/>
        <c:majorTickMark val="out"/>
        <c:minorTickMark val="none"/>
        <c:tickLblPos val="nextTo"/>
        <c:txPr>
          <a:bodyPr/>
          <a:lstStyle/>
          <a:p>
            <a:pPr>
              <a:defRPr>
                <a:latin typeface="Arial Narrow" pitchFamily="34" charset="0"/>
              </a:defRPr>
            </a:pPr>
            <a:endParaRPr lang="bg-BG"/>
          </a:p>
        </c:txPr>
        <c:crossAx val="279814912"/>
        <c:crosses val="autoZero"/>
        <c:auto val="1"/>
        <c:lblAlgn val="ctr"/>
        <c:lblOffset val="100"/>
        <c:noMultiLvlLbl val="0"/>
      </c:catAx>
      <c:valAx>
        <c:axId val="279814912"/>
        <c:scaling>
          <c:orientation val="minMax"/>
          <c:max val="30"/>
        </c:scaling>
        <c:delete val="0"/>
        <c:axPos val="l"/>
        <c:majorGridlines/>
        <c:title>
          <c:tx>
            <c:rich>
              <a:bodyPr rot="0" vert="horz"/>
              <a:lstStyle/>
              <a:p>
                <a:pPr>
                  <a:defRPr/>
                </a:pPr>
                <a:r>
                  <a:rPr lang="en-US" sz="900" b="0">
                    <a:latin typeface="Arial Narrow" pitchFamily="34" charset="0"/>
                  </a:rPr>
                  <a:t>SO</a:t>
                </a:r>
                <a:r>
                  <a:rPr lang="en-US" sz="900" b="0" baseline="-25000">
                    <a:latin typeface="Arial Narrow" pitchFamily="34" charset="0"/>
                  </a:rPr>
                  <a:t>2</a:t>
                </a:r>
                <a:r>
                  <a:rPr lang="en-US" sz="900" b="0">
                    <a:latin typeface="Arial Narrow" pitchFamily="34" charset="0"/>
                  </a:rPr>
                  <a:t>, </a:t>
                </a:r>
                <a:r>
                  <a:rPr lang="el-GR" sz="900" b="0">
                    <a:latin typeface="Arial Narrow" pitchFamily="34" charset="0"/>
                    <a:cs typeface="Lucida Sans Unicode"/>
                  </a:rPr>
                  <a:t>μ</a:t>
                </a:r>
                <a:r>
                  <a:rPr lang="en-US" sz="900" b="0">
                    <a:latin typeface="Arial Narrow" pitchFamily="34" charset="0"/>
                    <a:cs typeface="Lucida Sans Unicode"/>
                  </a:rPr>
                  <a:t>g/m</a:t>
                </a:r>
                <a:r>
                  <a:rPr lang="en-US" sz="900" b="0" baseline="30000">
                    <a:latin typeface="Arial Narrow" pitchFamily="34" charset="0"/>
                    <a:cs typeface="Lucida Sans Unicode"/>
                  </a:rPr>
                  <a:t>3</a:t>
                </a:r>
                <a:endParaRPr lang="en-US" sz="900" b="0" baseline="30000">
                  <a:latin typeface="Arial Narrow" pitchFamily="34" charset="0"/>
                </a:endParaRPr>
              </a:p>
            </c:rich>
          </c:tx>
          <c:layout>
            <c:manualLayout>
              <c:xMode val="edge"/>
              <c:yMode val="edge"/>
              <c:x val="0"/>
              <c:y val="1.3152328255306015E-3"/>
            </c:manualLayout>
          </c:layout>
          <c:overlay val="0"/>
        </c:title>
        <c:numFmt formatCode="General" sourceLinked="1"/>
        <c:majorTickMark val="out"/>
        <c:minorTickMark val="none"/>
        <c:tickLblPos val="nextTo"/>
        <c:txPr>
          <a:bodyPr/>
          <a:lstStyle/>
          <a:p>
            <a:pPr>
              <a:defRPr>
                <a:latin typeface="Arial Narrow" pitchFamily="34" charset="0"/>
              </a:defRPr>
            </a:pPr>
            <a:endParaRPr lang="bg-BG"/>
          </a:p>
        </c:txPr>
        <c:crossAx val="279804544"/>
        <c:crossesAt val="1"/>
        <c:crossBetween val="between"/>
      </c:valAx>
    </c:plotArea>
    <c:legend>
      <c:legendPos val="b"/>
      <c:layout>
        <c:manualLayout>
          <c:xMode val="edge"/>
          <c:yMode val="edge"/>
          <c:x val="2.092718593102693E-2"/>
          <c:y val="0.91829376289795273"/>
          <c:w val="0.9479920573952646"/>
          <c:h val="6.135000300534952E-2"/>
        </c:manualLayout>
      </c:layout>
      <c:overlay val="0"/>
      <c:txPr>
        <a:bodyPr/>
        <a:lstStyle/>
        <a:p>
          <a:pPr rtl="0">
            <a:defRPr/>
          </a:pPr>
          <a:endParaRPr lang="bg-BG"/>
        </a:p>
      </c:txPr>
    </c:legend>
    <c:plotVisOnly val="1"/>
    <c:dispBlanksAs val="gap"/>
    <c:showDLblsOverMax val="0"/>
  </c:chart>
  <c:spPr>
    <a:solidFill>
      <a:schemeClr val="bg1">
        <a:lumMod val="95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666666666666664E-2"/>
          <c:y val="0.10232648002333072"/>
          <c:w val="0.82724255915928313"/>
          <c:h val="0.62059738848707879"/>
        </c:manualLayout>
      </c:layout>
      <c:lineChart>
        <c:grouping val="standard"/>
        <c:varyColors val="0"/>
        <c:ser>
          <c:idx val="1"/>
          <c:order val="0"/>
          <c:tx>
            <c:strRef>
              <c:f>Sheet5!$B$1</c:f>
              <c:strCache>
                <c:ptCount val="1"/>
                <c:pt idx="0">
                  <c:v>A</c:v>
                </c:pt>
              </c:strCache>
            </c:strRef>
          </c:tx>
          <c:cat>
            <c:numRef>
              <c:f>Sheet5!$A$2:$A$6</c:f>
              <c:numCache>
                <c:formatCode>General</c:formatCode>
                <c:ptCount val="5"/>
                <c:pt idx="0">
                  <c:v>200</c:v>
                </c:pt>
                <c:pt idx="1">
                  <c:v>150</c:v>
                </c:pt>
                <c:pt idx="2">
                  <c:v>100</c:v>
                </c:pt>
                <c:pt idx="3">
                  <c:v>50</c:v>
                </c:pt>
                <c:pt idx="4">
                  <c:v>2</c:v>
                </c:pt>
              </c:numCache>
            </c:numRef>
          </c:cat>
          <c:val>
            <c:numRef>
              <c:f>Sheet5!$B$2:$B$6</c:f>
              <c:numCache>
                <c:formatCode>General</c:formatCode>
                <c:ptCount val="5"/>
                <c:pt idx="0">
                  <c:v>24.5</c:v>
                </c:pt>
                <c:pt idx="1">
                  <c:v>24.7</c:v>
                </c:pt>
                <c:pt idx="2">
                  <c:v>24.7</c:v>
                </c:pt>
                <c:pt idx="3">
                  <c:v>24.8</c:v>
                </c:pt>
                <c:pt idx="4">
                  <c:v>24.8</c:v>
                </c:pt>
              </c:numCache>
            </c:numRef>
          </c:val>
          <c:smooth val="0"/>
        </c:ser>
        <c:ser>
          <c:idx val="3"/>
          <c:order val="1"/>
          <c:tx>
            <c:strRef>
              <c:f>Sheet5!$D$1</c:f>
              <c:strCache>
                <c:ptCount val="1"/>
                <c:pt idx="0">
                  <c:v>C</c:v>
                </c:pt>
              </c:strCache>
            </c:strRef>
          </c:tx>
          <c:cat>
            <c:numRef>
              <c:f>Sheet5!$A$2:$A$6</c:f>
              <c:numCache>
                <c:formatCode>General</c:formatCode>
                <c:ptCount val="5"/>
                <c:pt idx="0">
                  <c:v>200</c:v>
                </c:pt>
                <c:pt idx="1">
                  <c:v>150</c:v>
                </c:pt>
                <c:pt idx="2">
                  <c:v>100</c:v>
                </c:pt>
                <c:pt idx="3">
                  <c:v>50</c:v>
                </c:pt>
                <c:pt idx="4">
                  <c:v>2</c:v>
                </c:pt>
              </c:numCache>
            </c:numRef>
          </c:cat>
          <c:val>
            <c:numRef>
              <c:f>Sheet5!$D$2:$D$6</c:f>
              <c:numCache>
                <c:formatCode>General</c:formatCode>
                <c:ptCount val="5"/>
                <c:pt idx="0">
                  <c:v>40.800000000000004</c:v>
                </c:pt>
                <c:pt idx="1">
                  <c:v>41.8</c:v>
                </c:pt>
                <c:pt idx="2">
                  <c:v>43</c:v>
                </c:pt>
                <c:pt idx="3">
                  <c:v>43.4</c:v>
                </c:pt>
                <c:pt idx="4">
                  <c:v>43.6</c:v>
                </c:pt>
              </c:numCache>
            </c:numRef>
          </c:val>
          <c:smooth val="0"/>
        </c:ser>
        <c:ser>
          <c:idx val="4"/>
          <c:order val="2"/>
          <c:tx>
            <c:strRef>
              <c:f>Sheet5!$E$1</c:f>
              <c:strCache>
                <c:ptCount val="1"/>
                <c:pt idx="0">
                  <c:v>D</c:v>
                </c:pt>
              </c:strCache>
            </c:strRef>
          </c:tx>
          <c:cat>
            <c:numRef>
              <c:f>Sheet5!$A$2:$A$6</c:f>
              <c:numCache>
                <c:formatCode>General</c:formatCode>
                <c:ptCount val="5"/>
                <c:pt idx="0">
                  <c:v>200</c:v>
                </c:pt>
                <c:pt idx="1">
                  <c:v>150</c:v>
                </c:pt>
                <c:pt idx="2">
                  <c:v>100</c:v>
                </c:pt>
                <c:pt idx="3">
                  <c:v>50</c:v>
                </c:pt>
                <c:pt idx="4">
                  <c:v>2</c:v>
                </c:pt>
              </c:numCache>
            </c:numRef>
          </c:cat>
          <c:val>
            <c:numRef>
              <c:f>Sheet5!$E$2:$E$6</c:f>
              <c:numCache>
                <c:formatCode>General</c:formatCode>
                <c:ptCount val="5"/>
                <c:pt idx="0">
                  <c:v>33.800000000000004</c:v>
                </c:pt>
                <c:pt idx="1">
                  <c:v>31.7</c:v>
                </c:pt>
                <c:pt idx="2">
                  <c:v>27.1</c:v>
                </c:pt>
                <c:pt idx="3">
                  <c:v>22.6</c:v>
                </c:pt>
                <c:pt idx="4">
                  <c:v>20.7</c:v>
                </c:pt>
              </c:numCache>
            </c:numRef>
          </c:val>
          <c:smooth val="0"/>
        </c:ser>
        <c:ser>
          <c:idx val="5"/>
          <c:order val="3"/>
          <c:tx>
            <c:strRef>
              <c:f>Sheet5!$F$1</c:f>
              <c:strCache>
                <c:ptCount val="1"/>
                <c:pt idx="0">
                  <c:v>E</c:v>
                </c:pt>
              </c:strCache>
            </c:strRef>
          </c:tx>
          <c:marker>
            <c:symbol val="circle"/>
            <c:size val="5"/>
          </c:marker>
          <c:cat>
            <c:numRef>
              <c:f>Sheet5!$A$2:$A$6</c:f>
              <c:numCache>
                <c:formatCode>General</c:formatCode>
                <c:ptCount val="5"/>
                <c:pt idx="0">
                  <c:v>200</c:v>
                </c:pt>
                <c:pt idx="1">
                  <c:v>150</c:v>
                </c:pt>
                <c:pt idx="2">
                  <c:v>100</c:v>
                </c:pt>
                <c:pt idx="3">
                  <c:v>50</c:v>
                </c:pt>
                <c:pt idx="4">
                  <c:v>2</c:v>
                </c:pt>
              </c:numCache>
            </c:numRef>
          </c:cat>
          <c:val>
            <c:numRef>
              <c:f>Sheet5!$F$2:$F$6</c:f>
              <c:numCache>
                <c:formatCode>General</c:formatCode>
                <c:ptCount val="5"/>
                <c:pt idx="0">
                  <c:v>200</c:v>
                </c:pt>
                <c:pt idx="1">
                  <c:v>145.5</c:v>
                </c:pt>
                <c:pt idx="2">
                  <c:v>71.3</c:v>
                </c:pt>
                <c:pt idx="3">
                  <c:v>24.1</c:v>
                </c:pt>
                <c:pt idx="4">
                  <c:v>10.3</c:v>
                </c:pt>
              </c:numCache>
            </c:numRef>
          </c:val>
          <c:smooth val="0"/>
        </c:ser>
        <c:ser>
          <c:idx val="0"/>
          <c:order val="4"/>
          <c:tx>
            <c:strRef>
              <c:f>Sheet5!$G$1</c:f>
              <c:strCache>
                <c:ptCount val="1"/>
                <c:pt idx="0">
                  <c:v>F</c:v>
                </c:pt>
              </c:strCache>
            </c:strRef>
          </c:tx>
          <c:val>
            <c:numRef>
              <c:f>Sheet5!$G$2:$G$6</c:f>
              <c:numCache>
                <c:formatCode>General</c:formatCode>
                <c:ptCount val="5"/>
                <c:pt idx="0">
                  <c:v>281.2</c:v>
                </c:pt>
                <c:pt idx="1">
                  <c:v>127.88</c:v>
                </c:pt>
                <c:pt idx="2">
                  <c:v>18.190000000000001</c:v>
                </c:pt>
                <c:pt idx="3">
                  <c:v>8.02</c:v>
                </c:pt>
                <c:pt idx="4">
                  <c:v>2.3E-2</c:v>
                </c:pt>
              </c:numCache>
            </c:numRef>
          </c:val>
          <c:smooth val="0"/>
        </c:ser>
        <c:dLbls>
          <c:showLegendKey val="0"/>
          <c:showVal val="0"/>
          <c:showCatName val="0"/>
          <c:showSerName val="0"/>
          <c:showPercent val="0"/>
          <c:showBubbleSize val="0"/>
        </c:dLbls>
        <c:marker val="1"/>
        <c:smooth val="0"/>
        <c:axId val="301864832"/>
        <c:axId val="301871104"/>
      </c:lineChart>
      <c:lineChart>
        <c:grouping val="standard"/>
        <c:varyColors val="0"/>
        <c:ser>
          <c:idx val="2"/>
          <c:order val="5"/>
          <c:tx>
            <c:strRef>
              <c:f>Sheet5!$C$1</c:f>
              <c:strCache>
                <c:ptCount val="1"/>
                <c:pt idx="0">
                  <c:v>B</c:v>
                </c:pt>
              </c:strCache>
            </c:strRef>
          </c:tx>
          <c:marker>
            <c:symbol val="triangle"/>
            <c:size val="5"/>
          </c:marker>
          <c:cat>
            <c:numRef>
              <c:f>Sheet5!$A$2:$A$6</c:f>
              <c:numCache>
                <c:formatCode>General</c:formatCode>
                <c:ptCount val="5"/>
                <c:pt idx="0">
                  <c:v>200</c:v>
                </c:pt>
                <c:pt idx="1">
                  <c:v>150</c:v>
                </c:pt>
                <c:pt idx="2">
                  <c:v>100</c:v>
                </c:pt>
                <c:pt idx="3">
                  <c:v>50</c:v>
                </c:pt>
                <c:pt idx="4">
                  <c:v>2</c:v>
                </c:pt>
              </c:numCache>
            </c:numRef>
          </c:cat>
          <c:val>
            <c:numRef>
              <c:f>Sheet5!$C$2:$C$6</c:f>
              <c:numCache>
                <c:formatCode>General</c:formatCode>
                <c:ptCount val="5"/>
                <c:pt idx="0">
                  <c:v>24.6</c:v>
                </c:pt>
                <c:pt idx="1">
                  <c:v>24.7</c:v>
                </c:pt>
                <c:pt idx="2">
                  <c:v>24.9</c:v>
                </c:pt>
                <c:pt idx="3">
                  <c:v>24.9</c:v>
                </c:pt>
                <c:pt idx="4">
                  <c:v>25.4</c:v>
                </c:pt>
              </c:numCache>
            </c:numRef>
          </c:val>
          <c:smooth val="0"/>
        </c:ser>
        <c:dLbls>
          <c:showLegendKey val="0"/>
          <c:showVal val="0"/>
          <c:showCatName val="0"/>
          <c:showSerName val="0"/>
          <c:showPercent val="0"/>
          <c:showBubbleSize val="0"/>
        </c:dLbls>
        <c:marker val="1"/>
        <c:smooth val="0"/>
        <c:axId val="301874176"/>
        <c:axId val="301872640"/>
      </c:lineChart>
      <c:catAx>
        <c:axId val="301864832"/>
        <c:scaling>
          <c:orientation val="minMax"/>
        </c:scaling>
        <c:delete val="0"/>
        <c:axPos val="b"/>
        <c:title>
          <c:tx>
            <c:rich>
              <a:bodyPr/>
              <a:lstStyle/>
              <a:p>
                <a:pPr>
                  <a:defRPr b="0"/>
                </a:pPr>
                <a:r>
                  <a:rPr lang="en-US" b="0"/>
                  <a:t>Height above the ground, m</a:t>
                </a:r>
              </a:p>
            </c:rich>
          </c:tx>
          <c:layout>
            <c:manualLayout>
              <c:xMode val="edge"/>
              <c:yMode val="edge"/>
              <c:x val="0.41008548235983966"/>
              <c:y val="0.83737901678472249"/>
            </c:manualLayout>
          </c:layout>
          <c:overlay val="0"/>
        </c:title>
        <c:numFmt formatCode="General" sourceLinked="1"/>
        <c:majorTickMark val="out"/>
        <c:minorTickMark val="none"/>
        <c:tickLblPos val="nextTo"/>
        <c:crossAx val="301871104"/>
        <c:crosses val="autoZero"/>
        <c:auto val="1"/>
        <c:lblAlgn val="ctr"/>
        <c:lblOffset val="100"/>
        <c:noMultiLvlLbl val="0"/>
      </c:catAx>
      <c:valAx>
        <c:axId val="301871104"/>
        <c:scaling>
          <c:orientation val="minMax"/>
          <c:max val="300"/>
        </c:scaling>
        <c:delete val="0"/>
        <c:axPos val="r"/>
        <c:majorGridlines/>
        <c:numFmt formatCode="General" sourceLinked="1"/>
        <c:majorTickMark val="out"/>
        <c:minorTickMark val="none"/>
        <c:tickLblPos val="nextTo"/>
        <c:crossAx val="301864832"/>
        <c:crosses val="max"/>
        <c:crossBetween val="between"/>
        <c:majorUnit val="100"/>
      </c:valAx>
      <c:valAx>
        <c:axId val="301872640"/>
        <c:scaling>
          <c:orientation val="minMax"/>
        </c:scaling>
        <c:delete val="1"/>
        <c:axPos val="r"/>
        <c:numFmt formatCode="General" sourceLinked="1"/>
        <c:majorTickMark val="out"/>
        <c:minorTickMark val="none"/>
        <c:tickLblPos val="nextTo"/>
        <c:crossAx val="301874176"/>
        <c:crosses val="max"/>
        <c:crossBetween val="between"/>
      </c:valAx>
      <c:catAx>
        <c:axId val="301874176"/>
        <c:scaling>
          <c:orientation val="minMax"/>
        </c:scaling>
        <c:delete val="1"/>
        <c:axPos val="b"/>
        <c:title>
          <c:tx>
            <c:rich>
              <a:bodyPr/>
              <a:lstStyle/>
              <a:p>
                <a:pPr>
                  <a:defRPr b="0"/>
                </a:pPr>
                <a:r>
                  <a:rPr lang="en-US" b="0"/>
                  <a:t>SO</a:t>
                </a:r>
                <a:r>
                  <a:rPr lang="en-US" b="0" baseline="-25000"/>
                  <a:t>2</a:t>
                </a:r>
                <a:r>
                  <a:rPr lang="en-US" b="0"/>
                  <a:t>, </a:t>
                </a:r>
                <a:r>
                  <a:rPr lang="el-GR" b="0"/>
                  <a:t>μ</a:t>
                </a:r>
                <a:r>
                  <a:rPr lang="en-US" b="0"/>
                  <a:t>g/m</a:t>
                </a:r>
                <a:r>
                  <a:rPr lang="en-US" b="0" baseline="30000"/>
                  <a:t>3</a:t>
                </a:r>
              </a:p>
            </c:rich>
          </c:tx>
          <c:layout>
            <c:manualLayout>
              <c:xMode val="edge"/>
              <c:yMode val="edge"/>
              <c:x val="0.70460239757050969"/>
              <c:y val="8.9329351072495915E-4"/>
            </c:manualLayout>
          </c:layout>
          <c:overlay val="0"/>
        </c:title>
        <c:numFmt formatCode="General" sourceLinked="1"/>
        <c:majorTickMark val="out"/>
        <c:minorTickMark val="none"/>
        <c:tickLblPos val="nextTo"/>
        <c:crossAx val="301872640"/>
        <c:crosses val="autoZero"/>
        <c:auto val="1"/>
        <c:lblAlgn val="ctr"/>
        <c:lblOffset val="100"/>
        <c:noMultiLvlLbl val="0"/>
      </c:catAx>
    </c:plotArea>
    <c:legend>
      <c:legendPos val="b"/>
      <c:layout>
        <c:manualLayout>
          <c:xMode val="edge"/>
          <c:yMode val="edge"/>
          <c:x val="5.0000017178240513E-2"/>
          <c:y val="0.90872565668848948"/>
          <c:w val="0.89999996564352336"/>
          <c:h val="9.1274343311521525E-2"/>
        </c:manualLayout>
      </c:layout>
      <c:overlay val="0"/>
    </c:legend>
    <c:plotVisOnly val="1"/>
    <c:dispBlanksAs val="gap"/>
    <c:showDLblsOverMax val="0"/>
  </c:chart>
  <c:spPr>
    <a:solidFill>
      <a:schemeClr val="bg1">
        <a:lumMod val="95000"/>
      </a:schemeClr>
    </a:solidFill>
  </c:spPr>
  <c:txPr>
    <a:bodyPr/>
    <a:lstStyle/>
    <a:p>
      <a:pPr>
        <a:defRPr>
          <a:latin typeface="Arial Narrow" pitchFamily="34" charset="0"/>
        </a:defRPr>
      </a:pPr>
      <a:endParaRPr lang="bg-BG"/>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0.2259</cdr:x>
      <cdr:y>0.09909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2875" y="0"/>
          <a:ext cx="621846" cy="22557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7AA0-E978-4309-B286-CB2ADF12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SELECTIVE SEPARATION OF COPPER FROM RICH-IN-IRON BIOLEACHING SOLUTION BY MEANS OF PROCESSES OF SOLVENT EXTRACTION WITH LIX 984 N AND STRIPPING WITH SULPHURIC ACID </vt:lpstr>
    </vt:vector>
  </TitlesOfParts>
  <Company>zamzar.com</Company>
  <LinksUpToDate>false</LinksUpToDate>
  <CharactersWithSpaces>29431</CharactersWithSpaces>
  <SharedDoc>false</SharedDoc>
  <HLinks>
    <vt:vector size="12" baseType="variant">
      <vt:variant>
        <vt:i4>3211327</vt:i4>
      </vt:variant>
      <vt:variant>
        <vt:i4>3</vt:i4>
      </vt:variant>
      <vt:variant>
        <vt:i4>0</vt:i4>
      </vt:variant>
      <vt:variant>
        <vt:i4>5</vt:i4>
      </vt:variant>
      <vt:variant>
        <vt:lpwstr>mailto:ps_georgiew@abv.bg</vt:lpwstr>
      </vt:variant>
      <vt:variant>
        <vt:lpwstr/>
      </vt:variant>
      <vt:variant>
        <vt:i4>3211327</vt:i4>
      </vt:variant>
      <vt:variant>
        <vt:i4>0</vt:i4>
      </vt:variant>
      <vt:variant>
        <vt:i4>0</vt:i4>
      </vt:variant>
      <vt:variant>
        <vt:i4>5</vt:i4>
      </vt:variant>
      <vt:variant>
        <vt:lpwstr>mailto:ps_georgiew@abv.bg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SEPARATION OF COPPER FROM RICH-IN-IRON BIOLEACHING SOLUTION BY MEANS OF PROCESSES OF SOLVENT EXTRACTION WITH LIX 984 N AND STRIPPING WITH SULPHURIC ACID</dc:title>
  <dc:creator>ss</dc:creator>
  <cp:lastModifiedBy>Rumi-Izdatelstvo</cp:lastModifiedBy>
  <cp:revision>5</cp:revision>
  <dcterms:created xsi:type="dcterms:W3CDTF">2015-09-01T11:47:00Z</dcterms:created>
  <dcterms:modified xsi:type="dcterms:W3CDTF">2015-09-16T08:14:00Z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&lt;arabianhorse&gt;</vt:lpwstr>
  </property>
  <property fmtid="{D5CDD505-2E9C-101B-9397-08002B2CF9AE}" pid="3" name="Operator">
    <vt:lpwstr>pc</vt:lpwstr>
  </property>
</Properties>
</file>