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86" w:rsidRPr="00E96F86" w:rsidRDefault="00E96F86" w:rsidP="00E96F86">
      <w:pPr>
        <w:rPr>
          <w:rFonts w:ascii="Arial Narrow" w:hAnsi="Arial Narrow"/>
          <w:sz w:val="17"/>
          <w:szCs w:val="17"/>
        </w:rPr>
      </w:pPr>
      <w:bookmarkStart w:id="0" w:name="_GoBack"/>
      <w:bookmarkEnd w:id="0"/>
      <w:r w:rsidRPr="00E96F86">
        <w:rPr>
          <w:rFonts w:ascii="Arial Narrow" w:hAnsi="Arial Narrow"/>
          <w:sz w:val="17"/>
          <w:szCs w:val="17"/>
        </w:rPr>
        <w:t>ГОДИШНИК на Минно-геоложкия университет “Св. Иван Рилски”, Том 57, Св.IІІ, Механизация, електрификация и автоматизация на мините, 2014</w:t>
      </w:r>
    </w:p>
    <w:p w:rsidR="00E96F86" w:rsidRPr="00E96F86" w:rsidRDefault="00E96F86" w:rsidP="00E96F86">
      <w:pPr>
        <w:rPr>
          <w:rFonts w:ascii="Arial Narrow" w:hAnsi="Arial Narrow"/>
          <w:sz w:val="17"/>
          <w:szCs w:val="17"/>
        </w:rPr>
      </w:pPr>
      <w:r w:rsidRPr="00E96F86">
        <w:rPr>
          <w:rFonts w:ascii="Arial Narrow" w:hAnsi="Arial Narrow"/>
          <w:sz w:val="17"/>
          <w:szCs w:val="17"/>
        </w:rPr>
        <w:t xml:space="preserve">ANNUAL of </w:t>
      </w:r>
      <w:proofErr w:type="spellStart"/>
      <w:r w:rsidRPr="00E96F86">
        <w:rPr>
          <w:rFonts w:ascii="Arial Narrow" w:hAnsi="Arial Narrow"/>
          <w:sz w:val="17"/>
          <w:szCs w:val="17"/>
        </w:rPr>
        <w:t>the</w:t>
      </w:r>
      <w:proofErr w:type="spellEnd"/>
      <w:r w:rsidRPr="00E96F86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E96F86">
        <w:rPr>
          <w:rFonts w:ascii="Arial Narrow" w:hAnsi="Arial Narrow"/>
          <w:sz w:val="17"/>
          <w:szCs w:val="17"/>
        </w:rPr>
        <w:t>University</w:t>
      </w:r>
      <w:proofErr w:type="spellEnd"/>
      <w:r w:rsidRPr="00E96F86">
        <w:rPr>
          <w:rFonts w:ascii="Arial Narrow" w:hAnsi="Arial Narrow"/>
          <w:sz w:val="17"/>
          <w:szCs w:val="17"/>
        </w:rPr>
        <w:t xml:space="preserve"> of </w:t>
      </w:r>
      <w:proofErr w:type="spellStart"/>
      <w:r w:rsidRPr="00E96F86">
        <w:rPr>
          <w:rFonts w:ascii="Arial Narrow" w:hAnsi="Arial Narrow"/>
          <w:sz w:val="17"/>
          <w:szCs w:val="17"/>
        </w:rPr>
        <w:t>Mining</w:t>
      </w:r>
      <w:proofErr w:type="spellEnd"/>
      <w:r w:rsidRPr="00E96F86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E96F86">
        <w:rPr>
          <w:rFonts w:ascii="Arial Narrow" w:hAnsi="Arial Narrow"/>
          <w:sz w:val="17"/>
          <w:szCs w:val="17"/>
        </w:rPr>
        <w:t>and</w:t>
      </w:r>
      <w:proofErr w:type="spellEnd"/>
      <w:r w:rsidRPr="00E96F86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E96F86">
        <w:rPr>
          <w:rFonts w:ascii="Arial Narrow" w:hAnsi="Arial Narrow"/>
          <w:sz w:val="17"/>
          <w:szCs w:val="17"/>
        </w:rPr>
        <w:t>Geology</w:t>
      </w:r>
      <w:proofErr w:type="spellEnd"/>
      <w:r w:rsidRPr="00E96F86">
        <w:rPr>
          <w:rFonts w:ascii="Arial Narrow" w:hAnsi="Arial Narrow"/>
          <w:sz w:val="17"/>
          <w:szCs w:val="17"/>
        </w:rPr>
        <w:t xml:space="preserve"> “</w:t>
      </w:r>
      <w:proofErr w:type="spellStart"/>
      <w:r w:rsidRPr="00E96F86">
        <w:rPr>
          <w:rFonts w:ascii="Arial Narrow" w:hAnsi="Arial Narrow"/>
          <w:sz w:val="17"/>
          <w:szCs w:val="17"/>
        </w:rPr>
        <w:t>St</w:t>
      </w:r>
      <w:proofErr w:type="spellEnd"/>
      <w:r w:rsidRPr="00E96F86">
        <w:rPr>
          <w:rFonts w:ascii="Arial Narrow" w:hAnsi="Arial Narrow"/>
          <w:sz w:val="17"/>
          <w:szCs w:val="17"/>
        </w:rPr>
        <w:t xml:space="preserve">. </w:t>
      </w:r>
      <w:proofErr w:type="spellStart"/>
      <w:r w:rsidRPr="00E96F86">
        <w:rPr>
          <w:rFonts w:ascii="Arial Narrow" w:hAnsi="Arial Narrow"/>
          <w:sz w:val="17"/>
          <w:szCs w:val="17"/>
        </w:rPr>
        <w:t>Ivan</w:t>
      </w:r>
      <w:proofErr w:type="spellEnd"/>
      <w:r w:rsidRPr="00E96F86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E96F86">
        <w:rPr>
          <w:rFonts w:ascii="Arial Narrow" w:hAnsi="Arial Narrow"/>
          <w:sz w:val="17"/>
          <w:szCs w:val="17"/>
        </w:rPr>
        <w:t>Rilski</w:t>
      </w:r>
      <w:proofErr w:type="spellEnd"/>
      <w:r w:rsidRPr="00E96F86">
        <w:rPr>
          <w:rFonts w:ascii="Arial Narrow" w:hAnsi="Arial Narrow"/>
          <w:sz w:val="17"/>
          <w:szCs w:val="17"/>
        </w:rPr>
        <w:t xml:space="preserve">”, </w:t>
      </w:r>
      <w:proofErr w:type="spellStart"/>
      <w:r w:rsidRPr="00E96F86">
        <w:rPr>
          <w:rFonts w:ascii="Arial Narrow" w:hAnsi="Arial Narrow"/>
          <w:sz w:val="17"/>
          <w:szCs w:val="17"/>
        </w:rPr>
        <w:t>Vol</w:t>
      </w:r>
      <w:proofErr w:type="spellEnd"/>
      <w:r w:rsidRPr="00E96F86">
        <w:rPr>
          <w:rFonts w:ascii="Arial Narrow" w:hAnsi="Arial Narrow"/>
          <w:sz w:val="17"/>
          <w:szCs w:val="17"/>
        </w:rPr>
        <w:t xml:space="preserve">. 57, </w:t>
      </w:r>
      <w:proofErr w:type="spellStart"/>
      <w:r w:rsidRPr="00E96F86">
        <w:rPr>
          <w:rFonts w:ascii="Arial Narrow" w:hAnsi="Arial Narrow"/>
          <w:sz w:val="17"/>
          <w:szCs w:val="17"/>
        </w:rPr>
        <w:t>Part</w:t>
      </w:r>
      <w:proofErr w:type="spellEnd"/>
      <w:r w:rsidRPr="00E96F86">
        <w:rPr>
          <w:rFonts w:ascii="Arial Narrow" w:hAnsi="Arial Narrow"/>
          <w:sz w:val="17"/>
          <w:szCs w:val="17"/>
        </w:rPr>
        <w:t xml:space="preserve"> ІІІ, </w:t>
      </w:r>
      <w:proofErr w:type="spellStart"/>
      <w:r w:rsidRPr="00E96F86">
        <w:rPr>
          <w:rFonts w:ascii="Arial Narrow" w:hAnsi="Arial Narrow"/>
          <w:sz w:val="17"/>
          <w:szCs w:val="17"/>
        </w:rPr>
        <w:t>Mechanization</w:t>
      </w:r>
      <w:proofErr w:type="spellEnd"/>
      <w:r w:rsidRPr="00E96F86">
        <w:rPr>
          <w:rFonts w:ascii="Arial Narrow" w:hAnsi="Arial Narrow"/>
          <w:sz w:val="17"/>
          <w:szCs w:val="17"/>
        </w:rPr>
        <w:t xml:space="preserve">, </w:t>
      </w:r>
      <w:proofErr w:type="spellStart"/>
      <w:r w:rsidRPr="00E96F86">
        <w:rPr>
          <w:rFonts w:ascii="Arial Narrow" w:hAnsi="Arial Narrow"/>
          <w:sz w:val="17"/>
          <w:szCs w:val="17"/>
        </w:rPr>
        <w:t>electrification</w:t>
      </w:r>
      <w:proofErr w:type="spellEnd"/>
      <w:r w:rsidRPr="00E96F86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E96F86">
        <w:rPr>
          <w:rFonts w:ascii="Arial Narrow" w:hAnsi="Arial Narrow"/>
          <w:sz w:val="17"/>
          <w:szCs w:val="17"/>
        </w:rPr>
        <w:t>and</w:t>
      </w:r>
      <w:proofErr w:type="spellEnd"/>
      <w:r w:rsidRPr="00E96F86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E96F86">
        <w:rPr>
          <w:rFonts w:ascii="Arial Narrow" w:hAnsi="Arial Narrow"/>
          <w:sz w:val="17"/>
          <w:szCs w:val="17"/>
        </w:rPr>
        <w:t>automation</w:t>
      </w:r>
      <w:proofErr w:type="spellEnd"/>
      <w:r w:rsidRPr="00E96F86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E96F86">
        <w:rPr>
          <w:rFonts w:ascii="Arial Narrow" w:hAnsi="Arial Narrow"/>
          <w:sz w:val="17"/>
          <w:szCs w:val="17"/>
        </w:rPr>
        <w:t>in</w:t>
      </w:r>
      <w:proofErr w:type="spellEnd"/>
      <w:r w:rsidRPr="00E96F86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E96F86">
        <w:rPr>
          <w:rFonts w:ascii="Arial Narrow" w:hAnsi="Arial Narrow"/>
          <w:sz w:val="17"/>
          <w:szCs w:val="17"/>
        </w:rPr>
        <w:t>mines</w:t>
      </w:r>
      <w:proofErr w:type="spellEnd"/>
      <w:r w:rsidRPr="00E96F86">
        <w:rPr>
          <w:rFonts w:ascii="Arial Narrow" w:hAnsi="Arial Narrow"/>
          <w:sz w:val="17"/>
          <w:szCs w:val="17"/>
        </w:rPr>
        <w:t>, 2014</w:t>
      </w:r>
    </w:p>
    <w:p w:rsidR="001D7F9A" w:rsidRDefault="001D7F9A">
      <w:pPr>
        <w:pStyle w:val="BodyText"/>
        <w:jc w:val="both"/>
        <w:rPr>
          <w:caps/>
          <w:sz w:val="28"/>
          <w:szCs w:val="28"/>
          <w:lang w:val="en-US"/>
        </w:rPr>
      </w:pPr>
    </w:p>
    <w:p w:rsidR="00E96F86" w:rsidRDefault="00E96F86">
      <w:pPr>
        <w:pStyle w:val="BodyText"/>
        <w:jc w:val="both"/>
        <w:rPr>
          <w:caps/>
          <w:sz w:val="28"/>
          <w:szCs w:val="28"/>
          <w:lang w:val="en-US"/>
        </w:rPr>
      </w:pPr>
    </w:p>
    <w:p w:rsidR="00E96F86" w:rsidRPr="00E96F86" w:rsidRDefault="00E96F86">
      <w:pPr>
        <w:pStyle w:val="BodyText"/>
        <w:jc w:val="both"/>
        <w:rPr>
          <w:caps/>
          <w:sz w:val="28"/>
          <w:szCs w:val="28"/>
          <w:lang w:val="en-US"/>
        </w:rPr>
      </w:pPr>
    </w:p>
    <w:p w:rsidR="001D7F9A" w:rsidRDefault="001D7F9A">
      <w:pPr>
        <w:pStyle w:val="BodyText"/>
        <w:jc w:val="both"/>
        <w:rPr>
          <w:caps/>
          <w:sz w:val="28"/>
          <w:szCs w:val="28"/>
        </w:rPr>
      </w:pPr>
    </w:p>
    <w:p w:rsidR="001D7F9A" w:rsidRDefault="001D7F9A">
      <w:pPr>
        <w:pStyle w:val="BodyText"/>
        <w:jc w:val="both"/>
        <w:rPr>
          <w:caps/>
          <w:sz w:val="28"/>
          <w:szCs w:val="28"/>
        </w:rPr>
      </w:pPr>
    </w:p>
    <w:p w:rsidR="001D7F9A" w:rsidRDefault="001D7F9A">
      <w:pPr>
        <w:pStyle w:val="BodyText"/>
        <w:jc w:val="both"/>
        <w:rPr>
          <w:caps/>
          <w:sz w:val="28"/>
          <w:szCs w:val="28"/>
        </w:rPr>
      </w:pPr>
    </w:p>
    <w:p w:rsidR="003944F0" w:rsidRPr="00AF165D" w:rsidRDefault="008C527A" w:rsidP="0075107F">
      <w:pPr>
        <w:rPr>
          <w:rFonts w:ascii="Arial Narrow" w:hAnsi="Arial Narrow"/>
          <w:b/>
          <w:caps/>
          <w:sz w:val="28"/>
          <w:szCs w:val="28"/>
        </w:rPr>
      </w:pPr>
      <w:r w:rsidRPr="008C527A">
        <w:rPr>
          <w:rFonts w:ascii="Arial Narrow" w:hAnsi="Arial Narrow"/>
          <w:b/>
          <w:caps/>
          <w:sz w:val="28"/>
          <w:szCs w:val="28"/>
        </w:rPr>
        <w:t>Режими на натоварване на мощни трансформатори със стъпално регулиране на напрежението</w:t>
      </w:r>
    </w:p>
    <w:p w:rsidR="001D7F9A" w:rsidRDefault="001D7F9A">
      <w:pPr>
        <w:jc w:val="both"/>
        <w:rPr>
          <w:rFonts w:ascii="Arial Narrow" w:hAnsi="Arial Narrow" w:cs="Arial"/>
          <w:sz w:val="28"/>
          <w:szCs w:val="28"/>
        </w:rPr>
      </w:pPr>
    </w:p>
    <w:p w:rsidR="0075107F" w:rsidRPr="00DC3CC8" w:rsidRDefault="00FD49A5" w:rsidP="0075107F">
      <w:pPr>
        <w:rPr>
          <w:rFonts w:ascii="Arial Narrow" w:hAnsi="Arial Narrow" w:cs="Arial"/>
          <w:b/>
          <w:i/>
        </w:rPr>
      </w:pPr>
      <w:r w:rsidRPr="00FD49A5">
        <w:rPr>
          <w:rFonts w:ascii="Arial Narrow" w:hAnsi="Arial Narrow" w:cs="Arial"/>
          <w:b/>
          <w:i/>
        </w:rPr>
        <w:t>Стефан Чобанов</w:t>
      </w:r>
    </w:p>
    <w:p w:rsidR="001D7F9A" w:rsidRPr="00AF165D" w:rsidRDefault="001D7F9A">
      <w:pPr>
        <w:jc w:val="both"/>
        <w:rPr>
          <w:rFonts w:ascii="Arial Narrow" w:hAnsi="Arial Narrow" w:cs="Arial"/>
          <w:b/>
          <w:i/>
          <w:sz w:val="28"/>
          <w:szCs w:val="28"/>
        </w:rPr>
      </w:pPr>
    </w:p>
    <w:p w:rsidR="00FD49A5" w:rsidRDefault="00FD49A5" w:rsidP="00FD49A5">
      <w:pPr>
        <w:jc w:val="both"/>
        <w:rPr>
          <w:rFonts w:ascii="Arial Narrow" w:hAnsi="Arial Narrow"/>
          <w:i/>
          <w:sz w:val="20"/>
          <w:szCs w:val="20"/>
          <w:lang w:val="ru-RU"/>
        </w:rPr>
      </w:pPr>
      <w:r w:rsidRPr="00336240">
        <w:rPr>
          <w:rFonts w:ascii="Arial Narrow" w:hAnsi="Arial Narrow"/>
          <w:i/>
          <w:sz w:val="20"/>
          <w:szCs w:val="20"/>
        </w:rPr>
        <w:t>СМС-С ЕООД, Пирдоп</w:t>
      </w:r>
      <w:r w:rsidR="00E96F86">
        <w:rPr>
          <w:rFonts w:ascii="Arial Narrow" w:hAnsi="Arial Narrow"/>
          <w:i/>
          <w:sz w:val="20"/>
          <w:szCs w:val="20"/>
          <w:lang w:val="en-US"/>
        </w:rPr>
        <w:t>,</w:t>
      </w:r>
      <w:r w:rsidRPr="00336240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i/>
          <w:sz w:val="20"/>
          <w:szCs w:val="20"/>
          <w:lang w:val="en-US"/>
        </w:rPr>
        <w:t>stefan</w:t>
      </w:r>
      <w:proofErr w:type="spellEnd"/>
      <w:r w:rsidRPr="00AF165D">
        <w:rPr>
          <w:rFonts w:ascii="Arial Narrow" w:hAnsi="Arial Narrow"/>
          <w:i/>
          <w:sz w:val="20"/>
          <w:szCs w:val="20"/>
        </w:rPr>
        <w:t>.</w:t>
      </w:r>
      <w:proofErr w:type="spellStart"/>
      <w:r>
        <w:rPr>
          <w:rFonts w:ascii="Arial Narrow" w:hAnsi="Arial Narrow"/>
          <w:i/>
          <w:sz w:val="20"/>
          <w:szCs w:val="20"/>
          <w:lang w:val="en-US"/>
        </w:rPr>
        <w:t>chobanov</w:t>
      </w:r>
      <w:proofErr w:type="spellEnd"/>
      <w:r w:rsidRPr="00336240">
        <w:rPr>
          <w:rFonts w:ascii="Arial Narrow" w:hAnsi="Arial Narrow"/>
          <w:i/>
          <w:sz w:val="20"/>
          <w:szCs w:val="20"/>
          <w:lang w:val="ru-RU"/>
        </w:rPr>
        <w:t>@cmc-c.com</w:t>
      </w:r>
    </w:p>
    <w:p w:rsidR="003944F0" w:rsidRDefault="003944F0">
      <w:pPr>
        <w:jc w:val="both"/>
        <w:rPr>
          <w:rFonts w:ascii="Arial Narrow" w:hAnsi="Arial Narrow" w:cs="Arial"/>
          <w:sz w:val="28"/>
          <w:szCs w:val="28"/>
        </w:rPr>
      </w:pPr>
    </w:p>
    <w:p w:rsidR="008C527A" w:rsidRPr="00AF165D" w:rsidRDefault="001D7F9A" w:rsidP="006E370B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РЕЗЮМЕ:</w:t>
      </w:r>
      <w:r w:rsidR="0075107F" w:rsidRPr="00AF165D">
        <w:rPr>
          <w:rFonts w:ascii="Arial Narrow" w:hAnsi="Arial Narrow"/>
          <w:sz w:val="16"/>
          <w:szCs w:val="16"/>
        </w:rPr>
        <w:t xml:space="preserve"> </w:t>
      </w:r>
      <w:r w:rsidR="008C527A" w:rsidRPr="00982E6C">
        <w:rPr>
          <w:rFonts w:ascii="Arial Narrow" w:hAnsi="Arial Narrow"/>
          <w:sz w:val="16"/>
          <w:szCs w:val="16"/>
        </w:rPr>
        <w:t>Разгледани са параметри, характерни за различни режими на работа. Дадени са резултатите от изследвания при съществуваща асиметрия в характеристиките на трансформаторите и на позициите на стъпалните регулатори. След анализ се дават обосновани препоръки за оптимален избор на степените на стъпалните регулатори на трансформаторите при преминаване в режим на паралелна работа.</w:t>
      </w:r>
    </w:p>
    <w:p w:rsidR="001D7F9A" w:rsidRPr="00AF165D" w:rsidRDefault="001D7F9A">
      <w:pPr>
        <w:jc w:val="both"/>
        <w:rPr>
          <w:rFonts w:ascii="Arial Narrow" w:hAnsi="Arial Narrow"/>
          <w:sz w:val="28"/>
          <w:szCs w:val="28"/>
        </w:rPr>
      </w:pPr>
    </w:p>
    <w:p w:rsidR="00E4628B" w:rsidRDefault="006E370B">
      <w:pPr>
        <w:rPr>
          <w:rFonts w:ascii="Arial Narrow" w:hAnsi="Arial Narrow"/>
          <w:b/>
          <w:lang w:val="en-US"/>
        </w:rPr>
      </w:pPr>
      <w:r w:rsidRPr="008C527A">
        <w:rPr>
          <w:rFonts w:ascii="Arial Narrow" w:hAnsi="Arial Narrow"/>
          <w:b/>
          <w:sz w:val="20"/>
          <w:szCs w:val="20"/>
          <w:lang w:val="en-US"/>
        </w:rPr>
        <w:t>LOADING MODES OF POWERFUL TRANSFORMERS WITH STEPPED REGULATING VOLTAGE</w:t>
      </w:r>
      <w:r w:rsidRPr="00D36002">
        <w:rPr>
          <w:rFonts w:ascii="Arial Narrow" w:hAnsi="Arial Narrow"/>
          <w:b/>
          <w:sz w:val="20"/>
          <w:szCs w:val="20"/>
          <w:lang w:val="en-US"/>
        </w:rPr>
        <w:t xml:space="preserve"> </w:t>
      </w:r>
    </w:p>
    <w:p w:rsidR="001D7F9A" w:rsidRPr="00D41114" w:rsidRDefault="00FD49A5">
      <w:pPr>
        <w:rPr>
          <w:rFonts w:ascii="Arial Narrow" w:hAnsi="Arial Narrow"/>
          <w:b/>
          <w:i/>
          <w:sz w:val="20"/>
          <w:szCs w:val="20"/>
          <w:lang w:val="en-US"/>
        </w:rPr>
      </w:pPr>
      <w:r w:rsidRPr="00D41114">
        <w:rPr>
          <w:rFonts w:ascii="Arial Narrow" w:hAnsi="Arial Narrow"/>
          <w:b/>
          <w:i/>
          <w:sz w:val="20"/>
          <w:szCs w:val="20"/>
          <w:lang w:val="en-US"/>
        </w:rPr>
        <w:t xml:space="preserve">Stefan </w:t>
      </w:r>
      <w:proofErr w:type="spellStart"/>
      <w:r w:rsidRPr="00D41114">
        <w:rPr>
          <w:rFonts w:ascii="Arial Narrow" w:hAnsi="Arial Narrow"/>
          <w:b/>
          <w:i/>
          <w:sz w:val="20"/>
          <w:szCs w:val="20"/>
          <w:lang w:val="en-US"/>
        </w:rPr>
        <w:t>Scobanov</w:t>
      </w:r>
      <w:proofErr w:type="spellEnd"/>
    </w:p>
    <w:p w:rsidR="00FD49A5" w:rsidRDefault="00FD49A5" w:rsidP="00FD49A5">
      <w:pPr>
        <w:jc w:val="both"/>
        <w:rPr>
          <w:rFonts w:ascii="Arial Narrow" w:hAnsi="Arial Narrow"/>
          <w:i/>
          <w:sz w:val="20"/>
          <w:szCs w:val="20"/>
        </w:rPr>
      </w:pPr>
      <w:r w:rsidRPr="00B50B8C">
        <w:rPr>
          <w:rFonts w:ascii="Arial Narrow" w:hAnsi="Arial Narrow"/>
          <w:i/>
          <w:sz w:val="20"/>
          <w:szCs w:val="20"/>
        </w:rPr>
        <w:t xml:space="preserve">СМС-С </w:t>
      </w:r>
      <w:r w:rsidRPr="00B50B8C">
        <w:rPr>
          <w:rFonts w:ascii="Arial Narrow" w:hAnsi="Arial Narrow"/>
          <w:i/>
          <w:sz w:val="20"/>
          <w:szCs w:val="20"/>
          <w:lang w:val="en-US"/>
        </w:rPr>
        <w:t>Ltd</w:t>
      </w:r>
      <w:r w:rsidRPr="00B50B8C">
        <w:rPr>
          <w:rFonts w:ascii="Arial Narrow" w:hAnsi="Arial Narrow"/>
          <w:i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i/>
          <w:sz w:val="20"/>
          <w:szCs w:val="20"/>
          <w:lang w:val="en-US"/>
        </w:rPr>
        <w:t>Pirdop</w:t>
      </w:r>
      <w:proofErr w:type="spellEnd"/>
      <w:r w:rsidR="006E370B">
        <w:rPr>
          <w:rFonts w:ascii="Arial Narrow" w:hAnsi="Arial Narrow"/>
          <w:i/>
          <w:sz w:val="20"/>
          <w:szCs w:val="20"/>
          <w:lang w:val="en-US"/>
        </w:rPr>
        <w:t>,</w:t>
      </w:r>
      <w:r w:rsidRPr="00B50B8C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i/>
          <w:sz w:val="20"/>
          <w:szCs w:val="20"/>
          <w:lang w:val="en-US"/>
        </w:rPr>
        <w:t>stefan.chobanov</w:t>
      </w:r>
      <w:proofErr w:type="spellEnd"/>
      <w:r w:rsidRPr="00336240">
        <w:rPr>
          <w:rFonts w:ascii="Arial Narrow" w:hAnsi="Arial Narrow"/>
          <w:i/>
          <w:sz w:val="20"/>
          <w:szCs w:val="20"/>
          <w:lang w:val="ru-RU"/>
        </w:rPr>
        <w:t>@cmc-c.com</w:t>
      </w:r>
    </w:p>
    <w:p w:rsidR="001D7F9A" w:rsidRPr="00F73367" w:rsidRDefault="001D7F9A">
      <w:pPr>
        <w:rPr>
          <w:rFonts w:ascii="Arial Narrow" w:hAnsi="Arial Narrow"/>
          <w:i/>
          <w:sz w:val="20"/>
          <w:szCs w:val="20"/>
          <w:lang w:val="en-US"/>
        </w:rPr>
      </w:pPr>
    </w:p>
    <w:p w:rsidR="00B03815" w:rsidRPr="00B03815" w:rsidRDefault="001D7F9A" w:rsidP="006E370B">
      <w:pPr>
        <w:jc w:val="both"/>
        <w:rPr>
          <w:rFonts w:ascii="Arial Narrow" w:hAnsi="Arial Narrow"/>
          <w:sz w:val="15"/>
          <w:szCs w:val="15"/>
          <w:lang w:val="en-US"/>
        </w:rPr>
      </w:pPr>
      <w:r w:rsidRPr="00F73367">
        <w:rPr>
          <w:rFonts w:ascii="Arial Narrow" w:hAnsi="Arial Narrow"/>
          <w:b/>
          <w:caps/>
          <w:sz w:val="16"/>
          <w:szCs w:val="16"/>
          <w:lang w:val="en-US"/>
        </w:rPr>
        <w:t>Abstract</w:t>
      </w:r>
      <w:r w:rsidR="00B15B2B" w:rsidRPr="00F73367">
        <w:rPr>
          <w:rFonts w:ascii="Arial Narrow" w:hAnsi="Arial Narrow"/>
          <w:b/>
          <w:caps/>
          <w:sz w:val="16"/>
          <w:szCs w:val="16"/>
        </w:rPr>
        <w:t>:</w:t>
      </w:r>
      <w:r w:rsidR="00B03815" w:rsidRPr="00B03815">
        <w:rPr>
          <w:rFonts w:ascii="Arial Narrow" w:hAnsi="Arial Narrow"/>
          <w:sz w:val="16"/>
          <w:szCs w:val="16"/>
        </w:rPr>
        <w:t xml:space="preserve"> </w:t>
      </w:r>
      <w:r w:rsidR="008C527A" w:rsidRPr="00767F4F">
        <w:rPr>
          <w:rFonts w:ascii="Arial Narrow" w:hAnsi="Arial Narrow"/>
          <w:sz w:val="16"/>
          <w:szCs w:val="16"/>
        </w:rPr>
        <w:t xml:space="preserve">Parameters that are typical for the </w:t>
      </w:r>
      <w:r w:rsidR="008C527A" w:rsidRPr="00E4688A">
        <w:rPr>
          <w:rFonts w:ascii="Arial Narrow" w:hAnsi="Arial Narrow"/>
          <w:sz w:val="16"/>
          <w:szCs w:val="16"/>
          <w:lang w:val="en-US"/>
        </w:rPr>
        <w:t>different working modes are</w:t>
      </w:r>
      <w:r w:rsidR="008C527A">
        <w:rPr>
          <w:rFonts w:ascii="Arial Narrow" w:hAnsi="Arial Narrow"/>
          <w:sz w:val="16"/>
          <w:szCs w:val="16"/>
          <w:lang w:val="en-US"/>
        </w:rPr>
        <w:t xml:space="preserve"> examined. The results from the </w:t>
      </w:r>
      <w:r w:rsidR="008C527A" w:rsidRPr="00E4688A">
        <w:rPr>
          <w:rFonts w:ascii="Arial Narrow" w:hAnsi="Arial Narrow"/>
          <w:sz w:val="16"/>
          <w:szCs w:val="16"/>
          <w:lang w:val="en-US"/>
        </w:rPr>
        <w:t>studies in existing asymmetry in the characteristics of the transformers and the position of the stepped regulators are shown.</w:t>
      </w:r>
      <w:r w:rsidR="008C527A">
        <w:rPr>
          <w:rFonts w:ascii="Arial Narrow" w:hAnsi="Arial Narrow"/>
          <w:sz w:val="16"/>
          <w:szCs w:val="16"/>
          <w:lang w:val="en-US"/>
        </w:rPr>
        <w:t xml:space="preserve"> </w:t>
      </w:r>
      <w:r w:rsidR="008C527A" w:rsidRPr="00E4688A">
        <w:rPr>
          <w:rFonts w:ascii="Arial Narrow" w:hAnsi="Arial Narrow"/>
          <w:sz w:val="16"/>
          <w:szCs w:val="16"/>
          <w:lang w:val="en-US"/>
        </w:rPr>
        <w:t>After the analysis</w:t>
      </w:r>
      <w:r w:rsidR="008C527A">
        <w:rPr>
          <w:rFonts w:ascii="Arial Narrow" w:hAnsi="Arial Narrow"/>
          <w:sz w:val="16"/>
          <w:szCs w:val="16"/>
          <w:lang w:val="en-US"/>
        </w:rPr>
        <w:t>,</w:t>
      </w:r>
      <w:r w:rsidR="008C527A" w:rsidRPr="00E4688A">
        <w:rPr>
          <w:rFonts w:ascii="Arial Narrow" w:hAnsi="Arial Narrow"/>
          <w:sz w:val="16"/>
          <w:szCs w:val="16"/>
          <w:lang w:val="en-US"/>
        </w:rPr>
        <w:t xml:space="preserve"> based recommendations for the optimal choice of stepped regulators of the transformers in mode of parallel operation</w:t>
      </w:r>
      <w:r w:rsidR="008C527A">
        <w:rPr>
          <w:rFonts w:ascii="Arial Narrow" w:hAnsi="Arial Narrow"/>
          <w:sz w:val="16"/>
          <w:szCs w:val="16"/>
          <w:lang w:val="en-US"/>
        </w:rPr>
        <w:t xml:space="preserve"> are given</w:t>
      </w:r>
      <w:r w:rsidR="008C527A" w:rsidRPr="00E4688A">
        <w:rPr>
          <w:rFonts w:ascii="Arial Narrow" w:hAnsi="Arial Narrow"/>
          <w:sz w:val="16"/>
          <w:szCs w:val="16"/>
          <w:lang w:val="en-US"/>
        </w:rPr>
        <w:t>.</w:t>
      </w:r>
    </w:p>
    <w:p w:rsidR="00DC3CC8" w:rsidRPr="004D2FE8" w:rsidRDefault="00DC3CC8" w:rsidP="00DC3CC8">
      <w:pPr>
        <w:jc w:val="both"/>
        <w:rPr>
          <w:rFonts w:ascii="Arial Narrow" w:hAnsi="Arial Narrow"/>
          <w:sz w:val="28"/>
          <w:szCs w:val="28"/>
        </w:rPr>
      </w:pPr>
    </w:p>
    <w:p w:rsidR="001D7F9A" w:rsidRDefault="001D7F9A" w:rsidP="00F73367">
      <w:pPr>
        <w:jc w:val="both"/>
        <w:rPr>
          <w:rFonts w:ascii="Arial Narrow" w:hAnsi="Arial Narrow"/>
          <w:sz w:val="20"/>
          <w:szCs w:val="20"/>
        </w:rPr>
        <w:sectPr w:rsidR="001D7F9A" w:rsidSect="00562264">
          <w:footerReference w:type="default" r:id="rId9"/>
          <w:type w:val="continuous"/>
          <w:pgSz w:w="11906" w:h="16838" w:code="9"/>
          <w:pgMar w:top="1021" w:right="1134" w:bottom="1247" w:left="1134" w:header="709" w:footer="794" w:gutter="0"/>
          <w:pgNumType w:start="43"/>
          <w:cols w:space="708"/>
          <w:docGrid w:linePitch="360"/>
        </w:sectPr>
      </w:pPr>
    </w:p>
    <w:p w:rsidR="00DA4DC6" w:rsidRPr="00F77319" w:rsidRDefault="00E44915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AF165D">
        <w:rPr>
          <w:rFonts w:ascii="Arial Narrow" w:hAnsi="Arial Narrow" w:cs="Arial"/>
          <w:color w:val="000000" w:themeColor="text1"/>
          <w:sz w:val="20"/>
          <w:szCs w:val="20"/>
        </w:rPr>
        <w:lastRenderedPageBreak/>
        <w:t xml:space="preserve">   </w:t>
      </w:r>
      <w:r w:rsidR="008C527A" w:rsidRPr="00F77319">
        <w:rPr>
          <w:rFonts w:ascii="Arial Narrow" w:hAnsi="Arial Narrow" w:cs="Arial"/>
          <w:color w:val="000000" w:themeColor="text1"/>
          <w:sz w:val="20"/>
          <w:szCs w:val="20"/>
        </w:rPr>
        <w:t>Изследването е в резу</w:t>
      </w:r>
      <w:r w:rsidR="00F77319">
        <w:rPr>
          <w:rFonts w:ascii="Arial Narrow" w:hAnsi="Arial Narrow" w:cs="Arial"/>
          <w:color w:val="000000" w:themeColor="text1"/>
          <w:sz w:val="20"/>
          <w:szCs w:val="20"/>
        </w:rPr>
        <w:t>л</w:t>
      </w:r>
      <w:r w:rsidR="008C527A" w:rsidRPr="00F77319">
        <w:rPr>
          <w:rFonts w:ascii="Arial Narrow" w:hAnsi="Arial Narrow" w:cs="Arial"/>
          <w:color w:val="000000" w:themeColor="text1"/>
          <w:sz w:val="20"/>
          <w:szCs w:val="20"/>
        </w:rPr>
        <w:t>тат на проблеми</w:t>
      </w:r>
      <w:r w:rsidR="00AF165D" w:rsidRPr="00AF165D">
        <w:rPr>
          <w:rFonts w:ascii="Arial Narrow" w:hAnsi="Arial Narrow" w:cs="Arial"/>
          <w:color w:val="000000" w:themeColor="text1"/>
          <w:sz w:val="20"/>
          <w:szCs w:val="20"/>
        </w:rPr>
        <w:t>,</w:t>
      </w:r>
      <w:r w:rsidR="008C527A" w:rsidRPr="00F77319">
        <w:rPr>
          <w:rFonts w:ascii="Arial Narrow" w:hAnsi="Arial Narrow" w:cs="Arial"/>
          <w:color w:val="000000" w:themeColor="text1"/>
          <w:sz w:val="20"/>
          <w:szCs w:val="20"/>
        </w:rPr>
        <w:t xml:space="preserve"> възникващи при </w:t>
      </w:r>
      <w:r w:rsidR="005E6FA5">
        <w:rPr>
          <w:rFonts w:ascii="Arial Narrow" w:hAnsi="Arial Narrow" w:cs="Arial"/>
          <w:color w:val="000000" w:themeColor="text1"/>
          <w:sz w:val="20"/>
          <w:szCs w:val="20"/>
        </w:rPr>
        <w:t>различните</w:t>
      </w:r>
      <w:r w:rsidR="008C527A" w:rsidRPr="00F77319">
        <w:rPr>
          <w:rFonts w:ascii="Arial Narrow" w:hAnsi="Arial Narrow" w:cs="Arial"/>
          <w:color w:val="000000" w:themeColor="text1"/>
          <w:sz w:val="20"/>
          <w:szCs w:val="20"/>
        </w:rPr>
        <w:t xml:space="preserve"> режими на работа на двата </w:t>
      </w:r>
      <w:r w:rsidR="005E6FA5">
        <w:rPr>
          <w:rFonts w:ascii="Arial Narrow" w:hAnsi="Arial Narrow" w:cs="Arial"/>
          <w:color w:val="000000" w:themeColor="text1"/>
          <w:sz w:val="20"/>
          <w:szCs w:val="20"/>
        </w:rPr>
        <w:t>(</w:t>
      </w:r>
      <w:r w:rsidR="008C527A" w:rsidRPr="00F77319">
        <w:rPr>
          <w:rFonts w:ascii="Arial Narrow" w:hAnsi="Arial Narrow" w:cs="Arial"/>
          <w:color w:val="000000" w:themeColor="text1"/>
          <w:sz w:val="20"/>
          <w:szCs w:val="20"/>
        </w:rPr>
        <w:t>еднотип</w:t>
      </w:r>
      <w:r w:rsidR="005E6FA5">
        <w:rPr>
          <w:rFonts w:ascii="Arial Narrow" w:hAnsi="Arial Narrow" w:cs="Arial"/>
          <w:color w:val="000000" w:themeColor="text1"/>
          <w:sz w:val="20"/>
          <w:szCs w:val="20"/>
        </w:rPr>
        <w:t>н</w:t>
      </w:r>
      <w:r w:rsidR="008C527A" w:rsidRPr="00F77319">
        <w:rPr>
          <w:rFonts w:ascii="Arial Narrow" w:hAnsi="Arial Narrow" w:cs="Arial"/>
          <w:color w:val="000000" w:themeColor="text1"/>
          <w:sz w:val="20"/>
          <w:szCs w:val="20"/>
        </w:rPr>
        <w:t>и</w:t>
      </w:r>
      <w:r w:rsidR="005E6FA5">
        <w:rPr>
          <w:rFonts w:ascii="Arial Narrow" w:hAnsi="Arial Narrow" w:cs="Arial"/>
          <w:color w:val="000000" w:themeColor="text1"/>
          <w:sz w:val="20"/>
          <w:szCs w:val="20"/>
        </w:rPr>
        <w:t>)</w:t>
      </w:r>
      <w:r w:rsidR="008C527A" w:rsidRPr="00F77319">
        <w:rPr>
          <w:rFonts w:ascii="Arial Narrow" w:hAnsi="Arial Narrow" w:cs="Arial"/>
          <w:color w:val="000000" w:themeColor="text1"/>
          <w:sz w:val="20"/>
          <w:szCs w:val="20"/>
        </w:rPr>
        <w:t xml:space="preserve"> захранващи трансформатора 110/6</w:t>
      </w:r>
      <w:r w:rsidR="00012BBE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k</w:t>
      </w:r>
      <w:r w:rsidR="008C527A" w:rsidRPr="00F77319">
        <w:rPr>
          <w:rFonts w:ascii="Arial Narrow" w:hAnsi="Arial Narrow" w:cs="Arial"/>
          <w:color w:val="000000" w:themeColor="text1"/>
          <w:sz w:val="20"/>
          <w:szCs w:val="20"/>
        </w:rPr>
        <w:t xml:space="preserve">V, 16МVА в </w:t>
      </w:r>
      <w:r w:rsidR="00926676">
        <w:rPr>
          <w:rFonts w:ascii="Arial Narrow" w:hAnsi="Arial Narrow" w:cs="Arial"/>
          <w:color w:val="000000" w:themeColor="text1"/>
          <w:sz w:val="20"/>
          <w:szCs w:val="20"/>
        </w:rPr>
        <w:t xml:space="preserve">Централна разпределителна </w:t>
      </w:r>
      <w:r w:rsidR="008C527A" w:rsidRPr="00F77319">
        <w:rPr>
          <w:rFonts w:ascii="Arial Narrow" w:hAnsi="Arial Narrow" w:cs="Arial"/>
          <w:color w:val="000000" w:themeColor="text1"/>
          <w:sz w:val="20"/>
          <w:szCs w:val="20"/>
        </w:rPr>
        <w:t>подстанция (</w:t>
      </w:r>
      <w:r w:rsidR="00926676">
        <w:rPr>
          <w:rFonts w:ascii="Arial Narrow" w:hAnsi="Arial Narrow" w:cs="Arial"/>
          <w:color w:val="000000" w:themeColor="text1"/>
          <w:sz w:val="20"/>
          <w:szCs w:val="20"/>
        </w:rPr>
        <w:t>Ц</w:t>
      </w:r>
      <w:r w:rsidR="008C527A" w:rsidRPr="00F77319">
        <w:rPr>
          <w:rFonts w:ascii="Arial Narrow" w:hAnsi="Arial Narrow" w:cs="Arial"/>
          <w:color w:val="000000" w:themeColor="text1"/>
          <w:sz w:val="20"/>
          <w:szCs w:val="20"/>
        </w:rPr>
        <w:t xml:space="preserve">РП) на </w:t>
      </w:r>
      <w:r w:rsidR="008C527A" w:rsidRPr="00F77319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Dundee</w:t>
      </w:r>
      <w:r w:rsidR="008C527A" w:rsidRPr="00AF165D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8C527A" w:rsidRPr="00F77319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Precious</w:t>
      </w:r>
      <w:r w:rsidR="008C527A" w:rsidRPr="00AF165D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8C527A" w:rsidRPr="00F77319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Metals</w:t>
      </w:r>
      <w:r w:rsidR="008C527A" w:rsidRPr="00AF165D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="008C527A" w:rsidRPr="00F77319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Chelopech</w:t>
      </w:r>
      <w:proofErr w:type="spellEnd"/>
      <w:r w:rsidR="008C527A" w:rsidRPr="00AF165D">
        <w:rPr>
          <w:rFonts w:ascii="Arial Narrow" w:hAnsi="Arial Narrow" w:cs="Arial"/>
          <w:color w:val="000000" w:themeColor="text1"/>
          <w:sz w:val="20"/>
          <w:szCs w:val="20"/>
        </w:rPr>
        <w:t xml:space="preserve"> [3]</w:t>
      </w:r>
      <w:r w:rsidR="008C527A" w:rsidRPr="00F77319">
        <w:rPr>
          <w:rFonts w:ascii="Arial Narrow" w:hAnsi="Arial Narrow" w:cs="Arial"/>
          <w:color w:val="000000" w:themeColor="text1"/>
          <w:sz w:val="20"/>
          <w:szCs w:val="20"/>
        </w:rPr>
        <w:t>. Трансформаторите са със стъпално регулиране на напрежението</w:t>
      </w:r>
      <w:r w:rsidR="00926676">
        <w:rPr>
          <w:rFonts w:ascii="Arial Narrow" w:hAnsi="Arial Narrow" w:cs="Arial"/>
          <w:color w:val="000000" w:themeColor="text1"/>
          <w:sz w:val="20"/>
          <w:szCs w:val="20"/>
        </w:rPr>
        <w:t xml:space="preserve"> и</w:t>
      </w:r>
      <w:r w:rsidR="008C527A" w:rsidRPr="00F77319">
        <w:rPr>
          <w:rFonts w:ascii="Arial Narrow" w:hAnsi="Arial Narrow" w:cs="Arial"/>
          <w:color w:val="000000" w:themeColor="text1"/>
          <w:sz w:val="20"/>
          <w:szCs w:val="20"/>
        </w:rPr>
        <w:t xml:space="preserve"> на практика се налага да работят както </w:t>
      </w:r>
      <w:r w:rsidR="00926676">
        <w:rPr>
          <w:rFonts w:ascii="Arial Narrow" w:hAnsi="Arial Narrow" w:cs="Arial"/>
          <w:color w:val="000000" w:themeColor="text1"/>
          <w:sz w:val="20"/>
          <w:szCs w:val="20"/>
        </w:rPr>
        <w:t>индивидуално, така и в паралел.</w:t>
      </w:r>
    </w:p>
    <w:p w:rsidR="008C527A" w:rsidRPr="00F77319" w:rsidRDefault="008C527A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8C527A" w:rsidRPr="00F77319" w:rsidRDefault="008C527A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77319">
        <w:rPr>
          <w:rFonts w:ascii="Arial Narrow" w:hAnsi="Arial Narrow" w:cs="Arial"/>
          <w:color w:val="000000" w:themeColor="text1"/>
          <w:sz w:val="20"/>
          <w:szCs w:val="20"/>
        </w:rPr>
        <w:t xml:space="preserve">   Поводи за изследването са отклонения</w:t>
      </w:r>
      <w:r w:rsidR="005E6FA5">
        <w:rPr>
          <w:rFonts w:ascii="Arial Narrow" w:hAnsi="Arial Narrow" w:cs="Arial"/>
          <w:color w:val="000000" w:themeColor="text1"/>
          <w:sz w:val="20"/>
          <w:szCs w:val="20"/>
        </w:rPr>
        <w:t>та</w:t>
      </w:r>
      <w:r w:rsidRPr="00F77319">
        <w:rPr>
          <w:rFonts w:ascii="Arial Narrow" w:hAnsi="Arial Narrow" w:cs="Arial"/>
          <w:color w:val="000000" w:themeColor="text1"/>
          <w:sz w:val="20"/>
          <w:szCs w:val="20"/>
        </w:rPr>
        <w:t xml:space="preserve"> в техническите показатели на един от трансформаторите и необходимостта от оптимизация на стъпалното регулиране на напре</w:t>
      </w:r>
      <w:r w:rsidR="00926676">
        <w:rPr>
          <w:rFonts w:ascii="Arial Narrow" w:hAnsi="Arial Narrow" w:cs="Arial"/>
          <w:color w:val="000000" w:themeColor="text1"/>
          <w:sz w:val="20"/>
          <w:szCs w:val="20"/>
        </w:rPr>
        <w:t>жението в двата трансформатора.</w:t>
      </w:r>
    </w:p>
    <w:p w:rsidR="008C527A" w:rsidRDefault="008C527A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  <w:lang w:val="en-US"/>
        </w:rPr>
      </w:pPr>
    </w:p>
    <w:p w:rsidR="001C0DA9" w:rsidRPr="001C0DA9" w:rsidRDefault="001C0DA9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  <w:lang w:val="en-US"/>
        </w:rPr>
      </w:pPr>
    </w:p>
    <w:p w:rsidR="00F77319" w:rsidRPr="00F77319" w:rsidRDefault="00F77319" w:rsidP="00F77319">
      <w:pPr>
        <w:jc w:val="both"/>
        <w:rPr>
          <w:rFonts w:ascii="Arial Narrow" w:hAnsi="Arial Narrow" w:cs="Arial"/>
          <w:b/>
          <w:color w:val="000000" w:themeColor="text1"/>
        </w:rPr>
      </w:pPr>
      <w:r w:rsidRPr="00F77319">
        <w:rPr>
          <w:rFonts w:ascii="Arial Narrow" w:hAnsi="Arial Narrow" w:cs="Arial"/>
          <w:b/>
          <w:color w:val="000000" w:themeColor="text1"/>
        </w:rPr>
        <w:t>Режим</w:t>
      </w:r>
      <w:r w:rsidR="005E6FA5">
        <w:rPr>
          <w:rFonts w:ascii="Arial Narrow" w:hAnsi="Arial Narrow" w:cs="Arial"/>
          <w:b/>
          <w:color w:val="000000" w:themeColor="text1"/>
        </w:rPr>
        <w:t>и</w:t>
      </w:r>
      <w:r w:rsidRPr="00F77319">
        <w:rPr>
          <w:rFonts w:ascii="Arial Narrow" w:hAnsi="Arial Narrow" w:cs="Arial"/>
          <w:b/>
          <w:color w:val="000000" w:themeColor="text1"/>
        </w:rPr>
        <w:t xml:space="preserve"> на р</w:t>
      </w:r>
      <w:r w:rsidR="00926676">
        <w:rPr>
          <w:rFonts w:ascii="Arial Narrow" w:hAnsi="Arial Narrow" w:cs="Arial"/>
          <w:b/>
          <w:color w:val="000000" w:themeColor="text1"/>
        </w:rPr>
        <w:t>абота на трансформаторите</w:t>
      </w:r>
    </w:p>
    <w:p w:rsidR="005E7CC4" w:rsidRDefault="005E7CC4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4310F8" w:rsidRPr="00AF165D" w:rsidRDefault="005E7CC4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 </w:t>
      </w:r>
      <w:r w:rsidR="00CD7A26">
        <w:rPr>
          <w:rFonts w:ascii="Arial Narrow" w:hAnsi="Arial Narrow" w:cs="Arial"/>
          <w:color w:val="000000" w:themeColor="text1"/>
          <w:sz w:val="20"/>
          <w:szCs w:val="20"/>
        </w:rPr>
        <w:t xml:space="preserve">Възможните </w:t>
      </w:r>
      <w:r w:rsidR="00424B76">
        <w:rPr>
          <w:rFonts w:ascii="Arial Narrow" w:hAnsi="Arial Narrow" w:cs="Arial"/>
          <w:color w:val="000000" w:themeColor="text1"/>
          <w:sz w:val="20"/>
          <w:szCs w:val="20"/>
        </w:rPr>
        <w:t xml:space="preserve">режими на работа се илюстрират </w:t>
      </w:r>
      <w:r w:rsidR="005E6FA5">
        <w:rPr>
          <w:rFonts w:ascii="Arial Narrow" w:hAnsi="Arial Narrow" w:cs="Arial"/>
          <w:color w:val="000000" w:themeColor="text1"/>
          <w:sz w:val="20"/>
          <w:szCs w:val="20"/>
        </w:rPr>
        <w:t xml:space="preserve">с </w:t>
      </w:r>
      <w:proofErr w:type="spellStart"/>
      <w:r w:rsidR="005E6FA5">
        <w:rPr>
          <w:rFonts w:ascii="Arial Narrow" w:hAnsi="Arial Narrow" w:cs="Arial"/>
          <w:color w:val="000000" w:themeColor="text1"/>
          <w:sz w:val="20"/>
          <w:szCs w:val="20"/>
        </w:rPr>
        <w:t>едноли</w:t>
      </w:r>
      <w:r w:rsidR="00AF165D" w:rsidRPr="00AF165D">
        <w:rPr>
          <w:rFonts w:ascii="Arial Narrow" w:hAnsi="Arial Narrow" w:cs="Arial"/>
          <w:color w:val="000000" w:themeColor="text1"/>
          <w:sz w:val="20"/>
          <w:szCs w:val="20"/>
        </w:rPr>
        <w:t>-</w:t>
      </w:r>
      <w:r w:rsidR="005E6FA5">
        <w:rPr>
          <w:rFonts w:ascii="Arial Narrow" w:hAnsi="Arial Narrow" w:cs="Arial"/>
          <w:color w:val="000000" w:themeColor="text1"/>
          <w:sz w:val="20"/>
          <w:szCs w:val="20"/>
        </w:rPr>
        <w:t>нейната</w:t>
      </w:r>
      <w:proofErr w:type="spellEnd"/>
      <w:r w:rsidR="005E6FA5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424B76">
        <w:rPr>
          <w:rFonts w:ascii="Arial Narrow" w:hAnsi="Arial Narrow" w:cs="Arial"/>
          <w:color w:val="000000" w:themeColor="text1"/>
          <w:sz w:val="20"/>
          <w:szCs w:val="20"/>
        </w:rPr>
        <w:t xml:space="preserve">схема </w:t>
      </w:r>
      <w:r w:rsidR="004310F8">
        <w:rPr>
          <w:rFonts w:ascii="Arial Narrow" w:hAnsi="Arial Narrow" w:cs="Arial"/>
          <w:color w:val="000000" w:themeColor="text1"/>
          <w:sz w:val="20"/>
          <w:szCs w:val="20"/>
        </w:rPr>
        <w:t xml:space="preserve">на </w:t>
      </w:r>
      <w:r w:rsidR="00195727">
        <w:rPr>
          <w:rFonts w:ascii="Arial Narrow" w:hAnsi="Arial Narrow" w:cs="Arial"/>
          <w:color w:val="000000" w:themeColor="text1"/>
          <w:sz w:val="20"/>
          <w:szCs w:val="20"/>
        </w:rPr>
        <w:t xml:space="preserve">фиг.1. </w:t>
      </w:r>
      <w:r w:rsidR="005E6FA5">
        <w:rPr>
          <w:rFonts w:ascii="Arial Narrow" w:hAnsi="Arial Narrow" w:cs="Arial"/>
          <w:color w:val="000000" w:themeColor="text1"/>
          <w:sz w:val="20"/>
          <w:szCs w:val="20"/>
        </w:rPr>
        <w:t>О</w:t>
      </w:r>
      <w:r w:rsidR="004310F8">
        <w:rPr>
          <w:rFonts w:ascii="Arial Narrow" w:hAnsi="Arial Narrow" w:cs="Arial"/>
          <w:color w:val="000000" w:themeColor="text1"/>
          <w:sz w:val="20"/>
          <w:szCs w:val="20"/>
        </w:rPr>
        <w:t>ткрита</w:t>
      </w:r>
      <w:r w:rsidR="00195727">
        <w:rPr>
          <w:rFonts w:ascii="Arial Narrow" w:hAnsi="Arial Narrow" w:cs="Arial"/>
          <w:color w:val="000000" w:themeColor="text1"/>
          <w:sz w:val="20"/>
          <w:szCs w:val="20"/>
        </w:rPr>
        <w:t>та</w:t>
      </w:r>
      <w:r w:rsidR="004310F8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195727">
        <w:rPr>
          <w:rFonts w:ascii="Arial Narrow" w:hAnsi="Arial Narrow" w:cs="Arial"/>
          <w:color w:val="000000" w:themeColor="text1"/>
          <w:sz w:val="20"/>
          <w:szCs w:val="20"/>
        </w:rPr>
        <w:t>р</w:t>
      </w:r>
      <w:r w:rsidR="004310F8">
        <w:rPr>
          <w:rFonts w:ascii="Arial Narrow" w:hAnsi="Arial Narrow" w:cs="Arial"/>
          <w:color w:val="000000" w:themeColor="text1"/>
          <w:sz w:val="20"/>
          <w:szCs w:val="20"/>
        </w:rPr>
        <w:t xml:space="preserve">азпределителна </w:t>
      </w:r>
      <w:r w:rsidR="00195727">
        <w:rPr>
          <w:rFonts w:ascii="Arial Narrow" w:hAnsi="Arial Narrow" w:cs="Arial"/>
          <w:color w:val="000000" w:themeColor="text1"/>
          <w:sz w:val="20"/>
          <w:szCs w:val="20"/>
        </w:rPr>
        <w:t>у</w:t>
      </w:r>
      <w:r w:rsidR="004310F8">
        <w:rPr>
          <w:rFonts w:ascii="Arial Narrow" w:hAnsi="Arial Narrow" w:cs="Arial"/>
          <w:color w:val="000000" w:themeColor="text1"/>
          <w:sz w:val="20"/>
          <w:szCs w:val="20"/>
        </w:rPr>
        <w:t>редба (ОРУ) 110/6</w:t>
      </w:r>
      <w:r w:rsidR="00012BBE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k</w:t>
      </w:r>
      <w:r w:rsidR="004310F8">
        <w:rPr>
          <w:rFonts w:ascii="Arial Narrow" w:hAnsi="Arial Narrow" w:cs="Arial"/>
          <w:color w:val="000000" w:themeColor="text1"/>
          <w:sz w:val="20"/>
          <w:szCs w:val="20"/>
        </w:rPr>
        <w:t>V</w:t>
      </w:r>
      <w:r w:rsidR="00195727">
        <w:rPr>
          <w:rFonts w:ascii="Arial Narrow" w:hAnsi="Arial Narrow" w:cs="Arial"/>
          <w:color w:val="000000" w:themeColor="text1"/>
          <w:sz w:val="20"/>
          <w:szCs w:val="20"/>
        </w:rPr>
        <w:t xml:space="preserve"> е</w:t>
      </w:r>
      <w:r w:rsidR="004310F8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5E6FA5">
        <w:rPr>
          <w:rFonts w:ascii="Arial Narrow" w:hAnsi="Arial Narrow" w:cs="Arial"/>
          <w:color w:val="000000" w:themeColor="text1"/>
          <w:sz w:val="20"/>
          <w:szCs w:val="20"/>
        </w:rPr>
        <w:t xml:space="preserve">изпълнена </w:t>
      </w:r>
      <w:r w:rsidR="004310F8">
        <w:rPr>
          <w:rFonts w:ascii="Arial Narrow" w:hAnsi="Arial Narrow" w:cs="Arial"/>
          <w:color w:val="000000" w:themeColor="text1"/>
          <w:sz w:val="20"/>
          <w:szCs w:val="20"/>
        </w:rPr>
        <w:t>по „Н“</w:t>
      </w:r>
      <w:r w:rsidR="005E6FA5">
        <w:rPr>
          <w:rFonts w:ascii="Arial Narrow" w:hAnsi="Arial Narrow" w:cs="Arial"/>
          <w:color w:val="000000" w:themeColor="text1"/>
          <w:sz w:val="20"/>
          <w:szCs w:val="20"/>
        </w:rPr>
        <w:t xml:space="preserve"> – схема</w:t>
      </w:r>
      <w:r w:rsidR="004310F8">
        <w:rPr>
          <w:rFonts w:ascii="Arial Narrow" w:hAnsi="Arial Narrow" w:cs="Arial"/>
          <w:color w:val="000000" w:themeColor="text1"/>
          <w:sz w:val="20"/>
          <w:szCs w:val="20"/>
        </w:rPr>
        <w:t>. Закритата разпределителна уредба (ЗРУ) 6</w:t>
      </w:r>
      <w:r w:rsidR="00012BBE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k</w:t>
      </w:r>
      <w:r w:rsidR="004310F8">
        <w:rPr>
          <w:rFonts w:ascii="Arial Narrow" w:hAnsi="Arial Narrow" w:cs="Arial"/>
          <w:color w:val="000000" w:themeColor="text1"/>
          <w:sz w:val="20"/>
          <w:szCs w:val="20"/>
        </w:rPr>
        <w:t xml:space="preserve">V </w:t>
      </w:r>
      <w:r w:rsidR="00F30EC5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e</w:t>
      </w:r>
      <w:r w:rsidR="005E6FA5">
        <w:rPr>
          <w:rFonts w:ascii="Arial Narrow" w:hAnsi="Arial Narrow" w:cs="Arial"/>
          <w:color w:val="000000" w:themeColor="text1"/>
          <w:sz w:val="20"/>
          <w:szCs w:val="20"/>
        </w:rPr>
        <w:t xml:space="preserve"> с</w:t>
      </w:r>
      <w:r w:rsidR="004310F8">
        <w:rPr>
          <w:rFonts w:ascii="Arial Narrow" w:hAnsi="Arial Narrow" w:cs="Arial"/>
          <w:color w:val="000000" w:themeColor="text1"/>
          <w:sz w:val="20"/>
          <w:szCs w:val="20"/>
        </w:rPr>
        <w:t xml:space="preserve"> единична </w:t>
      </w:r>
      <w:proofErr w:type="spellStart"/>
      <w:r w:rsidR="004310F8">
        <w:rPr>
          <w:rFonts w:ascii="Arial Narrow" w:hAnsi="Arial Narrow" w:cs="Arial"/>
          <w:color w:val="000000" w:themeColor="text1"/>
          <w:sz w:val="20"/>
          <w:szCs w:val="20"/>
        </w:rPr>
        <w:t>секционирана</w:t>
      </w:r>
      <w:proofErr w:type="spellEnd"/>
      <w:r w:rsidR="004310F8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="004310F8">
        <w:rPr>
          <w:rFonts w:ascii="Arial Narrow" w:hAnsi="Arial Narrow" w:cs="Arial"/>
          <w:color w:val="000000" w:themeColor="text1"/>
          <w:sz w:val="20"/>
          <w:szCs w:val="20"/>
        </w:rPr>
        <w:t>шинна</w:t>
      </w:r>
      <w:proofErr w:type="spellEnd"/>
      <w:r w:rsidR="004310F8">
        <w:rPr>
          <w:rFonts w:ascii="Arial Narrow" w:hAnsi="Arial Narrow" w:cs="Arial"/>
          <w:color w:val="000000" w:themeColor="text1"/>
          <w:sz w:val="20"/>
          <w:szCs w:val="20"/>
        </w:rPr>
        <w:t xml:space="preserve"> система </w:t>
      </w:r>
      <w:r w:rsidR="004310F8" w:rsidRPr="00AF165D">
        <w:rPr>
          <w:rFonts w:ascii="Arial Narrow" w:hAnsi="Arial Narrow" w:cs="Arial"/>
          <w:color w:val="000000" w:themeColor="text1"/>
          <w:sz w:val="20"/>
          <w:szCs w:val="20"/>
        </w:rPr>
        <w:t>[1,</w:t>
      </w:r>
      <w:r w:rsidR="005E6FA5">
        <w:rPr>
          <w:rFonts w:ascii="Arial Narrow" w:hAnsi="Arial Narrow" w:cs="Arial"/>
          <w:color w:val="000000" w:themeColor="text1"/>
          <w:sz w:val="20"/>
          <w:szCs w:val="20"/>
        </w:rPr>
        <w:t>2,4</w:t>
      </w:r>
      <w:r w:rsidR="004310F8" w:rsidRPr="00AF165D">
        <w:rPr>
          <w:rFonts w:ascii="Arial Narrow" w:hAnsi="Arial Narrow" w:cs="Arial"/>
          <w:color w:val="000000" w:themeColor="text1"/>
          <w:sz w:val="20"/>
          <w:szCs w:val="20"/>
        </w:rPr>
        <w:t>].</w:t>
      </w:r>
    </w:p>
    <w:p w:rsidR="008C10E7" w:rsidRDefault="008C10E7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5E6FA5" w:rsidRDefault="005E6FA5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 Двата трансформатора, с мощ</w:t>
      </w:r>
      <w:r w:rsidR="00406B83">
        <w:rPr>
          <w:rFonts w:ascii="Arial Narrow" w:hAnsi="Arial Narrow" w:cs="Arial"/>
          <w:color w:val="000000" w:themeColor="text1"/>
          <w:sz w:val="20"/>
          <w:szCs w:val="20"/>
        </w:rPr>
        <w:t>ност по 16МVА, могат да работят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самостоятелно и едновременно с разпределен товар помежду си</w:t>
      </w:r>
      <w:r w:rsidR="00195727">
        <w:rPr>
          <w:rFonts w:ascii="Arial Narrow" w:hAnsi="Arial Narrow" w:cs="Arial"/>
          <w:color w:val="000000" w:themeColor="text1"/>
          <w:sz w:val="20"/>
          <w:szCs w:val="20"/>
        </w:rPr>
        <w:t>.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195727">
        <w:rPr>
          <w:rFonts w:ascii="Arial Narrow" w:hAnsi="Arial Narrow" w:cs="Arial"/>
          <w:color w:val="000000" w:themeColor="text1"/>
          <w:sz w:val="20"/>
          <w:szCs w:val="20"/>
        </w:rPr>
        <w:t>С</w:t>
      </w:r>
      <w:r>
        <w:rPr>
          <w:rFonts w:ascii="Arial Narrow" w:hAnsi="Arial Narrow" w:cs="Arial"/>
          <w:color w:val="000000" w:themeColor="text1"/>
          <w:sz w:val="20"/>
          <w:szCs w:val="20"/>
        </w:rPr>
        <w:t>амостоятелн</w:t>
      </w:r>
      <w:r w:rsidR="00195727">
        <w:rPr>
          <w:rFonts w:ascii="Arial Narrow" w:hAnsi="Arial Narrow" w:cs="Arial"/>
          <w:color w:val="000000" w:themeColor="text1"/>
          <w:sz w:val="20"/>
          <w:szCs w:val="20"/>
        </w:rPr>
        <w:t>ата работа е възможна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, тъй като всеки един от </w:t>
      </w:r>
      <w:r w:rsidR="00195727">
        <w:rPr>
          <w:rFonts w:ascii="Arial Narrow" w:hAnsi="Arial Narrow" w:cs="Arial"/>
          <w:color w:val="000000" w:themeColor="text1"/>
          <w:sz w:val="20"/>
          <w:szCs w:val="20"/>
        </w:rPr>
        <w:t>трансформаторите</w:t>
      </w:r>
      <w:r w:rsidR="00BA394F">
        <w:rPr>
          <w:rFonts w:ascii="Arial Narrow" w:hAnsi="Arial Narrow" w:cs="Arial"/>
          <w:color w:val="000000" w:themeColor="text1"/>
          <w:sz w:val="20"/>
          <w:szCs w:val="20"/>
        </w:rPr>
        <w:t>, макар и на границата на своите възможности</w:t>
      </w:r>
      <w:r w:rsidR="00406B83" w:rsidRPr="00406B83">
        <w:rPr>
          <w:rFonts w:ascii="Arial Narrow" w:hAnsi="Arial Narrow" w:cs="Arial"/>
          <w:color w:val="000000" w:themeColor="text1"/>
          <w:sz w:val="20"/>
          <w:szCs w:val="20"/>
        </w:rPr>
        <w:t>,</w:t>
      </w:r>
      <w:r w:rsidR="00406B83">
        <w:rPr>
          <w:rFonts w:ascii="Arial Narrow" w:hAnsi="Arial Narrow" w:cs="Arial"/>
          <w:color w:val="000000" w:themeColor="text1"/>
          <w:sz w:val="20"/>
          <w:szCs w:val="20"/>
        </w:rPr>
        <w:t xml:space="preserve"> е в състояние да поеме целия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товар. </w:t>
      </w:r>
      <w:r w:rsidR="00195727">
        <w:rPr>
          <w:rFonts w:ascii="Arial Narrow" w:hAnsi="Arial Narrow" w:cs="Arial"/>
          <w:color w:val="000000" w:themeColor="text1"/>
          <w:sz w:val="20"/>
          <w:szCs w:val="20"/>
        </w:rPr>
        <w:t>Необходимост от паралелен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режим </w:t>
      </w:r>
      <w:r w:rsidR="00195727">
        <w:rPr>
          <w:rFonts w:ascii="Arial Narrow" w:hAnsi="Arial Narrow" w:cs="Arial"/>
          <w:color w:val="000000" w:themeColor="text1"/>
          <w:sz w:val="20"/>
          <w:szCs w:val="20"/>
        </w:rPr>
        <w:t xml:space="preserve">на работа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възниква при </w:t>
      </w:r>
      <w:r w:rsidR="00631EFA">
        <w:rPr>
          <w:rFonts w:ascii="Arial Narrow" w:hAnsi="Arial Narrow" w:cs="Arial"/>
          <w:color w:val="000000" w:themeColor="text1"/>
          <w:sz w:val="20"/>
          <w:szCs w:val="20"/>
        </w:rPr>
        <w:t>оперативни превключвания</w:t>
      </w:r>
      <w:r w:rsidR="00195727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631EFA">
        <w:rPr>
          <w:rFonts w:ascii="Arial Narrow" w:hAnsi="Arial Narrow" w:cs="Arial"/>
          <w:color w:val="000000" w:themeColor="text1"/>
          <w:sz w:val="20"/>
          <w:szCs w:val="20"/>
        </w:rPr>
        <w:t xml:space="preserve">в ЦРП </w:t>
      </w:r>
      <w:r w:rsidR="00195727">
        <w:rPr>
          <w:rFonts w:ascii="Arial Narrow" w:hAnsi="Arial Narrow" w:cs="Arial"/>
          <w:color w:val="000000" w:themeColor="text1"/>
          <w:sz w:val="20"/>
          <w:szCs w:val="20"/>
        </w:rPr>
        <w:t>и се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осъществ</w:t>
      </w:r>
      <w:r w:rsidR="00012BBE">
        <w:rPr>
          <w:rFonts w:ascii="Arial Narrow" w:hAnsi="Arial Narrow" w:cs="Arial"/>
          <w:color w:val="000000" w:themeColor="text1"/>
          <w:sz w:val="20"/>
          <w:szCs w:val="20"/>
        </w:rPr>
        <w:t>ява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със затваряне (включване) на секционните прекъсвачи в </w:t>
      </w:r>
      <w:r w:rsidR="00012BBE">
        <w:rPr>
          <w:rFonts w:ascii="Arial Narrow" w:hAnsi="Arial Narrow" w:cs="Arial"/>
          <w:color w:val="000000" w:themeColor="text1"/>
          <w:sz w:val="20"/>
          <w:szCs w:val="20"/>
        </w:rPr>
        <w:t>ОРУ 110/6</w:t>
      </w:r>
      <w:r w:rsidR="00012BBE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kV</w:t>
      </w:r>
      <w:r w:rsidR="00012BBE">
        <w:rPr>
          <w:rFonts w:ascii="Arial Narrow" w:hAnsi="Arial Narrow" w:cs="Arial"/>
          <w:color w:val="000000" w:themeColor="text1"/>
          <w:sz w:val="20"/>
          <w:szCs w:val="20"/>
        </w:rPr>
        <w:t xml:space="preserve"> и в </w:t>
      </w:r>
      <w:r>
        <w:rPr>
          <w:rFonts w:ascii="Arial Narrow" w:hAnsi="Arial Narrow" w:cs="Arial"/>
          <w:color w:val="000000" w:themeColor="text1"/>
          <w:sz w:val="20"/>
          <w:szCs w:val="20"/>
        </w:rPr>
        <w:t>ЗРУ 6</w:t>
      </w:r>
      <w:r w:rsidR="00012BBE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k</w:t>
      </w:r>
      <w:r w:rsidR="00012BBE">
        <w:rPr>
          <w:rFonts w:ascii="Arial Narrow" w:hAnsi="Arial Narrow" w:cs="Arial"/>
          <w:color w:val="000000" w:themeColor="text1"/>
          <w:sz w:val="20"/>
          <w:szCs w:val="20"/>
        </w:rPr>
        <w:t>V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. </w:t>
      </w:r>
      <w:r w:rsidR="00205D77">
        <w:rPr>
          <w:rFonts w:ascii="Arial Narrow" w:hAnsi="Arial Narrow" w:cs="Arial"/>
          <w:color w:val="000000" w:themeColor="text1"/>
          <w:sz w:val="20"/>
          <w:szCs w:val="20"/>
        </w:rPr>
        <w:t>Трансформаторите работят паралелно свързани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color w:val="000000" w:themeColor="text1"/>
          <w:sz w:val="20"/>
          <w:szCs w:val="20"/>
        </w:rPr>
        <w:lastRenderedPageBreak/>
        <w:t xml:space="preserve">нормално за кратко време при преминаване </w:t>
      </w:r>
      <w:r w:rsidR="00F30EC5">
        <w:rPr>
          <w:rFonts w:ascii="Arial Narrow" w:hAnsi="Arial Narrow" w:cs="Arial"/>
          <w:color w:val="000000" w:themeColor="text1"/>
          <w:sz w:val="20"/>
          <w:szCs w:val="20"/>
        </w:rPr>
        <w:t>от един работен режим към друг</w:t>
      </w:r>
      <w:r w:rsidR="00631EFA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:rsidR="005E6FA5" w:rsidRDefault="005E6FA5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E87D05" w:rsidRDefault="009B522D" w:rsidP="00E87D05">
      <w:pPr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20"/>
          <w:szCs w:val="20"/>
        </w:rPr>
        <w:t>Едновременна работа на Т-р 1 и Т-р 2</w:t>
      </w:r>
    </w:p>
    <w:p w:rsidR="00E87D05" w:rsidRPr="00712EE7" w:rsidRDefault="00E87D05" w:rsidP="00E87D05">
      <w:pPr>
        <w:jc w:val="both"/>
        <w:rPr>
          <w:rFonts w:ascii="Arial Narrow" w:hAnsi="Arial Narrow" w:cs="Arial"/>
          <w:sz w:val="20"/>
          <w:szCs w:val="20"/>
        </w:rPr>
      </w:pPr>
      <w:r w:rsidRPr="00712EE7">
        <w:rPr>
          <w:rFonts w:ascii="Arial Narrow" w:hAnsi="Arial Narrow" w:cs="Arial"/>
          <w:sz w:val="20"/>
          <w:szCs w:val="20"/>
        </w:rPr>
        <w:t xml:space="preserve">   </w:t>
      </w:r>
      <w:r w:rsidR="009B522D">
        <w:rPr>
          <w:rFonts w:ascii="Arial Narrow" w:hAnsi="Arial Narrow" w:cs="Arial"/>
          <w:sz w:val="20"/>
          <w:szCs w:val="20"/>
        </w:rPr>
        <w:t>През последните няколко години основният режим е</w:t>
      </w:r>
      <w:r w:rsidRPr="00712EE7">
        <w:rPr>
          <w:rFonts w:ascii="Arial Narrow" w:hAnsi="Arial Narrow" w:cs="Arial"/>
          <w:sz w:val="20"/>
          <w:szCs w:val="20"/>
        </w:rPr>
        <w:t xml:space="preserve"> едновременна </w:t>
      </w:r>
      <w:r>
        <w:rPr>
          <w:rFonts w:ascii="Arial Narrow" w:hAnsi="Arial Narrow" w:cs="Arial"/>
          <w:sz w:val="20"/>
          <w:szCs w:val="20"/>
        </w:rPr>
        <w:t xml:space="preserve">и самостоятелна </w:t>
      </w:r>
      <w:r w:rsidRPr="00712EE7">
        <w:rPr>
          <w:rFonts w:ascii="Arial Narrow" w:hAnsi="Arial Narrow" w:cs="Arial"/>
          <w:sz w:val="20"/>
          <w:szCs w:val="20"/>
        </w:rPr>
        <w:t>работа на дв</w:t>
      </w:r>
      <w:r>
        <w:rPr>
          <w:rFonts w:ascii="Arial Narrow" w:hAnsi="Arial Narrow" w:cs="Arial"/>
          <w:sz w:val="20"/>
          <w:szCs w:val="20"/>
        </w:rPr>
        <w:t>ата</w:t>
      </w:r>
      <w:r w:rsidRPr="00712EE7">
        <w:rPr>
          <w:rFonts w:ascii="Arial Narrow" w:hAnsi="Arial Narrow" w:cs="Arial"/>
          <w:sz w:val="20"/>
          <w:szCs w:val="20"/>
        </w:rPr>
        <w:t xml:space="preserve"> трансформатор</w:t>
      </w:r>
      <w:r w:rsidR="00631EFA">
        <w:rPr>
          <w:rFonts w:ascii="Arial Narrow" w:hAnsi="Arial Narrow" w:cs="Arial"/>
          <w:sz w:val="20"/>
          <w:szCs w:val="20"/>
        </w:rPr>
        <w:t>а</w:t>
      </w:r>
      <w:r w:rsidRPr="00712EE7">
        <w:rPr>
          <w:rFonts w:ascii="Arial Narrow" w:hAnsi="Arial Narrow" w:cs="Arial"/>
          <w:sz w:val="20"/>
          <w:szCs w:val="20"/>
        </w:rPr>
        <w:t xml:space="preserve"> </w:t>
      </w:r>
      <w:r w:rsidR="00631EFA">
        <w:rPr>
          <w:rFonts w:ascii="Arial Narrow" w:hAnsi="Arial Narrow" w:cs="Arial"/>
          <w:sz w:val="20"/>
          <w:szCs w:val="20"/>
        </w:rPr>
        <w:t>(</w:t>
      </w:r>
      <w:r w:rsidRPr="00712EE7">
        <w:rPr>
          <w:rFonts w:ascii="Arial Narrow" w:hAnsi="Arial Narrow" w:cs="Arial"/>
          <w:sz w:val="20"/>
          <w:szCs w:val="20"/>
        </w:rPr>
        <w:t>Т</w:t>
      </w:r>
      <w:r w:rsidR="00631EFA">
        <w:rPr>
          <w:rFonts w:ascii="Arial Narrow" w:hAnsi="Arial Narrow" w:cs="Arial"/>
          <w:sz w:val="20"/>
          <w:szCs w:val="20"/>
        </w:rPr>
        <w:t>-</w:t>
      </w:r>
      <w:r w:rsidRPr="00712EE7">
        <w:rPr>
          <w:rFonts w:ascii="Arial Narrow" w:hAnsi="Arial Narrow" w:cs="Arial"/>
          <w:sz w:val="20"/>
          <w:szCs w:val="20"/>
        </w:rPr>
        <w:t>р</w:t>
      </w:r>
      <w:r w:rsidR="002558D9">
        <w:rPr>
          <w:rFonts w:ascii="Arial Narrow" w:hAnsi="Arial Narrow" w:cs="Arial"/>
          <w:sz w:val="20"/>
          <w:szCs w:val="20"/>
        </w:rPr>
        <w:t xml:space="preserve"> </w:t>
      </w:r>
      <w:r w:rsidRPr="00712EE7">
        <w:rPr>
          <w:rFonts w:ascii="Arial Narrow" w:hAnsi="Arial Narrow" w:cs="Arial"/>
          <w:sz w:val="20"/>
          <w:szCs w:val="20"/>
        </w:rPr>
        <w:t>1 и Т</w:t>
      </w:r>
      <w:r w:rsidR="00631EFA">
        <w:rPr>
          <w:rFonts w:ascii="Arial Narrow" w:hAnsi="Arial Narrow" w:cs="Arial"/>
          <w:sz w:val="20"/>
          <w:szCs w:val="20"/>
        </w:rPr>
        <w:t>-</w:t>
      </w:r>
      <w:r w:rsidRPr="00712EE7">
        <w:rPr>
          <w:rFonts w:ascii="Arial Narrow" w:hAnsi="Arial Narrow" w:cs="Arial"/>
          <w:sz w:val="20"/>
          <w:szCs w:val="20"/>
        </w:rPr>
        <w:t>р</w:t>
      </w:r>
      <w:r w:rsidR="002558D9">
        <w:rPr>
          <w:rFonts w:ascii="Arial Narrow" w:hAnsi="Arial Narrow" w:cs="Arial"/>
          <w:sz w:val="20"/>
          <w:szCs w:val="20"/>
        </w:rPr>
        <w:t xml:space="preserve"> </w:t>
      </w:r>
      <w:r w:rsidRPr="00712EE7">
        <w:rPr>
          <w:rFonts w:ascii="Arial Narrow" w:hAnsi="Arial Narrow" w:cs="Arial"/>
          <w:sz w:val="20"/>
          <w:szCs w:val="20"/>
        </w:rPr>
        <w:t>2</w:t>
      </w:r>
      <w:r w:rsidR="00631EFA">
        <w:rPr>
          <w:rFonts w:ascii="Arial Narrow" w:hAnsi="Arial Narrow" w:cs="Arial"/>
          <w:sz w:val="20"/>
          <w:szCs w:val="20"/>
        </w:rPr>
        <w:t>),</w:t>
      </w:r>
      <w:r w:rsidRPr="00712EE7">
        <w:rPr>
          <w:rFonts w:ascii="Arial Narrow" w:hAnsi="Arial Narrow" w:cs="Arial"/>
          <w:sz w:val="20"/>
          <w:szCs w:val="20"/>
        </w:rPr>
        <w:t xml:space="preserve"> захранван</w:t>
      </w:r>
      <w:r>
        <w:rPr>
          <w:rFonts w:ascii="Arial Narrow" w:hAnsi="Arial Narrow" w:cs="Arial"/>
          <w:sz w:val="20"/>
          <w:szCs w:val="20"/>
        </w:rPr>
        <w:t>и</w:t>
      </w:r>
      <w:r w:rsidRPr="00712EE7">
        <w:rPr>
          <w:rFonts w:ascii="Arial Narrow" w:hAnsi="Arial Narrow" w:cs="Arial"/>
          <w:sz w:val="20"/>
          <w:szCs w:val="20"/>
        </w:rPr>
        <w:t xml:space="preserve"> от </w:t>
      </w:r>
      <w:r>
        <w:rPr>
          <w:rFonts w:ascii="Arial Narrow" w:hAnsi="Arial Narrow" w:cs="Arial"/>
          <w:sz w:val="20"/>
          <w:szCs w:val="20"/>
        </w:rPr>
        <w:t>един</w:t>
      </w:r>
      <w:r w:rsidRPr="00712EE7">
        <w:rPr>
          <w:rFonts w:ascii="Arial Narrow" w:hAnsi="Arial Narrow" w:cs="Arial"/>
          <w:sz w:val="20"/>
          <w:szCs w:val="20"/>
        </w:rPr>
        <w:t xml:space="preserve"> </w:t>
      </w:r>
      <w:r w:rsidR="002558D9">
        <w:rPr>
          <w:rFonts w:ascii="Arial Narrow" w:hAnsi="Arial Narrow" w:cs="Arial"/>
          <w:sz w:val="20"/>
          <w:szCs w:val="20"/>
        </w:rPr>
        <w:t xml:space="preserve">от </w:t>
      </w:r>
      <w:r w:rsidRPr="00712EE7">
        <w:rPr>
          <w:rFonts w:ascii="Arial Narrow" w:hAnsi="Arial Narrow" w:cs="Arial"/>
          <w:sz w:val="20"/>
          <w:szCs w:val="20"/>
        </w:rPr>
        <w:t>електропровод</w:t>
      </w:r>
      <w:r w:rsidR="002558D9">
        <w:rPr>
          <w:rFonts w:ascii="Arial Narrow" w:hAnsi="Arial Narrow" w:cs="Arial"/>
          <w:sz w:val="20"/>
          <w:szCs w:val="20"/>
        </w:rPr>
        <w:t>ите</w:t>
      </w:r>
      <w:r w:rsidRPr="00712EE7">
        <w:rPr>
          <w:rFonts w:ascii="Arial Narrow" w:hAnsi="Arial Narrow" w:cs="Arial"/>
          <w:sz w:val="20"/>
          <w:szCs w:val="20"/>
        </w:rPr>
        <w:t xml:space="preserve"> 110кV</w:t>
      </w:r>
      <w:r>
        <w:rPr>
          <w:rFonts w:ascii="Arial Narrow" w:hAnsi="Arial Narrow" w:cs="Arial"/>
          <w:sz w:val="20"/>
          <w:szCs w:val="20"/>
        </w:rPr>
        <w:t>,</w:t>
      </w:r>
      <w:r w:rsidR="00406B83">
        <w:rPr>
          <w:rFonts w:ascii="Arial Narrow" w:hAnsi="Arial Narrow" w:cs="Arial"/>
          <w:sz w:val="20"/>
          <w:szCs w:val="20"/>
        </w:rPr>
        <w:t xml:space="preserve"> като товар</w:t>
      </w:r>
      <w:r w:rsidR="00406B83" w:rsidRPr="00406B83">
        <w:rPr>
          <w:rFonts w:ascii="Arial Narrow" w:hAnsi="Arial Narrow" w:cs="Arial"/>
          <w:sz w:val="20"/>
          <w:szCs w:val="20"/>
        </w:rPr>
        <w:t>ът</w:t>
      </w:r>
      <w:r w:rsidR="00631EFA">
        <w:rPr>
          <w:rFonts w:ascii="Arial Narrow" w:hAnsi="Arial Narrow" w:cs="Arial"/>
          <w:sz w:val="20"/>
          <w:szCs w:val="20"/>
        </w:rPr>
        <w:t xml:space="preserve"> е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12EE7">
        <w:rPr>
          <w:rFonts w:ascii="Arial Narrow" w:hAnsi="Arial Narrow" w:cs="Arial"/>
          <w:sz w:val="20"/>
          <w:szCs w:val="20"/>
        </w:rPr>
        <w:t>разпределен между двете секции</w:t>
      </w:r>
      <w:r w:rsidR="002558D9">
        <w:rPr>
          <w:rFonts w:ascii="Arial Narrow" w:hAnsi="Arial Narrow" w:cs="Arial"/>
          <w:sz w:val="20"/>
          <w:szCs w:val="20"/>
        </w:rPr>
        <w:t xml:space="preserve"> в ЗРУ 6</w:t>
      </w:r>
      <w:r w:rsidR="002558D9">
        <w:rPr>
          <w:rFonts w:ascii="Arial Narrow" w:hAnsi="Arial Narrow" w:cs="Arial"/>
          <w:sz w:val="20"/>
          <w:szCs w:val="20"/>
          <w:lang w:val="en-US"/>
        </w:rPr>
        <w:t>kV</w:t>
      </w:r>
      <w:r w:rsidRPr="00712EE7">
        <w:rPr>
          <w:rFonts w:ascii="Arial Narrow" w:hAnsi="Arial Narrow" w:cs="Arial"/>
          <w:sz w:val="20"/>
          <w:szCs w:val="20"/>
        </w:rPr>
        <w:t>, при отворен секционен прекъсвач (КРУ 11)</w:t>
      </w:r>
      <w:r>
        <w:rPr>
          <w:rFonts w:ascii="Arial Narrow" w:hAnsi="Arial Narrow" w:cs="Arial"/>
          <w:sz w:val="20"/>
          <w:szCs w:val="20"/>
        </w:rPr>
        <w:t>.</w:t>
      </w:r>
    </w:p>
    <w:p w:rsidR="00E87D05" w:rsidRPr="00AF165D" w:rsidRDefault="00E87D05" w:rsidP="00E87D05">
      <w:pPr>
        <w:jc w:val="both"/>
        <w:rPr>
          <w:rFonts w:ascii="Arial Narrow" w:hAnsi="Arial Narrow" w:cs="Arial"/>
          <w:sz w:val="20"/>
          <w:szCs w:val="20"/>
        </w:rPr>
      </w:pPr>
    </w:p>
    <w:p w:rsidR="00E87D05" w:rsidRDefault="00E87D05" w:rsidP="00E87D05">
      <w:pPr>
        <w:jc w:val="both"/>
        <w:rPr>
          <w:rFonts w:ascii="Arial Narrow" w:hAnsi="Arial Narrow" w:cs="Arial"/>
          <w:sz w:val="20"/>
          <w:szCs w:val="20"/>
        </w:rPr>
      </w:pPr>
      <w:r w:rsidRPr="00712EE7">
        <w:rPr>
          <w:rFonts w:ascii="Arial Narrow" w:hAnsi="Arial Narrow" w:cs="Arial"/>
          <w:sz w:val="20"/>
          <w:szCs w:val="20"/>
        </w:rPr>
        <w:t xml:space="preserve">   </w:t>
      </w:r>
      <w:r w:rsidR="00711318">
        <w:rPr>
          <w:rFonts w:ascii="Arial Narrow" w:hAnsi="Arial Narrow" w:cs="Arial"/>
          <w:sz w:val="20"/>
          <w:szCs w:val="20"/>
        </w:rPr>
        <w:t xml:space="preserve">На фиг.1 са показани изводите от ЦРП само за една от цеховите подстанции – П/ст 3 „Руднична“. </w:t>
      </w:r>
      <w:r>
        <w:rPr>
          <w:rFonts w:ascii="Arial Narrow" w:hAnsi="Arial Narrow" w:cs="Arial"/>
          <w:sz w:val="20"/>
          <w:szCs w:val="20"/>
        </w:rPr>
        <w:t xml:space="preserve">Двата извода </w:t>
      </w:r>
      <w:r w:rsidR="00711318">
        <w:rPr>
          <w:rFonts w:ascii="Arial Narrow" w:hAnsi="Arial Narrow" w:cs="Arial"/>
          <w:sz w:val="20"/>
          <w:szCs w:val="20"/>
        </w:rPr>
        <w:t>от ЦРП за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711318">
        <w:rPr>
          <w:rFonts w:ascii="Arial Narrow" w:hAnsi="Arial Narrow" w:cs="Arial"/>
          <w:sz w:val="20"/>
          <w:szCs w:val="20"/>
        </w:rPr>
        <w:t>П</w:t>
      </w:r>
      <w:r>
        <w:rPr>
          <w:rFonts w:ascii="Arial Narrow" w:hAnsi="Arial Narrow" w:cs="Arial"/>
          <w:sz w:val="20"/>
          <w:szCs w:val="20"/>
        </w:rPr>
        <w:t>/</w:t>
      </w:r>
      <w:proofErr w:type="spellStart"/>
      <w:r>
        <w:rPr>
          <w:rFonts w:ascii="Arial Narrow" w:hAnsi="Arial Narrow" w:cs="Arial"/>
          <w:sz w:val="20"/>
          <w:szCs w:val="20"/>
        </w:rPr>
        <w:t>ст</w:t>
      </w:r>
      <w:proofErr w:type="spellEnd"/>
      <w:r>
        <w:rPr>
          <w:rFonts w:ascii="Arial Narrow" w:hAnsi="Arial Narrow" w:cs="Arial"/>
          <w:sz w:val="20"/>
          <w:szCs w:val="20"/>
        </w:rPr>
        <w:t xml:space="preserve"> 3 (КРУ</w:t>
      </w:r>
      <w:r w:rsidR="00406B83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8 и КРУ 20) </w:t>
      </w:r>
      <w:r w:rsidR="00711318">
        <w:rPr>
          <w:rFonts w:ascii="Arial Narrow" w:hAnsi="Arial Narrow" w:cs="Arial"/>
          <w:sz w:val="20"/>
          <w:szCs w:val="20"/>
        </w:rPr>
        <w:t xml:space="preserve">и </w:t>
      </w:r>
      <w:r w:rsidR="00711318" w:rsidRPr="00711318">
        <w:rPr>
          <w:rFonts w:ascii="Arial Narrow" w:hAnsi="Arial Narrow" w:cs="Arial"/>
          <w:sz w:val="20"/>
          <w:szCs w:val="20"/>
        </w:rPr>
        <w:t>секционен прекъсвач (КРУ16)</w:t>
      </w:r>
      <w:r w:rsidR="00711318">
        <w:rPr>
          <w:rFonts w:ascii="Arial Narrow" w:hAnsi="Arial Narrow" w:cs="Arial"/>
          <w:sz w:val="20"/>
          <w:szCs w:val="20"/>
        </w:rPr>
        <w:t xml:space="preserve"> в П/ст 3 </w:t>
      </w:r>
      <w:r>
        <w:rPr>
          <w:rFonts w:ascii="Arial Narrow" w:hAnsi="Arial Narrow" w:cs="Arial"/>
          <w:sz w:val="20"/>
          <w:szCs w:val="20"/>
        </w:rPr>
        <w:t xml:space="preserve">са включени, но </w:t>
      </w:r>
      <w:r w:rsidR="00711318">
        <w:rPr>
          <w:rFonts w:ascii="Arial Narrow" w:hAnsi="Arial Narrow" w:cs="Arial"/>
          <w:sz w:val="20"/>
          <w:szCs w:val="20"/>
        </w:rPr>
        <w:t xml:space="preserve">единият от входовете на П/ст 3 (КРУ 17 или КРУ 13) е изключен. </w:t>
      </w:r>
      <w:r w:rsidR="002558D9">
        <w:rPr>
          <w:rFonts w:ascii="Arial Narrow" w:hAnsi="Arial Narrow" w:cs="Arial"/>
          <w:sz w:val="20"/>
          <w:szCs w:val="20"/>
        </w:rPr>
        <w:t>По аналогични схеми се захранват и останалите цехови подстанции</w:t>
      </w:r>
      <w:r w:rsidR="00406B83">
        <w:rPr>
          <w:rFonts w:ascii="Arial Narrow" w:hAnsi="Arial Narrow" w:cs="Arial"/>
          <w:sz w:val="20"/>
          <w:szCs w:val="20"/>
        </w:rPr>
        <w:t>,</w:t>
      </w:r>
      <w:r w:rsidR="002558D9">
        <w:rPr>
          <w:rFonts w:ascii="Arial Narrow" w:hAnsi="Arial Narrow" w:cs="Arial"/>
          <w:sz w:val="20"/>
          <w:szCs w:val="20"/>
        </w:rPr>
        <w:t xml:space="preserve"> като натоварването на двете секции на ЦРП, респ</w:t>
      </w:r>
      <w:r w:rsidR="00406B83">
        <w:rPr>
          <w:rFonts w:ascii="Arial Narrow" w:hAnsi="Arial Narrow" w:cs="Arial"/>
          <w:sz w:val="20"/>
          <w:szCs w:val="20"/>
        </w:rPr>
        <w:t>ективно</w:t>
      </w:r>
      <w:r w:rsidR="002558D9">
        <w:rPr>
          <w:rFonts w:ascii="Arial Narrow" w:hAnsi="Arial Narrow" w:cs="Arial"/>
          <w:sz w:val="20"/>
          <w:szCs w:val="20"/>
        </w:rPr>
        <w:t xml:space="preserve"> на </w:t>
      </w:r>
      <w:r w:rsidR="00406B83">
        <w:rPr>
          <w:rFonts w:ascii="Arial Narrow" w:hAnsi="Arial Narrow" w:cs="Arial"/>
          <w:sz w:val="20"/>
          <w:szCs w:val="20"/>
        </w:rPr>
        <w:t xml:space="preserve"> </w:t>
      </w:r>
      <w:r w:rsidR="002558D9">
        <w:rPr>
          <w:rFonts w:ascii="Arial Narrow" w:hAnsi="Arial Narrow" w:cs="Arial"/>
          <w:sz w:val="20"/>
          <w:szCs w:val="20"/>
        </w:rPr>
        <w:t>Т-р 1 и Т-р 2 е практически изравнено.</w:t>
      </w:r>
    </w:p>
    <w:p w:rsidR="00E87D05" w:rsidRDefault="00E87D05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E87D05" w:rsidRPr="008C10E7" w:rsidRDefault="00E87D05" w:rsidP="00E87D05">
      <w:pPr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20"/>
          <w:szCs w:val="20"/>
        </w:rPr>
        <w:t>Работа с един трансформатор Тр1 или Тр2.</w:t>
      </w:r>
    </w:p>
    <w:p w:rsidR="002558D9" w:rsidRDefault="002558D9" w:rsidP="00E87D05">
      <w:pPr>
        <w:jc w:val="both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</w:rPr>
        <w:t xml:space="preserve">   През второто полугодие на 2014г. се пуска в експлоатация Т-р 3</w:t>
      </w:r>
      <w:r w:rsidR="00751578" w:rsidRPr="00751578">
        <w:rPr>
          <w:rFonts w:ascii="Arial Narrow" w:hAnsi="Arial Narrow" w:cs="Arial"/>
          <w:sz w:val="20"/>
          <w:szCs w:val="20"/>
        </w:rPr>
        <w:t xml:space="preserve"> </w:t>
      </w:r>
      <w:r w:rsidR="00751578">
        <w:rPr>
          <w:rFonts w:ascii="Arial Narrow" w:hAnsi="Arial Narrow" w:cs="Arial"/>
          <w:sz w:val="20"/>
          <w:szCs w:val="20"/>
        </w:rPr>
        <w:t>(</w:t>
      </w:r>
      <w:r w:rsidR="00751578" w:rsidRPr="00751578">
        <w:rPr>
          <w:rFonts w:ascii="Arial Narrow" w:hAnsi="Arial Narrow" w:cs="Arial"/>
          <w:sz w:val="20"/>
          <w:szCs w:val="20"/>
        </w:rPr>
        <w:t>не е показан на фиг.1</w:t>
      </w:r>
      <w:r w:rsidR="00751578">
        <w:rPr>
          <w:rFonts w:ascii="Arial Narrow" w:hAnsi="Arial Narrow" w:cs="Arial"/>
          <w:sz w:val="20"/>
          <w:szCs w:val="20"/>
        </w:rPr>
        <w:t xml:space="preserve">), който </w:t>
      </w:r>
      <w:r w:rsidR="00BA394F">
        <w:rPr>
          <w:rFonts w:ascii="Arial Narrow" w:hAnsi="Arial Narrow" w:cs="Arial"/>
          <w:sz w:val="20"/>
          <w:szCs w:val="20"/>
        </w:rPr>
        <w:t xml:space="preserve">основно </w:t>
      </w:r>
      <w:r w:rsidR="00751578">
        <w:rPr>
          <w:rFonts w:ascii="Arial Narrow" w:hAnsi="Arial Narrow" w:cs="Arial"/>
          <w:sz w:val="20"/>
          <w:szCs w:val="20"/>
        </w:rPr>
        <w:t>ще осигури захранването на мелницата в обогатителната фабрика.</w:t>
      </w:r>
    </w:p>
    <w:p w:rsidR="001C0DA9" w:rsidRPr="001C0DA9" w:rsidRDefault="001C0DA9" w:rsidP="00E87D05">
      <w:pPr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E87D05" w:rsidRDefault="00E87D05" w:rsidP="00E87D05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</w:t>
      </w:r>
      <w:r w:rsidR="00751578">
        <w:rPr>
          <w:rFonts w:ascii="Arial Narrow" w:hAnsi="Arial Narrow" w:cs="Arial"/>
          <w:sz w:val="20"/>
          <w:szCs w:val="20"/>
        </w:rPr>
        <w:t xml:space="preserve">След включването на Т-р 3 оптималният режим на работа на Т-р 1 и Т-р 2 е </w:t>
      </w:r>
      <w:r w:rsidR="00406B83">
        <w:rPr>
          <w:rFonts w:ascii="Arial Narrow" w:hAnsi="Arial Narrow" w:cs="Arial"/>
          <w:sz w:val="20"/>
          <w:szCs w:val="20"/>
        </w:rPr>
        <w:t xml:space="preserve">- </w:t>
      </w:r>
      <w:r w:rsidR="00751578">
        <w:rPr>
          <w:rFonts w:ascii="Arial Narrow" w:hAnsi="Arial Narrow" w:cs="Arial"/>
          <w:sz w:val="20"/>
          <w:szCs w:val="20"/>
        </w:rPr>
        <w:t>единият под товар, а другия</w:t>
      </w:r>
      <w:r w:rsidR="00406B83">
        <w:rPr>
          <w:rFonts w:ascii="Arial Narrow" w:hAnsi="Arial Narrow" w:cs="Arial"/>
          <w:sz w:val="20"/>
          <w:szCs w:val="20"/>
        </w:rPr>
        <w:t>т</w:t>
      </w:r>
      <w:r w:rsidR="00751578">
        <w:rPr>
          <w:rFonts w:ascii="Arial Narrow" w:hAnsi="Arial Narrow" w:cs="Arial"/>
          <w:sz w:val="20"/>
          <w:szCs w:val="20"/>
        </w:rPr>
        <w:t xml:space="preserve"> в резерв.</w:t>
      </w:r>
      <w:r>
        <w:rPr>
          <w:rFonts w:ascii="Arial Narrow" w:hAnsi="Arial Narrow" w:cs="Arial"/>
          <w:sz w:val="20"/>
          <w:szCs w:val="20"/>
        </w:rPr>
        <w:t xml:space="preserve"> СП в ЗРУ 6кV (КРУ 11) е включен задължително</w:t>
      </w:r>
      <w:r w:rsidR="00406B83"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751578">
        <w:rPr>
          <w:rFonts w:ascii="Arial Narrow" w:hAnsi="Arial Narrow" w:cs="Arial"/>
          <w:sz w:val="20"/>
          <w:szCs w:val="20"/>
        </w:rPr>
        <w:t>тъй като</w:t>
      </w:r>
      <w:r>
        <w:rPr>
          <w:rFonts w:ascii="Arial Narrow" w:hAnsi="Arial Narrow" w:cs="Arial"/>
          <w:sz w:val="20"/>
          <w:szCs w:val="20"/>
        </w:rPr>
        <w:t xml:space="preserve"> част от консуматорите, </w:t>
      </w:r>
      <w:r w:rsidR="00751578">
        <w:rPr>
          <w:rFonts w:ascii="Arial Narrow" w:hAnsi="Arial Narrow" w:cs="Arial"/>
          <w:sz w:val="20"/>
          <w:szCs w:val="20"/>
        </w:rPr>
        <w:t>захранвани от ЦРП</w:t>
      </w:r>
      <w:r w:rsidR="00406B83">
        <w:rPr>
          <w:rFonts w:ascii="Arial Narrow" w:hAnsi="Arial Narrow" w:cs="Arial"/>
          <w:sz w:val="20"/>
          <w:szCs w:val="20"/>
        </w:rPr>
        <w:t>,</w:t>
      </w:r>
      <w:r w:rsidR="009B522D">
        <w:rPr>
          <w:rFonts w:ascii="Arial Narrow" w:hAnsi="Arial Narrow" w:cs="Arial"/>
          <w:sz w:val="20"/>
          <w:szCs w:val="20"/>
        </w:rPr>
        <w:t xml:space="preserve"> нямат осигурено резервно захранване, а </w:t>
      </w:r>
      <w:r>
        <w:rPr>
          <w:rFonts w:ascii="Arial Narrow" w:hAnsi="Arial Narrow" w:cs="Arial"/>
          <w:sz w:val="20"/>
          <w:szCs w:val="20"/>
        </w:rPr>
        <w:t>са присъединени само към едната шинна система – І или ІІ.</w:t>
      </w:r>
    </w:p>
    <w:p w:rsidR="00E87D05" w:rsidRDefault="00E87D05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E87D05" w:rsidRDefault="00E87D05" w:rsidP="00E87D05">
      <w:pPr>
        <w:ind w:hanging="284"/>
        <w:rPr>
          <w:rFonts w:ascii="Arial Narrow" w:hAnsi="Arial Narrow" w:cs="Arial"/>
          <w:sz w:val="20"/>
          <w:szCs w:val="20"/>
        </w:rPr>
        <w:sectPr w:rsidR="00E87D05" w:rsidSect="001C0DA9">
          <w:type w:val="continuous"/>
          <w:pgSz w:w="11906" w:h="16838" w:code="9"/>
          <w:pgMar w:top="1021" w:right="1134" w:bottom="1247" w:left="1134" w:header="709" w:footer="794" w:gutter="0"/>
          <w:cols w:num="2" w:space="568"/>
          <w:docGrid w:linePitch="360"/>
        </w:sectPr>
      </w:pPr>
    </w:p>
    <w:p w:rsidR="00E87D05" w:rsidRPr="00115624" w:rsidRDefault="00606DB1" w:rsidP="00AE254F">
      <w:pPr>
        <w:ind w:hanging="284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eastAsia="bg-BG"/>
        </w:rPr>
        <w:lastRenderedPageBreak/>
        <w:drawing>
          <wp:inline distT="0" distB="0" distL="0" distR="0" wp14:anchorId="7A07A2DD" wp14:editId="1200017B">
            <wp:extent cx="5391510" cy="6105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Djpg_Page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037" cy="610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05" w:rsidRDefault="00E87D05" w:rsidP="00E87D05">
      <w:pPr>
        <w:pStyle w:val="podpisrysunku"/>
        <w:ind w:firstLine="0"/>
        <w:jc w:val="left"/>
        <w:rPr>
          <w:rFonts w:ascii="Arial Narrow" w:hAnsi="Arial Narrow"/>
          <w:b/>
          <w:i w:val="0"/>
          <w:sz w:val="16"/>
          <w:lang w:val="bg-BG"/>
        </w:rPr>
        <w:sectPr w:rsidR="00E87D05" w:rsidSect="001C0DA9">
          <w:type w:val="continuous"/>
          <w:pgSz w:w="11906" w:h="16838" w:code="9"/>
          <w:pgMar w:top="1021" w:right="1134" w:bottom="1247" w:left="1134" w:header="709" w:footer="794" w:gutter="0"/>
          <w:cols w:space="568"/>
          <w:docGrid w:linePitch="360"/>
        </w:sectPr>
      </w:pPr>
    </w:p>
    <w:p w:rsidR="00E87D05" w:rsidRPr="001C0DA9" w:rsidRDefault="00E87D05" w:rsidP="00E87D05">
      <w:pPr>
        <w:pStyle w:val="podpisrysunku"/>
        <w:ind w:firstLine="0"/>
        <w:jc w:val="left"/>
        <w:rPr>
          <w:rFonts w:ascii="Arial Narrow" w:hAnsi="Arial Narrow"/>
          <w:b/>
          <w:i w:val="0"/>
          <w:sz w:val="16"/>
        </w:rPr>
      </w:pPr>
      <w:r w:rsidRPr="00115624">
        <w:rPr>
          <w:rFonts w:ascii="Arial Narrow" w:hAnsi="Arial Narrow"/>
          <w:b/>
          <w:i w:val="0"/>
          <w:sz w:val="16"/>
          <w:lang w:val="bg-BG"/>
        </w:rPr>
        <w:lastRenderedPageBreak/>
        <w:t>Фиг.</w:t>
      </w:r>
      <w:r w:rsidR="001C0DA9">
        <w:rPr>
          <w:rFonts w:ascii="Arial Narrow" w:hAnsi="Arial Narrow"/>
          <w:b/>
          <w:i w:val="0"/>
          <w:sz w:val="16"/>
        </w:rPr>
        <w:t xml:space="preserve"> </w:t>
      </w:r>
      <w:r>
        <w:rPr>
          <w:rFonts w:ascii="Arial Narrow" w:hAnsi="Arial Narrow"/>
          <w:b/>
          <w:i w:val="0"/>
          <w:sz w:val="16"/>
          <w:lang w:val="bg-BG"/>
        </w:rPr>
        <w:t>1</w:t>
      </w:r>
      <w:r w:rsidR="001C0DA9">
        <w:rPr>
          <w:rFonts w:ascii="Arial Narrow" w:hAnsi="Arial Narrow"/>
          <w:b/>
          <w:i w:val="0"/>
          <w:sz w:val="16"/>
        </w:rPr>
        <w:t>.</w:t>
      </w:r>
    </w:p>
    <w:p w:rsidR="00E87D05" w:rsidRDefault="00E87D05" w:rsidP="00E87D05">
      <w:pPr>
        <w:pStyle w:val="podpisrysunku"/>
        <w:ind w:firstLine="0"/>
        <w:jc w:val="left"/>
        <w:rPr>
          <w:rFonts w:ascii="Arial Narrow" w:hAnsi="Arial Narrow"/>
          <w:b/>
          <w:i w:val="0"/>
          <w:sz w:val="16"/>
        </w:rPr>
      </w:pPr>
    </w:p>
    <w:p w:rsidR="001C0DA9" w:rsidRPr="001C0DA9" w:rsidRDefault="001C0DA9" w:rsidP="00E87D05">
      <w:pPr>
        <w:pStyle w:val="podpisrysunku"/>
        <w:ind w:firstLine="0"/>
        <w:jc w:val="left"/>
        <w:rPr>
          <w:rFonts w:ascii="Arial Narrow" w:hAnsi="Arial Narrow"/>
          <w:b/>
          <w:i w:val="0"/>
          <w:sz w:val="16"/>
        </w:rPr>
      </w:pPr>
    </w:p>
    <w:p w:rsidR="00E87D05" w:rsidRPr="00280164" w:rsidRDefault="00E87D05" w:rsidP="00E87D05">
      <w:pPr>
        <w:jc w:val="both"/>
        <w:rPr>
          <w:rFonts w:ascii="Arial Narrow" w:hAnsi="Arial Narrow" w:cs="Arial"/>
          <w:b/>
        </w:rPr>
      </w:pPr>
      <w:r w:rsidRPr="00280164">
        <w:rPr>
          <w:rFonts w:ascii="Arial Narrow" w:hAnsi="Arial Narrow" w:cs="Arial"/>
          <w:b/>
        </w:rPr>
        <w:t>Експериментални изследвания</w:t>
      </w:r>
    </w:p>
    <w:p w:rsidR="00E87D05" w:rsidRPr="00280164" w:rsidRDefault="00E87D05" w:rsidP="00E87D05">
      <w:pPr>
        <w:jc w:val="both"/>
        <w:rPr>
          <w:rFonts w:ascii="Arial Narrow" w:hAnsi="Arial Narrow" w:cs="Arial"/>
          <w:sz w:val="20"/>
          <w:szCs w:val="20"/>
        </w:rPr>
      </w:pPr>
    </w:p>
    <w:p w:rsidR="00E87D05" w:rsidRPr="00280164" w:rsidRDefault="00E87D05" w:rsidP="00E87D05">
      <w:pPr>
        <w:jc w:val="both"/>
        <w:rPr>
          <w:rFonts w:ascii="Arial Narrow" w:hAnsi="Arial Narrow" w:cs="Arial"/>
          <w:sz w:val="20"/>
          <w:szCs w:val="20"/>
        </w:rPr>
      </w:pPr>
      <w:r w:rsidRPr="00280164">
        <w:rPr>
          <w:rFonts w:ascii="Arial Narrow" w:hAnsi="Arial Narrow" w:cs="Arial"/>
          <w:sz w:val="20"/>
          <w:szCs w:val="20"/>
        </w:rPr>
        <w:t xml:space="preserve">   Изследванията са направени при индивидуална и паралелна работа на двата трансформатора </w:t>
      </w:r>
      <w:r w:rsidRPr="00AF165D">
        <w:rPr>
          <w:rFonts w:ascii="Arial Narrow" w:hAnsi="Arial Narrow" w:cs="Arial"/>
          <w:sz w:val="20"/>
          <w:szCs w:val="20"/>
        </w:rPr>
        <w:t>[</w:t>
      </w:r>
      <w:r>
        <w:rPr>
          <w:rFonts w:ascii="Arial Narrow" w:hAnsi="Arial Narrow" w:cs="Arial"/>
          <w:sz w:val="20"/>
          <w:szCs w:val="20"/>
        </w:rPr>
        <w:t>3</w:t>
      </w:r>
      <w:r w:rsidRPr="00AF165D">
        <w:rPr>
          <w:rFonts w:ascii="Arial Narrow" w:hAnsi="Arial Narrow" w:cs="Arial"/>
          <w:sz w:val="20"/>
          <w:szCs w:val="20"/>
        </w:rPr>
        <w:t xml:space="preserve">] </w:t>
      </w:r>
      <w:r w:rsidRPr="00280164">
        <w:rPr>
          <w:rFonts w:ascii="Arial Narrow" w:hAnsi="Arial Narrow" w:cs="Arial"/>
          <w:sz w:val="20"/>
          <w:szCs w:val="20"/>
        </w:rPr>
        <w:t>и са измерени:</w:t>
      </w:r>
    </w:p>
    <w:p w:rsidR="00E87D05" w:rsidRDefault="00406B83" w:rsidP="00E87D05"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т</w:t>
      </w:r>
      <w:r w:rsidR="00E87D05" w:rsidRPr="00280164">
        <w:rPr>
          <w:rFonts w:ascii="Arial Narrow" w:hAnsi="Arial Narrow" w:cs="Arial"/>
          <w:sz w:val="20"/>
          <w:szCs w:val="20"/>
        </w:rPr>
        <w:t>окове</w:t>
      </w:r>
      <w:r w:rsidR="00E87D05">
        <w:rPr>
          <w:rFonts w:ascii="Arial Narrow" w:hAnsi="Arial Narrow" w:cs="Arial"/>
          <w:sz w:val="20"/>
          <w:szCs w:val="20"/>
        </w:rPr>
        <w:t>те</w:t>
      </w:r>
      <w:r w:rsidR="00E87D05" w:rsidRPr="00280164">
        <w:rPr>
          <w:rFonts w:ascii="Arial Narrow" w:hAnsi="Arial Narrow" w:cs="Arial"/>
          <w:sz w:val="20"/>
          <w:szCs w:val="20"/>
        </w:rPr>
        <w:t xml:space="preserve"> в трите фази А, В и С – </w:t>
      </w:r>
      <w:r w:rsidR="00E87D05" w:rsidRPr="00280164">
        <w:rPr>
          <w:rFonts w:ascii="Arial Narrow" w:hAnsi="Arial Narrow" w:cs="Arial"/>
          <w:sz w:val="20"/>
          <w:szCs w:val="20"/>
          <w:lang w:val="en-US"/>
        </w:rPr>
        <w:t>I</w:t>
      </w:r>
      <w:r w:rsidR="00E87D05" w:rsidRPr="00280164">
        <w:rPr>
          <w:rFonts w:ascii="Arial Narrow" w:hAnsi="Arial Narrow" w:cs="Arial"/>
          <w:sz w:val="20"/>
          <w:szCs w:val="20"/>
          <w:vertAlign w:val="subscript"/>
          <w:lang w:val="en-US"/>
        </w:rPr>
        <w:t>A</w:t>
      </w:r>
      <w:r w:rsidR="00E87D05" w:rsidRPr="00AF165D">
        <w:rPr>
          <w:rFonts w:ascii="Arial Narrow" w:hAnsi="Arial Narrow" w:cs="Arial"/>
          <w:sz w:val="20"/>
          <w:szCs w:val="20"/>
        </w:rPr>
        <w:t xml:space="preserve">, </w:t>
      </w:r>
      <w:r w:rsidR="00E87D05" w:rsidRPr="00280164">
        <w:rPr>
          <w:rFonts w:ascii="Arial Narrow" w:hAnsi="Arial Narrow" w:cs="Arial"/>
          <w:sz w:val="20"/>
          <w:szCs w:val="20"/>
          <w:lang w:val="en-US"/>
        </w:rPr>
        <w:t>I</w:t>
      </w:r>
      <w:r w:rsidR="00E87D05" w:rsidRPr="00280164">
        <w:rPr>
          <w:rFonts w:ascii="Arial Narrow" w:hAnsi="Arial Narrow" w:cs="Arial"/>
          <w:sz w:val="20"/>
          <w:szCs w:val="20"/>
          <w:vertAlign w:val="subscript"/>
          <w:lang w:val="en-US"/>
        </w:rPr>
        <w:t>B</w:t>
      </w:r>
      <w:r w:rsidR="00E87D05" w:rsidRPr="00AF165D">
        <w:rPr>
          <w:rFonts w:ascii="Arial Narrow" w:hAnsi="Arial Narrow" w:cs="Arial"/>
          <w:sz w:val="20"/>
          <w:szCs w:val="20"/>
        </w:rPr>
        <w:t xml:space="preserve">, </w:t>
      </w:r>
      <w:r w:rsidR="00E87D05" w:rsidRPr="00280164">
        <w:rPr>
          <w:rFonts w:ascii="Arial Narrow" w:hAnsi="Arial Narrow" w:cs="Arial"/>
          <w:sz w:val="20"/>
          <w:szCs w:val="20"/>
          <w:lang w:val="en-US"/>
        </w:rPr>
        <w:t>I</w:t>
      </w:r>
      <w:r w:rsidR="00E87D05" w:rsidRPr="00280164">
        <w:rPr>
          <w:rFonts w:ascii="Arial Narrow" w:hAnsi="Arial Narrow" w:cs="Arial"/>
          <w:sz w:val="20"/>
          <w:szCs w:val="20"/>
          <w:vertAlign w:val="subscript"/>
          <w:lang w:val="en-US"/>
        </w:rPr>
        <w:t>C</w:t>
      </w:r>
      <w:r w:rsidR="00E87D05" w:rsidRPr="00AF165D">
        <w:rPr>
          <w:rFonts w:ascii="Arial Narrow" w:hAnsi="Arial Narrow" w:cs="Arial"/>
          <w:sz w:val="20"/>
          <w:szCs w:val="20"/>
        </w:rPr>
        <w:t xml:space="preserve">, </w:t>
      </w:r>
      <w:r w:rsidR="00E87D05" w:rsidRPr="00280164">
        <w:rPr>
          <w:rFonts w:ascii="Arial Narrow" w:hAnsi="Arial Narrow" w:cs="Arial"/>
          <w:sz w:val="20"/>
          <w:szCs w:val="20"/>
          <w:lang w:val="en-US"/>
        </w:rPr>
        <w:t>A</w:t>
      </w:r>
    </w:p>
    <w:p w:rsidR="00E87D05" w:rsidRPr="00280164" w:rsidRDefault="00406B83" w:rsidP="00E87D05"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активната мощност </w:t>
      </w:r>
      <w:r w:rsidR="00E87D05">
        <w:rPr>
          <w:rFonts w:ascii="Arial Narrow" w:hAnsi="Arial Narrow" w:cs="Arial"/>
          <w:sz w:val="20"/>
          <w:szCs w:val="20"/>
        </w:rPr>
        <w:t xml:space="preserve">Р, </w:t>
      </w:r>
      <w:r w:rsidR="00E87D05">
        <w:rPr>
          <w:rFonts w:ascii="Arial Narrow" w:hAnsi="Arial Narrow" w:cs="Arial"/>
          <w:sz w:val="20"/>
          <w:szCs w:val="20"/>
          <w:lang w:val="en-US"/>
        </w:rPr>
        <w:t>kW</w:t>
      </w:r>
    </w:p>
    <w:p w:rsidR="00E87D05" w:rsidRPr="00280164" w:rsidRDefault="00406B83" w:rsidP="00E87D05"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р</w:t>
      </w:r>
      <w:r w:rsidR="00E87D05">
        <w:rPr>
          <w:rFonts w:ascii="Arial Narrow" w:hAnsi="Arial Narrow" w:cs="Arial"/>
          <w:sz w:val="20"/>
          <w:szCs w:val="20"/>
        </w:rPr>
        <w:t xml:space="preserve">еактивната мощност </w:t>
      </w:r>
      <w:r w:rsidR="00E87D05">
        <w:rPr>
          <w:rFonts w:ascii="Arial Narrow" w:hAnsi="Arial Narrow" w:cs="Arial"/>
          <w:sz w:val="20"/>
          <w:szCs w:val="20"/>
          <w:lang w:val="en-US"/>
        </w:rPr>
        <w:t>Q, kVAr</w:t>
      </w:r>
    </w:p>
    <w:p w:rsidR="00E87D05" w:rsidRPr="00280164" w:rsidRDefault="00406B83" w:rsidP="00E87D05"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п</w:t>
      </w:r>
      <w:r w:rsidR="00E87D05">
        <w:rPr>
          <w:rFonts w:ascii="Arial Narrow" w:hAnsi="Arial Narrow" w:cs="Arial"/>
          <w:sz w:val="20"/>
          <w:szCs w:val="20"/>
        </w:rPr>
        <w:t xml:space="preserve">ълната (привидна) мощност </w:t>
      </w:r>
      <w:r w:rsidR="00E87D05">
        <w:rPr>
          <w:rFonts w:ascii="Arial Narrow" w:hAnsi="Arial Narrow" w:cs="Arial"/>
          <w:sz w:val="20"/>
          <w:szCs w:val="20"/>
          <w:lang w:val="en-US"/>
        </w:rPr>
        <w:t>S</w:t>
      </w:r>
      <w:r w:rsidR="00E87D05" w:rsidRPr="00406B83">
        <w:rPr>
          <w:rFonts w:ascii="Arial Narrow" w:hAnsi="Arial Narrow" w:cs="Arial"/>
          <w:sz w:val="20"/>
          <w:szCs w:val="20"/>
        </w:rPr>
        <w:t xml:space="preserve">, </w:t>
      </w:r>
      <w:r w:rsidR="00E87D05">
        <w:rPr>
          <w:rFonts w:ascii="Arial Narrow" w:hAnsi="Arial Narrow" w:cs="Arial"/>
          <w:sz w:val="20"/>
          <w:szCs w:val="20"/>
          <w:lang w:val="en-US"/>
        </w:rPr>
        <w:t>kVA</w:t>
      </w:r>
    </w:p>
    <w:p w:rsidR="00E87D05" w:rsidRPr="00BA394F" w:rsidRDefault="00E87D05" w:rsidP="00E87D05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В режим на индивидуална едновременна работа </w:t>
      </w:r>
      <w:r w:rsidR="00BA394F">
        <w:rPr>
          <w:rFonts w:ascii="Arial Narrow" w:hAnsi="Arial Narrow" w:cs="Arial"/>
          <w:sz w:val="20"/>
          <w:szCs w:val="20"/>
        </w:rPr>
        <w:t>на Т-р 1 и Т-р 2</w:t>
      </w:r>
      <w:r>
        <w:rPr>
          <w:rFonts w:ascii="Arial Narrow" w:hAnsi="Arial Narrow" w:cs="Arial"/>
          <w:sz w:val="20"/>
          <w:szCs w:val="20"/>
        </w:rPr>
        <w:t xml:space="preserve"> са направени 3 измервания през 15</w:t>
      </w:r>
      <w:r>
        <w:rPr>
          <w:rFonts w:ascii="Arial Narrow" w:hAnsi="Arial Narrow" w:cs="Arial"/>
          <w:sz w:val="20"/>
          <w:szCs w:val="20"/>
          <w:lang w:val="en-US"/>
        </w:rPr>
        <w:t>min</w:t>
      </w:r>
      <w:r w:rsidRPr="00AF165D">
        <w:rPr>
          <w:rFonts w:ascii="Arial Narrow" w:hAnsi="Arial Narrow" w:cs="Arial"/>
          <w:sz w:val="20"/>
          <w:szCs w:val="20"/>
        </w:rPr>
        <w:t xml:space="preserve"> </w:t>
      </w:r>
      <w:r w:rsidR="00BA394F">
        <w:rPr>
          <w:rFonts w:ascii="Arial Narrow" w:hAnsi="Arial Narrow" w:cs="Arial"/>
          <w:sz w:val="20"/>
          <w:szCs w:val="20"/>
        </w:rPr>
        <w:t>с данни</w:t>
      </w:r>
      <w:r w:rsidR="00406B83">
        <w:rPr>
          <w:rFonts w:ascii="Arial Narrow" w:hAnsi="Arial Narrow" w:cs="Arial"/>
          <w:sz w:val="20"/>
          <w:szCs w:val="20"/>
        </w:rPr>
        <w:t>,</w:t>
      </w:r>
      <w:r w:rsidR="00BA394F">
        <w:rPr>
          <w:rFonts w:ascii="Arial Narrow" w:hAnsi="Arial Narrow" w:cs="Arial"/>
          <w:sz w:val="20"/>
          <w:szCs w:val="20"/>
        </w:rPr>
        <w:t xml:space="preserve"> посочени в табл.1, където </w:t>
      </w:r>
      <w:r w:rsidR="00BA394F">
        <w:rPr>
          <w:rFonts w:ascii="Arial Narrow" w:hAnsi="Arial Narrow" w:cs="Arial"/>
          <w:sz w:val="20"/>
          <w:szCs w:val="20"/>
          <w:lang w:val="en-US"/>
        </w:rPr>
        <w:t>n</w:t>
      </w:r>
      <w:r w:rsidR="00406B83">
        <w:rPr>
          <w:rFonts w:ascii="Arial Narrow" w:hAnsi="Arial Narrow" w:cs="Arial"/>
          <w:sz w:val="20"/>
          <w:szCs w:val="20"/>
        </w:rPr>
        <w:t xml:space="preserve"> е номерът</w:t>
      </w:r>
      <w:r w:rsidR="00BA394F">
        <w:rPr>
          <w:rFonts w:ascii="Arial Narrow" w:hAnsi="Arial Narrow" w:cs="Arial"/>
          <w:sz w:val="20"/>
          <w:szCs w:val="20"/>
        </w:rPr>
        <w:t xml:space="preserve"> на трансформатора, а </w:t>
      </w:r>
      <w:proofErr w:type="spellStart"/>
      <w:r w:rsidR="00BA394F">
        <w:rPr>
          <w:rFonts w:ascii="Arial Narrow" w:hAnsi="Arial Narrow" w:cs="Arial"/>
          <w:sz w:val="20"/>
          <w:szCs w:val="20"/>
          <w:lang w:val="en-US"/>
        </w:rPr>
        <w:t>C</w:t>
      </w:r>
      <w:r w:rsidR="00BA394F" w:rsidRPr="00406B83">
        <w:rPr>
          <w:rFonts w:ascii="Arial Narrow" w:hAnsi="Arial Narrow" w:cs="Arial"/>
          <w:sz w:val="20"/>
          <w:szCs w:val="20"/>
          <w:vertAlign w:val="subscript"/>
          <w:lang w:val="en-US"/>
        </w:rPr>
        <w:t>n</w:t>
      </w:r>
      <w:proofErr w:type="spellEnd"/>
      <w:r w:rsidR="00406B83">
        <w:rPr>
          <w:rFonts w:ascii="Arial Narrow" w:hAnsi="Arial Narrow" w:cs="Arial"/>
          <w:sz w:val="20"/>
          <w:szCs w:val="20"/>
        </w:rPr>
        <w:t xml:space="preserve"> е номерът</w:t>
      </w:r>
      <w:r w:rsidR="00BA394F">
        <w:rPr>
          <w:rFonts w:ascii="Arial Narrow" w:hAnsi="Arial Narrow" w:cs="Arial"/>
          <w:sz w:val="20"/>
          <w:szCs w:val="20"/>
        </w:rPr>
        <w:t xml:space="preserve"> на стъпалото на регулатора на напрежение.</w:t>
      </w:r>
    </w:p>
    <w:p w:rsidR="00E87D05" w:rsidRDefault="00E87D05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E87D05" w:rsidRDefault="00E87D05" w:rsidP="00E87D05">
      <w:pPr>
        <w:jc w:val="both"/>
        <w:rPr>
          <w:rFonts w:ascii="Arial Narrow" w:hAnsi="Arial Narrow" w:cs="Arial"/>
          <w:sz w:val="20"/>
          <w:szCs w:val="20"/>
        </w:rPr>
      </w:pPr>
    </w:p>
    <w:p w:rsidR="00E87D05" w:rsidRDefault="00E87D05" w:rsidP="00E87D05">
      <w:pPr>
        <w:jc w:val="both"/>
        <w:rPr>
          <w:rFonts w:ascii="Arial Narrow" w:hAnsi="Arial Narrow" w:cs="Arial"/>
          <w:sz w:val="20"/>
          <w:szCs w:val="20"/>
        </w:rPr>
      </w:pPr>
    </w:p>
    <w:p w:rsidR="00E87D05" w:rsidRDefault="00E87D05" w:rsidP="00E87D05">
      <w:pPr>
        <w:jc w:val="both"/>
        <w:rPr>
          <w:rFonts w:ascii="Arial Narrow" w:hAnsi="Arial Narrow" w:cs="Arial"/>
          <w:sz w:val="20"/>
          <w:szCs w:val="20"/>
        </w:rPr>
      </w:pPr>
    </w:p>
    <w:p w:rsidR="00AE254F" w:rsidRPr="00AF165D" w:rsidRDefault="00AE254F" w:rsidP="00E87D05">
      <w:pPr>
        <w:jc w:val="both"/>
        <w:rPr>
          <w:rFonts w:ascii="Arial Narrow" w:hAnsi="Arial Narrow" w:cs="Arial"/>
          <w:i/>
          <w:sz w:val="20"/>
          <w:szCs w:val="20"/>
        </w:rPr>
      </w:pPr>
    </w:p>
    <w:p w:rsidR="00E87D05" w:rsidRPr="000442E9" w:rsidRDefault="00E87D05" w:rsidP="00E87D05">
      <w:pPr>
        <w:jc w:val="both"/>
        <w:rPr>
          <w:rFonts w:ascii="Arial Narrow" w:hAnsi="Arial Narrow" w:cs="Arial"/>
          <w:i/>
          <w:sz w:val="20"/>
          <w:szCs w:val="20"/>
          <w:lang w:val="en-US"/>
        </w:rPr>
      </w:pPr>
      <w:r w:rsidRPr="000442E9">
        <w:rPr>
          <w:rFonts w:ascii="Arial Narrow" w:hAnsi="Arial Narrow" w:cs="Arial"/>
          <w:i/>
          <w:sz w:val="20"/>
          <w:szCs w:val="20"/>
        </w:rPr>
        <w:t>Таблица 1</w:t>
      </w:r>
    </w:p>
    <w:tbl>
      <w:tblPr>
        <w:tblW w:w="455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273"/>
        <w:gridCol w:w="274"/>
        <w:gridCol w:w="610"/>
        <w:gridCol w:w="567"/>
        <w:gridCol w:w="567"/>
        <w:gridCol w:w="567"/>
        <w:gridCol w:w="708"/>
        <w:gridCol w:w="567"/>
      </w:tblGrid>
      <w:tr w:rsidR="001C0DA9" w:rsidRPr="00C858F7" w:rsidTr="001C0DA9">
        <w:trPr>
          <w:trHeight w:val="76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05" w:rsidRPr="00C858F7" w:rsidRDefault="00E87D05" w:rsidP="009C115D">
            <w:pPr>
              <w:ind w:left="-55" w:right="-71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858F7">
              <w:rPr>
                <w:rFonts w:ascii="Arial Narrow" w:hAnsi="Arial Narrow" w:cs="Arial"/>
                <w:sz w:val="16"/>
                <w:szCs w:val="16"/>
              </w:rPr>
              <w:t>Експ</w:t>
            </w:r>
            <w:proofErr w:type="spellEnd"/>
            <w:r w:rsidRPr="00C858F7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Pr="00C858F7">
              <w:rPr>
                <w:rFonts w:ascii="Arial Narrow" w:hAnsi="Arial Narrow" w:cs="Arial"/>
                <w:sz w:val="16"/>
                <w:szCs w:val="16"/>
              </w:rPr>
              <w:t>№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n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ind w:right="-70" w:hanging="7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C</w:t>
            </w:r>
            <w:r w:rsidRPr="00C858F7">
              <w:rPr>
                <w:rFonts w:ascii="Arial Narrow" w:hAnsi="Arial Narrow" w:cs="Arial"/>
                <w:sz w:val="16"/>
                <w:szCs w:val="16"/>
                <w:vertAlign w:val="subscript"/>
                <w:lang w:val="en-US"/>
              </w:rPr>
              <w:t>n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proofErr w:type="spellStart"/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I</w:t>
            </w:r>
            <w:r w:rsidRPr="00C858F7">
              <w:rPr>
                <w:rFonts w:ascii="Arial Narrow" w:hAnsi="Arial Narrow" w:cs="Arial"/>
                <w:sz w:val="16"/>
                <w:szCs w:val="16"/>
                <w:vertAlign w:val="subscript"/>
                <w:lang w:val="en-US"/>
              </w:rPr>
              <w:t>An</w:t>
            </w:r>
            <w:proofErr w:type="spellEnd"/>
            <w:r w:rsidRPr="00C858F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[</w:t>
            </w:r>
            <w:r w:rsidRPr="00C858F7">
              <w:rPr>
                <w:rFonts w:ascii="Arial Narrow" w:hAnsi="Arial Narrow" w:cs="Arial"/>
                <w:sz w:val="16"/>
                <w:szCs w:val="16"/>
              </w:rPr>
              <w:t>A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I</w:t>
            </w:r>
            <w:r w:rsidRPr="00C858F7">
              <w:rPr>
                <w:rFonts w:ascii="Arial Narrow" w:hAnsi="Arial Narrow" w:cs="Arial"/>
                <w:sz w:val="16"/>
                <w:szCs w:val="16"/>
                <w:vertAlign w:val="subscript"/>
                <w:lang w:val="en-US"/>
              </w:rPr>
              <w:t>Bn</w:t>
            </w:r>
            <w:proofErr w:type="spellEnd"/>
            <w:r w:rsidRPr="00C858F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[</w:t>
            </w:r>
            <w:r w:rsidRPr="00C858F7">
              <w:rPr>
                <w:rFonts w:ascii="Arial Narrow" w:hAnsi="Arial Narrow" w:cs="Arial"/>
                <w:sz w:val="16"/>
                <w:szCs w:val="16"/>
              </w:rPr>
              <w:t>A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I</w:t>
            </w:r>
            <w:r w:rsidRPr="00C858F7">
              <w:rPr>
                <w:rFonts w:ascii="Arial Narrow" w:hAnsi="Arial Narrow" w:cs="Arial"/>
                <w:sz w:val="16"/>
                <w:szCs w:val="16"/>
                <w:vertAlign w:val="subscript"/>
                <w:lang w:val="en-US"/>
              </w:rPr>
              <w:t>Cn</w:t>
            </w:r>
            <w:proofErr w:type="spellEnd"/>
            <w:r w:rsidRPr="00C858F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[</w:t>
            </w:r>
            <w:r w:rsidRPr="00C858F7">
              <w:rPr>
                <w:rFonts w:ascii="Arial Narrow" w:hAnsi="Arial Narrow" w:cs="Arial"/>
                <w:sz w:val="16"/>
                <w:szCs w:val="16"/>
              </w:rPr>
              <w:t>A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proofErr w:type="spellStart"/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Q</w:t>
            </w:r>
            <w:r w:rsidRPr="00C858F7">
              <w:rPr>
                <w:rFonts w:ascii="Arial Narrow" w:hAnsi="Arial Narrow" w:cs="Arial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,</w:t>
            </w:r>
            <w:r w:rsidRPr="00C858F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[</w:t>
            </w:r>
            <w:r w:rsidRPr="00C858F7">
              <w:rPr>
                <w:rFonts w:ascii="Arial Narrow" w:hAnsi="Arial Narrow" w:cs="Arial"/>
                <w:sz w:val="16"/>
                <w:szCs w:val="16"/>
              </w:rPr>
              <w:t>kVAr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proofErr w:type="spellStart"/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P</w:t>
            </w:r>
            <w:r w:rsidRPr="00C858F7">
              <w:rPr>
                <w:rFonts w:ascii="Arial Narrow" w:hAnsi="Arial Narrow" w:cs="Arial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,</w:t>
            </w:r>
            <w:r w:rsidRPr="00C858F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[</w:t>
            </w:r>
            <w:r w:rsidRPr="00C858F7">
              <w:rPr>
                <w:rFonts w:ascii="Arial Narrow" w:hAnsi="Arial Narrow" w:cs="Arial"/>
                <w:sz w:val="16"/>
                <w:szCs w:val="16"/>
              </w:rPr>
              <w:t>kW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 w:rsidRPr="00C858F7">
              <w:rPr>
                <w:rFonts w:ascii="Arial Narrow" w:hAnsi="Arial Narrow" w:cs="Arial"/>
                <w:sz w:val="16"/>
                <w:szCs w:val="16"/>
                <w:vertAlign w:val="subscript"/>
                <w:lang w:val="en-US"/>
              </w:rPr>
              <w:t>n</w:t>
            </w:r>
            <w:r w:rsidRPr="00C858F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[</w:t>
            </w:r>
            <w:r w:rsidRPr="00C858F7">
              <w:rPr>
                <w:rFonts w:ascii="Arial Narrow" w:hAnsi="Arial Narrow" w:cs="Arial"/>
                <w:sz w:val="16"/>
                <w:szCs w:val="16"/>
              </w:rPr>
              <w:t>kVA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]</w:t>
            </w:r>
          </w:p>
        </w:tc>
      </w:tr>
      <w:tr w:rsidR="001C0DA9" w:rsidRPr="00C858F7" w:rsidTr="001C0DA9">
        <w:trPr>
          <w:trHeight w:val="25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D05" w:rsidRPr="00C858F7" w:rsidRDefault="00E87D05" w:rsidP="009C11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621,60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648,70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623,30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2718,7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6054,90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6637,3</w:t>
            </w:r>
          </w:p>
        </w:tc>
      </w:tr>
      <w:tr w:rsidR="001C0DA9" w:rsidRPr="00C858F7" w:rsidTr="001C0DA9">
        <w:trPr>
          <w:trHeight w:val="255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D05" w:rsidRPr="00C858F7" w:rsidRDefault="00E87D05" w:rsidP="009C11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611,40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619,10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619,90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1898,8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6129,80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6402,1</w:t>
            </w:r>
          </w:p>
        </w:tc>
      </w:tr>
      <w:tr w:rsidR="001C0DA9" w:rsidRPr="00C858F7" w:rsidTr="001C0DA9">
        <w:trPr>
          <w:trHeight w:val="25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7D05" w:rsidRPr="00C858F7" w:rsidRDefault="00E87D05" w:rsidP="009C11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616,50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641,10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609,70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2656,8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6067,40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6513,4</w:t>
            </w:r>
          </w:p>
        </w:tc>
      </w:tr>
      <w:tr w:rsidR="001C0DA9" w:rsidRPr="00C858F7" w:rsidTr="001C0DA9">
        <w:trPr>
          <w:trHeight w:val="255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D05" w:rsidRPr="00C858F7" w:rsidRDefault="00E87D05" w:rsidP="009C11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613,10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619,10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619,90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1868,9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6127,60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6410,1</w:t>
            </w:r>
          </w:p>
        </w:tc>
      </w:tr>
      <w:tr w:rsidR="001C0DA9" w:rsidRPr="00C858F7" w:rsidTr="001C0DA9">
        <w:trPr>
          <w:trHeight w:val="25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7D05" w:rsidRPr="00C858F7" w:rsidRDefault="00E87D05" w:rsidP="009C11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633,50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660,60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621,60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2680,9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6281,20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6745,4</w:t>
            </w:r>
          </w:p>
        </w:tc>
      </w:tr>
      <w:tr w:rsidR="001C0DA9" w:rsidRPr="00C858F7" w:rsidTr="001C0DA9">
        <w:trPr>
          <w:trHeight w:val="255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D05" w:rsidRPr="00C858F7" w:rsidRDefault="00E87D05" w:rsidP="009C11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610,60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621,60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619,10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1864,9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6050,70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C858F7" w:rsidRDefault="00E87D05" w:rsidP="009C115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color w:val="000000"/>
                <w:sz w:val="16"/>
                <w:szCs w:val="16"/>
              </w:rPr>
              <w:t>6366,9</w:t>
            </w:r>
          </w:p>
        </w:tc>
      </w:tr>
    </w:tbl>
    <w:p w:rsidR="00E87D05" w:rsidRDefault="00E87D05" w:rsidP="00E87D05">
      <w:pPr>
        <w:rPr>
          <w:rFonts w:ascii="Arial Narrow" w:hAnsi="Arial Narrow"/>
          <w:sz w:val="18"/>
          <w:szCs w:val="18"/>
        </w:rPr>
      </w:pPr>
    </w:p>
    <w:p w:rsidR="00E87D05" w:rsidRDefault="00E87D05" w:rsidP="00E87D05">
      <w:pPr>
        <w:jc w:val="both"/>
        <w:rPr>
          <w:rFonts w:ascii="Arial Narrow" w:hAnsi="Arial Narrow" w:cs="Arial"/>
          <w:sz w:val="20"/>
          <w:szCs w:val="20"/>
        </w:rPr>
      </w:pPr>
      <w:r w:rsidRPr="00E923E9">
        <w:rPr>
          <w:rFonts w:ascii="Arial Narrow" w:hAnsi="Arial Narrow" w:cs="Arial"/>
          <w:color w:val="000000" w:themeColor="text1"/>
          <w:sz w:val="20"/>
          <w:szCs w:val="20"/>
        </w:rPr>
        <w:t xml:space="preserve">   Анализът на получените резултати от табл. 1 показва, че при </w:t>
      </w:r>
      <w:r w:rsidR="00BA394F">
        <w:rPr>
          <w:rFonts w:ascii="Arial Narrow" w:hAnsi="Arial Narrow" w:cs="Arial"/>
          <w:color w:val="000000" w:themeColor="text1"/>
          <w:sz w:val="20"/>
          <w:szCs w:val="20"/>
        </w:rPr>
        <w:t>индивидуална едновременна работа на двата трансформатора</w:t>
      </w:r>
      <w:r>
        <w:rPr>
          <w:rFonts w:ascii="Arial Narrow" w:hAnsi="Arial Narrow" w:cs="Arial"/>
          <w:sz w:val="20"/>
          <w:szCs w:val="20"/>
        </w:rPr>
        <w:t xml:space="preserve"> натоварването им е сравнително равномерно: по активна мощност Т</w:t>
      </w:r>
      <w:r w:rsidR="00E20F32"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>р 2 се натоварва от -3,7% до +1,2% спрямо Т</w:t>
      </w:r>
      <w:r w:rsidR="00E20F32"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 xml:space="preserve">р </w:t>
      </w:r>
      <w:r w:rsidR="001F3257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 xml:space="preserve">, а по привидна (пълна) </w:t>
      </w:r>
      <w:r>
        <w:rPr>
          <w:rFonts w:ascii="Arial Narrow" w:hAnsi="Arial Narrow" w:cs="Arial"/>
          <w:sz w:val="20"/>
          <w:szCs w:val="20"/>
        </w:rPr>
        <w:lastRenderedPageBreak/>
        <w:t>мощност – Т</w:t>
      </w:r>
      <w:r w:rsidR="00E20F32"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>р</w:t>
      </w:r>
      <w:r w:rsidR="00406B83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2 е натоварен от -1,6% до -5,6%, при едни и същи позиции на </w:t>
      </w:r>
      <w:proofErr w:type="spellStart"/>
      <w:r>
        <w:rPr>
          <w:rFonts w:ascii="Arial Narrow" w:hAnsi="Arial Narrow" w:cs="Arial"/>
          <w:sz w:val="20"/>
          <w:szCs w:val="20"/>
        </w:rPr>
        <w:t>стъпалния</w:t>
      </w:r>
      <w:proofErr w:type="spellEnd"/>
      <w:r>
        <w:rPr>
          <w:rFonts w:ascii="Arial Narrow" w:hAnsi="Arial Narrow" w:cs="Arial"/>
          <w:sz w:val="20"/>
          <w:szCs w:val="20"/>
        </w:rPr>
        <w:t xml:space="preserve"> регулатор - </w:t>
      </w:r>
      <w:r>
        <w:rPr>
          <w:rFonts w:ascii="Arial Narrow" w:hAnsi="Arial Narrow" w:cs="Arial"/>
          <w:sz w:val="20"/>
          <w:szCs w:val="20"/>
          <w:lang w:val="en-US"/>
        </w:rPr>
        <w:t>C</w:t>
      </w:r>
      <w:r w:rsidRPr="00AF165D">
        <w:rPr>
          <w:rFonts w:ascii="Arial Narrow" w:hAnsi="Arial Narrow" w:cs="Arial"/>
          <w:sz w:val="20"/>
          <w:szCs w:val="20"/>
          <w:vertAlign w:val="subscript"/>
        </w:rPr>
        <w:t>1</w:t>
      </w:r>
      <w:r w:rsidRPr="00AF165D">
        <w:rPr>
          <w:rFonts w:ascii="Arial Narrow" w:hAnsi="Arial Narrow" w:cs="Arial"/>
          <w:sz w:val="20"/>
          <w:szCs w:val="20"/>
        </w:rPr>
        <w:t>=</w:t>
      </w:r>
      <w:r>
        <w:rPr>
          <w:rFonts w:ascii="Arial Narrow" w:hAnsi="Arial Narrow" w:cs="Arial"/>
          <w:sz w:val="20"/>
          <w:szCs w:val="20"/>
        </w:rPr>
        <w:t xml:space="preserve">9 и </w:t>
      </w:r>
      <w:r>
        <w:rPr>
          <w:rFonts w:ascii="Arial Narrow" w:hAnsi="Arial Narrow" w:cs="Arial"/>
          <w:sz w:val="20"/>
          <w:szCs w:val="20"/>
          <w:lang w:val="en-US"/>
        </w:rPr>
        <w:t>C</w:t>
      </w:r>
      <w:r>
        <w:rPr>
          <w:rFonts w:ascii="Arial Narrow" w:hAnsi="Arial Narrow" w:cs="Arial"/>
          <w:sz w:val="20"/>
          <w:szCs w:val="20"/>
          <w:vertAlign w:val="subscript"/>
        </w:rPr>
        <w:t>2</w:t>
      </w:r>
      <w:r w:rsidRPr="00AF165D">
        <w:rPr>
          <w:rFonts w:ascii="Arial Narrow" w:hAnsi="Arial Narrow" w:cs="Arial"/>
          <w:sz w:val="20"/>
          <w:szCs w:val="20"/>
        </w:rPr>
        <w:t>=</w:t>
      </w:r>
      <w:r>
        <w:rPr>
          <w:rFonts w:ascii="Arial Narrow" w:hAnsi="Arial Narrow" w:cs="Arial"/>
          <w:sz w:val="20"/>
          <w:szCs w:val="20"/>
        </w:rPr>
        <w:t xml:space="preserve">7 за двата трансформатора. </w:t>
      </w:r>
    </w:p>
    <w:p w:rsidR="001C0DA9" w:rsidRDefault="001C0DA9" w:rsidP="00E87D05">
      <w:pPr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E87D05" w:rsidRDefault="00E87D05" w:rsidP="00E87D05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В режим на паралелна работа на Т</w:t>
      </w:r>
      <w:r w:rsidR="00953A13"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>р 1 и Т</w:t>
      </w:r>
      <w:r w:rsidR="00953A13"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>р 2 са проведени по 5 измервания през 15мин.</w:t>
      </w:r>
    </w:p>
    <w:p w:rsidR="00E87D05" w:rsidRDefault="00E87D05" w:rsidP="00E87D05">
      <w:pPr>
        <w:jc w:val="both"/>
        <w:rPr>
          <w:rFonts w:ascii="Arial Narrow" w:hAnsi="Arial Narrow" w:cs="Arial"/>
          <w:sz w:val="20"/>
          <w:szCs w:val="20"/>
        </w:rPr>
      </w:pPr>
    </w:p>
    <w:p w:rsidR="00E87D05" w:rsidRDefault="00E87D05" w:rsidP="00E87D05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Таблица 2 показва, че при парал</w:t>
      </w:r>
      <w:r w:rsidR="00406B83">
        <w:rPr>
          <w:rFonts w:ascii="Arial Narrow" w:hAnsi="Arial Narrow" w:cs="Arial"/>
          <w:sz w:val="20"/>
          <w:szCs w:val="20"/>
        </w:rPr>
        <w:t>елна работа на трансформаторите</w:t>
      </w:r>
      <w:r>
        <w:rPr>
          <w:rFonts w:ascii="Arial Narrow" w:hAnsi="Arial Narrow" w:cs="Arial"/>
          <w:sz w:val="20"/>
          <w:szCs w:val="20"/>
        </w:rPr>
        <w:t xml:space="preserve"> в зависимост от характера на товара и от по</w:t>
      </w:r>
      <w:r w:rsidR="00953A13">
        <w:rPr>
          <w:rFonts w:ascii="Arial Narrow" w:hAnsi="Arial Narrow" w:cs="Arial"/>
          <w:sz w:val="20"/>
          <w:szCs w:val="20"/>
        </w:rPr>
        <w:t>зициите</w:t>
      </w:r>
      <w:r>
        <w:rPr>
          <w:rFonts w:ascii="Arial Narrow" w:hAnsi="Arial Narrow" w:cs="Arial"/>
          <w:sz w:val="20"/>
          <w:szCs w:val="20"/>
        </w:rPr>
        <w:t xml:space="preserve"> на </w:t>
      </w:r>
      <w:proofErr w:type="spellStart"/>
      <w:r>
        <w:rPr>
          <w:rFonts w:ascii="Arial Narrow" w:hAnsi="Arial Narrow" w:cs="Arial"/>
          <w:sz w:val="20"/>
          <w:szCs w:val="20"/>
        </w:rPr>
        <w:t>стъпалните</w:t>
      </w:r>
      <w:proofErr w:type="spellEnd"/>
      <w:r>
        <w:rPr>
          <w:rFonts w:ascii="Arial Narrow" w:hAnsi="Arial Narrow" w:cs="Arial"/>
          <w:sz w:val="20"/>
          <w:szCs w:val="20"/>
        </w:rPr>
        <w:t xml:space="preserve"> регулатори се изменя натоварването им, при това позициите на </w:t>
      </w:r>
      <w:proofErr w:type="spellStart"/>
      <w:r>
        <w:rPr>
          <w:rFonts w:ascii="Arial Narrow" w:hAnsi="Arial Narrow" w:cs="Arial"/>
          <w:sz w:val="20"/>
          <w:szCs w:val="20"/>
        </w:rPr>
        <w:t>Тр</w:t>
      </w:r>
      <w:proofErr w:type="spellEnd"/>
      <w:r w:rsidR="00406B83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1 се изменят от </w:t>
      </w:r>
      <w:r>
        <w:rPr>
          <w:rFonts w:ascii="Arial Narrow" w:hAnsi="Arial Narrow" w:cs="Arial"/>
          <w:sz w:val="20"/>
          <w:szCs w:val="20"/>
          <w:lang w:val="en-US"/>
        </w:rPr>
        <w:t>C</w:t>
      </w:r>
      <w:r w:rsidRPr="00AF165D">
        <w:rPr>
          <w:rFonts w:ascii="Arial Narrow" w:hAnsi="Arial Narrow" w:cs="Arial"/>
          <w:sz w:val="20"/>
          <w:szCs w:val="20"/>
          <w:vertAlign w:val="subscript"/>
        </w:rPr>
        <w:t>1</w:t>
      </w:r>
      <w:r>
        <w:rPr>
          <w:rFonts w:ascii="Arial Narrow" w:hAnsi="Arial Narrow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∈</m:t>
        </m:r>
      </m:oMath>
      <w:r>
        <w:rPr>
          <w:rFonts w:ascii="Arial Narrow" w:hAnsi="Arial Narrow" w:cs="Arial"/>
          <w:sz w:val="20"/>
          <w:szCs w:val="20"/>
        </w:rPr>
        <w:t xml:space="preserve"> (9-11), а </w:t>
      </w:r>
      <w:proofErr w:type="spellStart"/>
      <w:r>
        <w:rPr>
          <w:rFonts w:ascii="Arial Narrow" w:hAnsi="Arial Narrow" w:cs="Arial"/>
          <w:sz w:val="20"/>
          <w:szCs w:val="20"/>
        </w:rPr>
        <w:t>Тр</w:t>
      </w:r>
      <w:proofErr w:type="spellEnd"/>
      <w:r w:rsidR="00406B83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2 </w:t>
      </w:r>
      <w:r>
        <w:rPr>
          <w:rFonts w:ascii="Arial Narrow" w:hAnsi="Arial Narrow" w:cs="Arial"/>
          <w:sz w:val="20"/>
          <w:szCs w:val="20"/>
          <w:lang w:val="en-US"/>
        </w:rPr>
        <w:t>C</w:t>
      </w:r>
      <w:r>
        <w:rPr>
          <w:rFonts w:ascii="Arial Narrow" w:hAnsi="Arial Narrow" w:cs="Arial"/>
          <w:sz w:val="20"/>
          <w:szCs w:val="20"/>
          <w:vertAlign w:val="subscript"/>
        </w:rPr>
        <w:t>2</w:t>
      </w:r>
      <w:r>
        <w:rPr>
          <w:rFonts w:ascii="Arial Narrow" w:hAnsi="Arial Narrow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∈</m:t>
        </m:r>
      </m:oMath>
      <w:r>
        <w:rPr>
          <w:rFonts w:ascii="Arial Narrow" w:hAnsi="Arial Narrow" w:cs="Arial"/>
          <w:sz w:val="20"/>
          <w:szCs w:val="20"/>
        </w:rPr>
        <w:t xml:space="preserve"> (7-9).</w:t>
      </w:r>
    </w:p>
    <w:p w:rsidR="00953A13" w:rsidRPr="00953A13" w:rsidRDefault="00953A13" w:rsidP="00953A13">
      <w:pPr>
        <w:jc w:val="both"/>
        <w:rPr>
          <w:rFonts w:ascii="Arial Narrow" w:hAnsi="Arial Narrow" w:cs="Arial"/>
          <w:sz w:val="20"/>
          <w:szCs w:val="20"/>
        </w:rPr>
      </w:pPr>
    </w:p>
    <w:p w:rsidR="00953A13" w:rsidRPr="00953A13" w:rsidRDefault="00953A13" w:rsidP="00953A13">
      <w:pPr>
        <w:jc w:val="both"/>
        <w:rPr>
          <w:rFonts w:ascii="Arial Narrow" w:hAnsi="Arial Narrow" w:cs="Arial"/>
          <w:sz w:val="20"/>
          <w:szCs w:val="20"/>
        </w:rPr>
      </w:pPr>
      <w:r w:rsidRPr="00953A13">
        <w:rPr>
          <w:rFonts w:ascii="Arial Narrow" w:hAnsi="Arial Narrow" w:cs="Arial"/>
          <w:i/>
          <w:sz w:val="20"/>
          <w:szCs w:val="20"/>
        </w:rPr>
        <w:t>Таблица 2</w:t>
      </w:r>
    </w:p>
    <w:tbl>
      <w:tblPr>
        <w:tblW w:w="455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3"/>
        <w:gridCol w:w="285"/>
        <w:gridCol w:w="567"/>
        <w:gridCol w:w="566"/>
        <w:gridCol w:w="567"/>
        <w:gridCol w:w="709"/>
        <w:gridCol w:w="567"/>
        <w:gridCol w:w="567"/>
      </w:tblGrid>
      <w:tr w:rsidR="00953A13" w:rsidRPr="00C858F7" w:rsidTr="001C0DA9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13" w:rsidRPr="00C858F7" w:rsidRDefault="00C858F7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Експ</w:t>
            </w:r>
            <w:proofErr w:type="spellEnd"/>
            <w:r w:rsidR="00953A13"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="00953A13" w:rsidRPr="00C858F7">
              <w:rPr>
                <w:rFonts w:ascii="Arial Narrow" w:hAnsi="Arial Narrow" w:cs="Arial"/>
                <w:sz w:val="16"/>
                <w:szCs w:val="16"/>
              </w:rPr>
              <w:t>№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n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C</w:t>
            </w:r>
            <w:r w:rsidRPr="00C858F7">
              <w:rPr>
                <w:rFonts w:ascii="Arial Narrow" w:hAnsi="Arial Narrow" w:cs="Arial"/>
                <w:sz w:val="16"/>
                <w:szCs w:val="16"/>
                <w:vertAlign w:val="subscript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proofErr w:type="spellStart"/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I</w:t>
            </w:r>
            <w:r w:rsidRPr="00C858F7">
              <w:rPr>
                <w:rFonts w:ascii="Arial Narrow" w:hAnsi="Arial Narrow" w:cs="Arial"/>
                <w:sz w:val="16"/>
                <w:szCs w:val="16"/>
                <w:vertAlign w:val="subscript"/>
                <w:lang w:val="en-US"/>
              </w:rPr>
              <w:t>An</w:t>
            </w:r>
            <w:proofErr w:type="spellEnd"/>
            <w:r w:rsidRPr="00C858F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[</w:t>
            </w:r>
            <w:r w:rsidRPr="00C858F7">
              <w:rPr>
                <w:rFonts w:ascii="Arial Narrow" w:hAnsi="Arial Narrow" w:cs="Arial"/>
                <w:sz w:val="16"/>
                <w:szCs w:val="16"/>
              </w:rPr>
              <w:t>A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I</w:t>
            </w:r>
            <w:r w:rsidRPr="00C858F7">
              <w:rPr>
                <w:rFonts w:ascii="Arial Narrow" w:hAnsi="Arial Narrow" w:cs="Arial"/>
                <w:sz w:val="16"/>
                <w:szCs w:val="16"/>
                <w:vertAlign w:val="subscript"/>
                <w:lang w:val="en-US"/>
              </w:rPr>
              <w:t>Bn</w:t>
            </w:r>
            <w:proofErr w:type="spellEnd"/>
            <w:r w:rsidRPr="00C858F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[</w:t>
            </w:r>
            <w:r w:rsidRPr="00C858F7">
              <w:rPr>
                <w:rFonts w:ascii="Arial Narrow" w:hAnsi="Arial Narrow" w:cs="Arial"/>
                <w:sz w:val="16"/>
                <w:szCs w:val="16"/>
              </w:rPr>
              <w:t>A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I</w:t>
            </w:r>
            <w:r w:rsidRPr="00C858F7">
              <w:rPr>
                <w:rFonts w:ascii="Arial Narrow" w:hAnsi="Arial Narrow" w:cs="Arial"/>
                <w:sz w:val="16"/>
                <w:szCs w:val="16"/>
                <w:vertAlign w:val="subscript"/>
                <w:lang w:val="en-US"/>
              </w:rPr>
              <w:t>Cn</w:t>
            </w:r>
            <w:proofErr w:type="spellEnd"/>
            <w:r w:rsidRPr="00C858F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[</w:t>
            </w:r>
            <w:r w:rsidRPr="00C858F7">
              <w:rPr>
                <w:rFonts w:ascii="Arial Narrow" w:hAnsi="Arial Narrow" w:cs="Arial"/>
                <w:sz w:val="16"/>
                <w:szCs w:val="16"/>
              </w:rPr>
              <w:t>A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proofErr w:type="spellStart"/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Q</w:t>
            </w:r>
            <w:r w:rsidRPr="00C858F7">
              <w:rPr>
                <w:rFonts w:ascii="Arial Narrow" w:hAnsi="Arial Narrow" w:cs="Arial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,</w:t>
            </w:r>
            <w:r w:rsidRPr="00C858F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[</w:t>
            </w:r>
            <w:r w:rsidRPr="00C858F7">
              <w:rPr>
                <w:rFonts w:ascii="Arial Narrow" w:hAnsi="Arial Narrow" w:cs="Arial"/>
                <w:sz w:val="16"/>
                <w:szCs w:val="16"/>
              </w:rPr>
              <w:t>kVAr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proofErr w:type="spellStart"/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P</w:t>
            </w:r>
            <w:r w:rsidRPr="00C858F7">
              <w:rPr>
                <w:rFonts w:ascii="Arial Narrow" w:hAnsi="Arial Narrow" w:cs="Arial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,</w:t>
            </w:r>
            <w:r w:rsidRPr="00C858F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[</w:t>
            </w:r>
            <w:r w:rsidRPr="00C858F7">
              <w:rPr>
                <w:rFonts w:ascii="Arial Narrow" w:hAnsi="Arial Narrow" w:cs="Arial"/>
                <w:sz w:val="16"/>
                <w:szCs w:val="16"/>
              </w:rPr>
              <w:t>kW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 w:rsidRPr="00C858F7">
              <w:rPr>
                <w:rFonts w:ascii="Arial Narrow" w:hAnsi="Arial Narrow" w:cs="Arial"/>
                <w:sz w:val="16"/>
                <w:szCs w:val="16"/>
                <w:vertAlign w:val="subscript"/>
                <w:lang w:val="en-US"/>
              </w:rPr>
              <w:t>n</w:t>
            </w:r>
            <w:r w:rsidRPr="00C858F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[</w:t>
            </w:r>
            <w:r w:rsidRPr="00C858F7">
              <w:rPr>
                <w:rFonts w:ascii="Arial Narrow" w:hAnsi="Arial Narrow" w:cs="Arial"/>
                <w:sz w:val="16"/>
                <w:szCs w:val="16"/>
              </w:rPr>
              <w:t>kVA</w:t>
            </w:r>
            <w:r w:rsidRPr="00C858F7">
              <w:rPr>
                <w:rFonts w:ascii="Arial Narrow" w:hAnsi="Arial Narrow" w:cs="Arial"/>
                <w:sz w:val="16"/>
                <w:szCs w:val="16"/>
                <w:lang w:val="en-US"/>
              </w:rPr>
              <w:t>]</w:t>
            </w:r>
          </w:p>
        </w:tc>
      </w:tr>
      <w:tr w:rsidR="00953A13" w:rsidRPr="00C858F7" w:rsidTr="001C0DA9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668,2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687,8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669,1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3114,2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6318,9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7046,5</w:t>
            </w:r>
          </w:p>
        </w:tc>
      </w:tr>
      <w:tr w:rsidR="00953A13" w:rsidRPr="00C858F7" w:rsidTr="001C0DA9">
        <w:trPr>
          <w:trHeight w:val="25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599,6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1638,3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6119,8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7046,5</w:t>
            </w:r>
          </w:p>
        </w:tc>
      </w:tr>
      <w:tr w:rsidR="00953A13" w:rsidRPr="00C858F7" w:rsidTr="001C0DA9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665,7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3095,5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6443,1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7159,0</w:t>
            </w:r>
          </w:p>
        </w:tc>
      </w:tr>
      <w:tr w:rsidR="00953A13" w:rsidRPr="00C858F7" w:rsidTr="001C0DA9">
        <w:trPr>
          <w:trHeight w:val="25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644,5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669,9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2495,1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6443,5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6881,1</w:t>
            </w:r>
          </w:p>
        </w:tc>
      </w:tr>
      <w:tr w:rsidR="00953A13" w:rsidRPr="00C858F7" w:rsidTr="001C0DA9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617,4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654,7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639,4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1716,9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6334,2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6418,0</w:t>
            </w:r>
          </w:p>
        </w:tc>
      </w:tr>
      <w:tr w:rsidR="00953A13" w:rsidRPr="00C858F7" w:rsidTr="001C0DA9">
        <w:trPr>
          <w:trHeight w:val="25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686,1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709,0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3358,5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6517,0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7327,9</w:t>
            </w:r>
          </w:p>
        </w:tc>
      </w:tr>
      <w:tr w:rsidR="00953A13" w:rsidRPr="00C858F7" w:rsidTr="001C0DA9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611,4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630,9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1009,5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6318,4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6477,9</w:t>
            </w:r>
          </w:p>
        </w:tc>
      </w:tr>
      <w:tr w:rsidR="00953A13" w:rsidRPr="00C858F7" w:rsidTr="001C0DA9">
        <w:trPr>
          <w:trHeight w:val="25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742,0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766,6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753,9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4080,9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6748,7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7906,6</w:t>
            </w:r>
          </w:p>
        </w:tc>
      </w:tr>
      <w:tr w:rsidR="00953A13" w:rsidRPr="00C858F7" w:rsidTr="001C0DA9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658,9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667,4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2495,5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6551,7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7003,0</w:t>
            </w:r>
          </w:p>
        </w:tc>
      </w:tr>
      <w:tr w:rsidR="00953A13" w:rsidRPr="00C858F7" w:rsidTr="001C0DA9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655,5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674,2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658,9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2627,2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6549,1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13" w:rsidRPr="00C858F7" w:rsidRDefault="00953A13" w:rsidP="00953A1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858F7">
              <w:rPr>
                <w:rFonts w:ascii="Arial Narrow" w:hAnsi="Arial Narrow" w:cs="Arial"/>
                <w:sz w:val="16"/>
                <w:szCs w:val="16"/>
              </w:rPr>
              <w:t>7028,0</w:t>
            </w:r>
          </w:p>
        </w:tc>
      </w:tr>
    </w:tbl>
    <w:p w:rsidR="00953A13" w:rsidRPr="00953A13" w:rsidRDefault="00953A13" w:rsidP="00953A13">
      <w:pPr>
        <w:jc w:val="both"/>
        <w:rPr>
          <w:rFonts w:ascii="Arial Narrow" w:hAnsi="Arial Narrow" w:cs="Arial"/>
          <w:sz w:val="20"/>
          <w:szCs w:val="20"/>
        </w:rPr>
      </w:pPr>
    </w:p>
    <w:p w:rsidR="00953A13" w:rsidRDefault="00E87D05" w:rsidP="00E87D05">
      <w:pPr>
        <w:jc w:val="both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</w:rPr>
        <w:t xml:space="preserve">   На таблица 3 и 4</w:t>
      </w:r>
      <w:r w:rsidR="00953A13"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съставени по данните в таблица 1 и 2</w:t>
      </w:r>
      <w:r w:rsidR="00406B83"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са показани р</w:t>
      </w:r>
      <w:r w:rsidR="00406B83">
        <w:rPr>
          <w:rFonts w:ascii="Arial Narrow" w:hAnsi="Arial Narrow" w:cs="Arial"/>
          <w:sz w:val="20"/>
          <w:szCs w:val="20"/>
        </w:rPr>
        <w:t>азликите на измерените величини</w:t>
      </w:r>
      <w:r>
        <w:rPr>
          <w:rFonts w:ascii="Arial Narrow" w:hAnsi="Arial Narrow" w:cs="Arial"/>
          <w:sz w:val="20"/>
          <w:szCs w:val="20"/>
        </w:rPr>
        <w:t xml:space="preserve"> в % за двата трансформатора: на токове Δ</w:t>
      </w:r>
      <w:r>
        <w:rPr>
          <w:rFonts w:ascii="Arial Narrow" w:hAnsi="Arial Narrow" w:cs="Arial"/>
          <w:sz w:val="20"/>
          <w:szCs w:val="20"/>
          <w:lang w:val="en-US"/>
        </w:rPr>
        <w:t>I</w:t>
      </w:r>
      <w:r w:rsidRPr="008D43D0">
        <w:rPr>
          <w:rFonts w:ascii="Arial Narrow" w:hAnsi="Arial Narrow" w:cs="Arial"/>
          <w:sz w:val="20"/>
          <w:szCs w:val="20"/>
          <w:vertAlign w:val="subscript"/>
          <w:lang w:val="en-US"/>
        </w:rPr>
        <w:t>A</w:t>
      </w:r>
      <w:r w:rsidRPr="00AF165D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>Δ</w:t>
      </w:r>
      <w:r>
        <w:rPr>
          <w:rFonts w:ascii="Arial Narrow" w:hAnsi="Arial Narrow" w:cs="Arial"/>
          <w:sz w:val="20"/>
          <w:szCs w:val="20"/>
          <w:lang w:val="en-US"/>
        </w:rPr>
        <w:t>I</w:t>
      </w:r>
      <w:r w:rsidRPr="008D43D0">
        <w:rPr>
          <w:rFonts w:ascii="Arial Narrow" w:hAnsi="Arial Narrow" w:cs="Arial"/>
          <w:sz w:val="20"/>
          <w:szCs w:val="20"/>
          <w:vertAlign w:val="subscript"/>
          <w:lang w:val="en-US"/>
        </w:rPr>
        <w:t>B</w:t>
      </w:r>
      <w:r w:rsidRPr="00AF165D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>Δ</w:t>
      </w:r>
      <w:r>
        <w:rPr>
          <w:rFonts w:ascii="Arial Narrow" w:hAnsi="Arial Narrow" w:cs="Arial"/>
          <w:sz w:val="20"/>
          <w:szCs w:val="20"/>
          <w:lang w:val="en-US"/>
        </w:rPr>
        <w:t>I</w:t>
      </w:r>
      <w:r w:rsidRPr="008D43D0">
        <w:rPr>
          <w:rFonts w:ascii="Arial Narrow" w:hAnsi="Arial Narrow" w:cs="Arial"/>
          <w:sz w:val="20"/>
          <w:szCs w:val="20"/>
          <w:vertAlign w:val="subscript"/>
          <w:lang w:val="en-US"/>
        </w:rPr>
        <w:t>C</w:t>
      </w:r>
      <w:r>
        <w:rPr>
          <w:rFonts w:ascii="Arial Narrow" w:hAnsi="Arial Narrow" w:cs="Arial"/>
          <w:sz w:val="20"/>
          <w:szCs w:val="20"/>
        </w:rPr>
        <w:t xml:space="preserve">, на мощностите – активна </w:t>
      </w:r>
      <w:proofErr w:type="spellStart"/>
      <w:r>
        <w:rPr>
          <w:rFonts w:ascii="Arial Narrow" w:hAnsi="Arial Narrow" w:cs="Arial"/>
          <w:sz w:val="20"/>
          <w:szCs w:val="20"/>
        </w:rPr>
        <w:t>ΔР</w:t>
      </w:r>
      <w:proofErr w:type="spellEnd"/>
      <w:r>
        <w:rPr>
          <w:rFonts w:ascii="Arial Narrow" w:hAnsi="Arial Narrow" w:cs="Arial"/>
          <w:sz w:val="20"/>
          <w:szCs w:val="20"/>
        </w:rPr>
        <w:t>, реактивна Δ</w:t>
      </w:r>
      <m:oMath>
        <m:r>
          <w:rPr>
            <w:rFonts w:ascii="Cambria Math" w:hAnsi="Cambria Math" w:cs="Arial"/>
            <w:sz w:val="20"/>
            <w:szCs w:val="20"/>
          </w:rPr>
          <m:t>Q</m:t>
        </m:r>
      </m:oMath>
      <w:r>
        <w:rPr>
          <w:rFonts w:ascii="Arial Narrow" w:hAnsi="Arial Narrow" w:cs="Arial"/>
          <w:sz w:val="20"/>
          <w:szCs w:val="20"/>
        </w:rPr>
        <w:t xml:space="preserve"> и пълна Δ</w:t>
      </w:r>
      <w:r>
        <w:rPr>
          <w:rFonts w:ascii="Arial Narrow" w:hAnsi="Arial Narrow" w:cs="Arial"/>
          <w:sz w:val="20"/>
          <w:szCs w:val="20"/>
          <w:lang w:val="en-US"/>
        </w:rPr>
        <w:t>S</w:t>
      </w:r>
      <w:r w:rsidR="00953A13">
        <w:rPr>
          <w:rFonts w:ascii="Arial Narrow" w:hAnsi="Arial Narrow" w:cs="Arial"/>
          <w:sz w:val="20"/>
          <w:szCs w:val="20"/>
        </w:rPr>
        <w:t>.</w:t>
      </w:r>
    </w:p>
    <w:p w:rsidR="001C0DA9" w:rsidRPr="001C0DA9" w:rsidRDefault="001C0DA9" w:rsidP="00E87D05">
      <w:pPr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E87D05" w:rsidRPr="008D43D0" w:rsidRDefault="00953A13" w:rsidP="00E87D05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</w:t>
      </w:r>
      <w:r w:rsidRPr="00953A13">
        <w:rPr>
          <w:rFonts w:ascii="Arial Narrow" w:hAnsi="Arial Narrow" w:cs="Arial"/>
          <w:sz w:val="20"/>
          <w:szCs w:val="20"/>
        </w:rPr>
        <w:t>Δ</w:t>
      </w:r>
      <w:r w:rsidRPr="00953A13">
        <w:rPr>
          <w:rFonts w:ascii="Arial Narrow" w:hAnsi="Arial Narrow" w:cs="Arial"/>
          <w:sz w:val="20"/>
          <w:szCs w:val="20"/>
          <w:lang w:val="en-US"/>
        </w:rPr>
        <w:t>C</w:t>
      </w:r>
      <w:r w:rsidRPr="00AF165D">
        <w:rPr>
          <w:rFonts w:ascii="Arial Narrow" w:hAnsi="Arial Narrow" w:cs="Arial"/>
          <w:sz w:val="20"/>
          <w:szCs w:val="20"/>
        </w:rPr>
        <w:t>=</w:t>
      </w:r>
      <w:r w:rsidRPr="00953A13">
        <w:rPr>
          <w:rFonts w:ascii="Arial Narrow" w:hAnsi="Arial Narrow" w:cs="Arial"/>
          <w:sz w:val="20"/>
          <w:szCs w:val="20"/>
        </w:rPr>
        <w:t xml:space="preserve"> С</w:t>
      </w:r>
      <w:r w:rsidRPr="00953A13">
        <w:rPr>
          <w:rFonts w:ascii="Arial Narrow" w:hAnsi="Arial Narrow" w:cs="Arial"/>
          <w:sz w:val="20"/>
          <w:szCs w:val="20"/>
          <w:vertAlign w:val="subscript"/>
        </w:rPr>
        <w:t>1</w:t>
      </w:r>
      <w:r w:rsidRPr="00953A13">
        <w:rPr>
          <w:rFonts w:ascii="Arial Narrow" w:hAnsi="Arial Narrow" w:cs="Arial"/>
          <w:sz w:val="20"/>
          <w:szCs w:val="20"/>
        </w:rPr>
        <w:t xml:space="preserve"> </w:t>
      </w:r>
      <w:r w:rsidRPr="00AF165D">
        <w:rPr>
          <w:rFonts w:ascii="Arial Narrow" w:hAnsi="Arial Narrow" w:cs="Arial"/>
          <w:sz w:val="20"/>
          <w:szCs w:val="20"/>
        </w:rPr>
        <w:t>-</w:t>
      </w:r>
      <w:r w:rsidRPr="00953A13">
        <w:rPr>
          <w:rFonts w:ascii="Arial Narrow" w:hAnsi="Arial Narrow" w:cs="Arial"/>
          <w:sz w:val="20"/>
          <w:szCs w:val="20"/>
        </w:rPr>
        <w:t xml:space="preserve"> С</w:t>
      </w:r>
      <w:r w:rsidRPr="00953A13">
        <w:rPr>
          <w:rFonts w:ascii="Arial Narrow" w:hAnsi="Arial Narrow" w:cs="Arial"/>
          <w:sz w:val="20"/>
          <w:szCs w:val="20"/>
          <w:vertAlign w:val="subscript"/>
        </w:rPr>
        <w:t>2</w:t>
      </w:r>
      <w:r w:rsidRPr="00953A13">
        <w:rPr>
          <w:rFonts w:ascii="Arial Narrow" w:hAnsi="Arial Narrow" w:cs="Arial"/>
          <w:sz w:val="20"/>
          <w:szCs w:val="20"/>
        </w:rPr>
        <w:t xml:space="preserve"> е</w:t>
      </w:r>
      <w:r>
        <w:rPr>
          <w:rFonts w:ascii="Arial Narrow" w:hAnsi="Arial Narrow" w:cs="Arial"/>
          <w:sz w:val="20"/>
          <w:szCs w:val="20"/>
        </w:rPr>
        <w:t xml:space="preserve"> р</w:t>
      </w:r>
      <w:r w:rsidR="00E87D05">
        <w:rPr>
          <w:rFonts w:ascii="Arial Narrow" w:hAnsi="Arial Narrow" w:cs="Arial"/>
          <w:sz w:val="20"/>
          <w:szCs w:val="20"/>
        </w:rPr>
        <w:t>азлик</w:t>
      </w:r>
      <w:r>
        <w:rPr>
          <w:rFonts w:ascii="Arial Narrow" w:hAnsi="Arial Narrow" w:cs="Arial"/>
          <w:sz w:val="20"/>
          <w:szCs w:val="20"/>
        </w:rPr>
        <w:t>а</w:t>
      </w:r>
      <w:r w:rsidR="00E87D05">
        <w:rPr>
          <w:rFonts w:ascii="Arial Narrow" w:hAnsi="Arial Narrow" w:cs="Arial"/>
          <w:sz w:val="20"/>
          <w:szCs w:val="20"/>
        </w:rPr>
        <w:t>т</w:t>
      </w:r>
      <w:r>
        <w:rPr>
          <w:rFonts w:ascii="Arial Narrow" w:hAnsi="Arial Narrow" w:cs="Arial"/>
          <w:sz w:val="20"/>
          <w:szCs w:val="20"/>
        </w:rPr>
        <w:t>а</w:t>
      </w:r>
      <w:r w:rsidR="00E87D05">
        <w:rPr>
          <w:rFonts w:ascii="Arial Narrow" w:hAnsi="Arial Narrow" w:cs="Arial"/>
          <w:sz w:val="20"/>
          <w:szCs w:val="20"/>
        </w:rPr>
        <w:t xml:space="preserve"> в позициите на стъпалния регулатор за Тр1 – С</w:t>
      </w:r>
      <w:r w:rsidR="00E87D05" w:rsidRPr="008D43D0">
        <w:rPr>
          <w:rFonts w:ascii="Arial Narrow" w:hAnsi="Arial Narrow" w:cs="Arial"/>
          <w:sz w:val="20"/>
          <w:szCs w:val="20"/>
          <w:vertAlign w:val="subscript"/>
        </w:rPr>
        <w:t>1</w:t>
      </w:r>
      <w:r w:rsidR="00E87D05">
        <w:rPr>
          <w:rFonts w:ascii="Arial Narrow" w:hAnsi="Arial Narrow" w:cs="Arial"/>
          <w:sz w:val="20"/>
          <w:szCs w:val="20"/>
        </w:rPr>
        <w:t xml:space="preserve"> и за Тр 2 – С</w:t>
      </w:r>
      <w:r w:rsidR="00E87D05" w:rsidRPr="008D43D0">
        <w:rPr>
          <w:rFonts w:ascii="Arial Narrow" w:hAnsi="Arial Narrow" w:cs="Arial"/>
          <w:sz w:val="20"/>
          <w:szCs w:val="20"/>
          <w:vertAlign w:val="subscript"/>
        </w:rPr>
        <w:t>2</w:t>
      </w:r>
      <w:r w:rsidR="00E87D05">
        <w:rPr>
          <w:rFonts w:ascii="Arial Narrow" w:hAnsi="Arial Narrow" w:cs="Arial"/>
          <w:sz w:val="20"/>
          <w:szCs w:val="20"/>
        </w:rPr>
        <w:t>, т.е. броя на стъпките, по които се различават поз</w:t>
      </w:r>
      <w:r>
        <w:rPr>
          <w:rFonts w:ascii="Arial Narrow" w:hAnsi="Arial Narrow" w:cs="Arial"/>
          <w:sz w:val="20"/>
          <w:szCs w:val="20"/>
        </w:rPr>
        <w:t>ициите на двата регулатора.</w:t>
      </w:r>
    </w:p>
    <w:p w:rsidR="00E87D05" w:rsidRDefault="00E87D05" w:rsidP="00E87D05">
      <w:pPr>
        <w:jc w:val="both"/>
        <w:rPr>
          <w:rFonts w:ascii="Arial Narrow" w:hAnsi="Arial Narrow" w:cs="Arial"/>
          <w:sz w:val="20"/>
          <w:szCs w:val="20"/>
        </w:rPr>
      </w:pPr>
    </w:p>
    <w:p w:rsidR="00E87D05" w:rsidRPr="000442E9" w:rsidRDefault="00E87D05" w:rsidP="00E87D05">
      <w:pPr>
        <w:jc w:val="both"/>
        <w:rPr>
          <w:rFonts w:ascii="Arial Narrow" w:hAnsi="Arial Narrow" w:cs="Arial"/>
          <w:i/>
          <w:sz w:val="20"/>
          <w:szCs w:val="20"/>
          <w:lang w:val="en-US"/>
        </w:rPr>
      </w:pPr>
      <w:r w:rsidRPr="000442E9">
        <w:rPr>
          <w:rFonts w:ascii="Arial Narrow" w:hAnsi="Arial Narrow" w:cs="Arial"/>
          <w:i/>
          <w:sz w:val="20"/>
          <w:szCs w:val="20"/>
        </w:rPr>
        <w:t xml:space="preserve">Таблица </w:t>
      </w:r>
      <w:r>
        <w:rPr>
          <w:rFonts w:ascii="Arial Narrow" w:hAnsi="Arial Narrow" w:cs="Arial"/>
          <w:i/>
          <w:sz w:val="20"/>
          <w:szCs w:val="20"/>
        </w:rPr>
        <w:t>3</w:t>
      </w: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651"/>
        <w:gridCol w:w="540"/>
        <w:gridCol w:w="567"/>
        <w:gridCol w:w="564"/>
        <w:gridCol w:w="567"/>
        <w:gridCol w:w="570"/>
        <w:gridCol w:w="567"/>
      </w:tblGrid>
      <w:tr w:rsidR="00E87D05" w:rsidRPr="00023F4F" w:rsidTr="009C115D">
        <w:trPr>
          <w:trHeight w:val="4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980B9A">
              <w:rPr>
                <w:rFonts w:ascii="Arial Narrow" w:hAnsi="Arial Narrow" w:cs="Arial"/>
                <w:b/>
                <w:sz w:val="18"/>
                <w:szCs w:val="18"/>
              </w:rPr>
              <w:t>Експ</w:t>
            </w:r>
            <w:proofErr w:type="spellEnd"/>
            <w:r w:rsidRPr="00980B9A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023F4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980B9A">
              <w:rPr>
                <w:rFonts w:ascii="Arial Narrow" w:hAnsi="Arial Narrow" w:cs="Arial"/>
                <w:b/>
                <w:sz w:val="18"/>
                <w:szCs w:val="18"/>
              </w:rPr>
              <w:t>№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023F4F" w:rsidRDefault="00E87D05" w:rsidP="009C11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b/>
                <w:sz w:val="18"/>
                <w:szCs w:val="18"/>
              </w:rPr>
              <w:t>∆Q,</w:t>
            </w:r>
          </w:p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023F4F" w:rsidRDefault="00E87D05" w:rsidP="009C11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4F">
              <w:rPr>
                <w:rFonts w:ascii="Arial Narrow" w:hAnsi="Arial Narrow" w:cs="Arial"/>
                <w:b/>
                <w:sz w:val="18"/>
                <w:szCs w:val="18"/>
              </w:rPr>
              <w:t>∆P,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023F4F" w:rsidRDefault="00E87D05" w:rsidP="009C11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4F">
              <w:rPr>
                <w:rFonts w:ascii="Arial Narrow" w:hAnsi="Arial Narrow" w:cs="Arial"/>
                <w:b/>
                <w:sz w:val="18"/>
                <w:szCs w:val="18"/>
              </w:rPr>
              <w:t>∆IA, %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023F4F" w:rsidRDefault="00E87D05" w:rsidP="009C11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4F">
              <w:rPr>
                <w:rFonts w:ascii="Arial Narrow" w:hAnsi="Arial Narrow" w:cs="Arial"/>
                <w:b/>
                <w:sz w:val="18"/>
                <w:szCs w:val="18"/>
              </w:rPr>
              <w:t>∆IB,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023F4F" w:rsidRDefault="00E87D05" w:rsidP="009C11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4F">
              <w:rPr>
                <w:rFonts w:ascii="Arial Narrow" w:hAnsi="Arial Narrow" w:cs="Arial"/>
                <w:b/>
                <w:sz w:val="18"/>
                <w:szCs w:val="18"/>
              </w:rPr>
              <w:t>∆IC, %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023F4F" w:rsidRDefault="00E87D05" w:rsidP="009C11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4F">
              <w:rPr>
                <w:rFonts w:ascii="Arial Narrow" w:hAnsi="Arial Narrow" w:cs="Arial"/>
                <w:b/>
                <w:sz w:val="18"/>
                <w:szCs w:val="18"/>
              </w:rPr>
              <w:t>∆S,</w:t>
            </w:r>
          </w:p>
          <w:p w:rsidR="00E87D05" w:rsidRPr="00023F4F" w:rsidRDefault="00E87D05" w:rsidP="009C11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4F"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5" w:rsidRPr="00023F4F" w:rsidRDefault="00E87D05" w:rsidP="009C11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4F">
              <w:rPr>
                <w:rFonts w:ascii="Arial Narrow" w:hAnsi="Arial Narrow" w:cs="Arial"/>
                <w:b/>
                <w:sz w:val="18"/>
                <w:szCs w:val="18"/>
              </w:rPr>
              <w:t>∆C</w:t>
            </w:r>
          </w:p>
        </w:tc>
      </w:tr>
      <w:tr w:rsidR="00E87D05" w:rsidRPr="00980B9A" w:rsidTr="009C115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30,2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-1,2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1,6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0,5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2,0</w:t>
            </w:r>
          </w:p>
        </w:tc>
      </w:tr>
      <w:tr w:rsidR="00E87D05" w:rsidRPr="00980B9A" w:rsidTr="009C115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29,7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-1,0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0,6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-1,7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2,0</w:t>
            </w:r>
          </w:p>
        </w:tc>
      </w:tr>
      <w:tr w:rsidR="00E87D05" w:rsidRPr="00980B9A" w:rsidTr="009C115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30,4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3,6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0,4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2,0</w:t>
            </w:r>
          </w:p>
        </w:tc>
      </w:tr>
    </w:tbl>
    <w:p w:rsidR="00E87D05" w:rsidRDefault="00E87D05" w:rsidP="00E87D05"/>
    <w:p w:rsidR="00E87D05" w:rsidRPr="000442E9" w:rsidRDefault="00E87D05" w:rsidP="00E87D05">
      <w:pPr>
        <w:jc w:val="both"/>
        <w:rPr>
          <w:rFonts w:ascii="Arial Narrow" w:hAnsi="Arial Narrow" w:cs="Arial"/>
          <w:i/>
          <w:sz w:val="20"/>
          <w:szCs w:val="20"/>
          <w:lang w:val="en-US"/>
        </w:rPr>
      </w:pPr>
      <w:r w:rsidRPr="000442E9">
        <w:rPr>
          <w:rFonts w:ascii="Arial Narrow" w:hAnsi="Arial Narrow" w:cs="Arial"/>
          <w:i/>
          <w:sz w:val="20"/>
          <w:szCs w:val="20"/>
        </w:rPr>
        <w:t xml:space="preserve">Таблица </w:t>
      </w:r>
      <w:r>
        <w:rPr>
          <w:rFonts w:ascii="Arial Narrow" w:hAnsi="Arial Narrow" w:cs="Arial"/>
          <w:i/>
          <w:sz w:val="20"/>
          <w:szCs w:val="20"/>
        </w:rPr>
        <w:t>4</w:t>
      </w:r>
    </w:p>
    <w:tbl>
      <w:tblPr>
        <w:tblW w:w="456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651"/>
        <w:gridCol w:w="540"/>
        <w:gridCol w:w="567"/>
        <w:gridCol w:w="564"/>
        <w:gridCol w:w="567"/>
        <w:gridCol w:w="570"/>
        <w:gridCol w:w="578"/>
      </w:tblGrid>
      <w:tr w:rsidR="00E87D05" w:rsidRPr="00980B9A" w:rsidTr="009C115D">
        <w:trPr>
          <w:trHeight w:val="255"/>
          <w:jc w:val="center"/>
        </w:trPr>
        <w:tc>
          <w:tcPr>
            <w:tcW w:w="525" w:type="dxa"/>
            <w:vAlign w:val="center"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980B9A">
              <w:rPr>
                <w:rFonts w:ascii="Arial Narrow" w:hAnsi="Arial Narrow" w:cs="Arial"/>
                <w:b/>
                <w:sz w:val="18"/>
                <w:szCs w:val="18"/>
              </w:rPr>
              <w:t>Експ</w:t>
            </w:r>
            <w:proofErr w:type="spellEnd"/>
            <w:r w:rsidRPr="00980B9A">
              <w:rPr>
                <w:rFonts w:ascii="Arial Narrow" w:hAnsi="Arial Narrow" w:cs="Arial"/>
                <w:b/>
                <w:sz w:val="18"/>
                <w:szCs w:val="18"/>
              </w:rPr>
              <w:t>. №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87D05" w:rsidRDefault="00E87D05" w:rsidP="009C11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b/>
                <w:sz w:val="18"/>
                <w:szCs w:val="18"/>
              </w:rPr>
              <w:t>∆Q,</w:t>
            </w:r>
          </w:p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b/>
                <w:sz w:val="18"/>
                <w:szCs w:val="18"/>
              </w:rPr>
              <w:t>∆P, 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b/>
                <w:sz w:val="18"/>
                <w:szCs w:val="18"/>
              </w:rPr>
              <w:t>∆IA, %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b/>
                <w:sz w:val="18"/>
                <w:szCs w:val="18"/>
              </w:rPr>
              <w:t>∆IB, 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b/>
                <w:sz w:val="18"/>
                <w:szCs w:val="18"/>
              </w:rPr>
              <w:t>∆IC, %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E87D05" w:rsidRDefault="00E87D05" w:rsidP="009C11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b/>
                <w:sz w:val="18"/>
                <w:szCs w:val="18"/>
              </w:rPr>
              <w:t>∆S,</w:t>
            </w:r>
          </w:p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b/>
                <w:sz w:val="18"/>
                <w:szCs w:val="18"/>
              </w:rPr>
              <w:t>∆C</w:t>
            </w:r>
          </w:p>
        </w:tc>
      </w:tr>
      <w:tr w:rsidR="00E87D05" w:rsidRPr="00980B9A" w:rsidTr="009C115D">
        <w:trPr>
          <w:trHeight w:val="255"/>
          <w:jc w:val="center"/>
        </w:trPr>
        <w:tc>
          <w:tcPr>
            <w:tcW w:w="525" w:type="dxa"/>
            <w:vAlign w:val="center"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47,4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3,2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10,3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9,7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10,1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10,1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2,0</w:t>
            </w:r>
          </w:p>
        </w:tc>
      </w:tr>
      <w:tr w:rsidR="00E87D05" w:rsidRPr="00980B9A" w:rsidTr="009C115D">
        <w:trPr>
          <w:trHeight w:val="255"/>
          <w:jc w:val="center"/>
        </w:trPr>
        <w:tc>
          <w:tcPr>
            <w:tcW w:w="525" w:type="dxa"/>
            <w:vAlign w:val="center"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19,4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3,2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4,2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4,5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3,9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1,0</w:t>
            </w:r>
          </w:p>
        </w:tc>
      </w:tr>
      <w:tr w:rsidR="00E87D05" w:rsidRPr="00980B9A" w:rsidTr="009C115D">
        <w:trPr>
          <w:trHeight w:val="255"/>
          <w:jc w:val="center"/>
        </w:trPr>
        <w:tc>
          <w:tcPr>
            <w:tcW w:w="525" w:type="dxa"/>
            <w:vAlign w:val="center"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-95,6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-2,9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-11,1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-8,3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-8,6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-14,2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0,0</w:t>
            </w:r>
          </w:p>
        </w:tc>
      </w:tr>
      <w:tr w:rsidR="00E87D05" w:rsidRPr="00980B9A" w:rsidTr="009C115D">
        <w:trPr>
          <w:trHeight w:val="255"/>
          <w:jc w:val="center"/>
        </w:trPr>
        <w:tc>
          <w:tcPr>
            <w:tcW w:w="525" w:type="dxa"/>
            <w:vAlign w:val="center"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-304,2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-6,8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-21,4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-21,5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-23,3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-22,1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-1,0</w:t>
            </w:r>
          </w:p>
        </w:tc>
      </w:tr>
      <w:tr w:rsidR="00E87D05" w:rsidRPr="00980B9A" w:rsidTr="009C115D">
        <w:trPr>
          <w:trHeight w:val="255"/>
          <w:jc w:val="center"/>
        </w:trPr>
        <w:tc>
          <w:tcPr>
            <w:tcW w:w="525" w:type="dxa"/>
            <w:vAlign w:val="center"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-5,3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0,5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-1,0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-1,4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-0,4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E87D05" w:rsidRPr="00980B9A" w:rsidRDefault="00E87D05" w:rsidP="009C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B9A">
              <w:rPr>
                <w:rFonts w:ascii="Arial Narrow" w:hAnsi="Arial Narrow" w:cs="Arial"/>
                <w:sz w:val="18"/>
                <w:szCs w:val="18"/>
              </w:rPr>
              <w:t>1,0</w:t>
            </w:r>
          </w:p>
        </w:tc>
      </w:tr>
    </w:tbl>
    <w:p w:rsidR="00E87D05" w:rsidRDefault="00E87D05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495696" w:rsidRPr="00AF165D" w:rsidRDefault="00495696" w:rsidP="00495696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</w:t>
      </w:r>
      <w:r w:rsidRPr="00803511">
        <w:rPr>
          <w:rFonts w:ascii="Arial Narrow" w:hAnsi="Arial Narrow" w:cs="Arial"/>
          <w:sz w:val="20"/>
          <w:szCs w:val="20"/>
        </w:rPr>
        <w:t>Графично е изобразена връзката между позициите на стъпалните регулатори и разликите в натоварването на Тр1 и Тр2 по ток, активна, реактивна и пълна мощност. Графично са построени зависимостите Δ</w:t>
      </w:r>
      <w:r w:rsidRPr="00803511">
        <w:rPr>
          <w:rFonts w:ascii="Arial Narrow" w:hAnsi="Arial Narrow" w:cs="Arial"/>
          <w:sz w:val="20"/>
          <w:szCs w:val="20"/>
          <w:lang w:val="en-US"/>
        </w:rPr>
        <w:t>I</w:t>
      </w:r>
      <w:r w:rsidRPr="00803511">
        <w:rPr>
          <w:rFonts w:ascii="Arial Narrow" w:hAnsi="Arial Narrow" w:cs="Arial"/>
          <w:sz w:val="20"/>
          <w:szCs w:val="20"/>
          <w:vertAlign w:val="subscript"/>
          <w:lang w:val="en-US"/>
        </w:rPr>
        <w:t>A</w:t>
      </w:r>
      <w:r w:rsidRPr="00AF165D">
        <w:rPr>
          <w:rFonts w:ascii="Arial Narrow" w:hAnsi="Arial Narrow" w:cs="Arial"/>
          <w:sz w:val="20"/>
          <w:szCs w:val="20"/>
        </w:rPr>
        <w:t xml:space="preserve">, </w:t>
      </w:r>
      <w:r w:rsidRPr="00803511">
        <w:rPr>
          <w:rFonts w:ascii="Arial Narrow" w:hAnsi="Arial Narrow" w:cs="Arial"/>
          <w:sz w:val="20"/>
          <w:szCs w:val="20"/>
        </w:rPr>
        <w:t>Δ</w:t>
      </w:r>
      <w:r w:rsidRPr="00803511">
        <w:rPr>
          <w:rFonts w:ascii="Arial Narrow" w:hAnsi="Arial Narrow" w:cs="Arial"/>
          <w:sz w:val="20"/>
          <w:szCs w:val="20"/>
          <w:lang w:val="en-US"/>
        </w:rPr>
        <w:t>I</w:t>
      </w:r>
      <w:r w:rsidRPr="00803511">
        <w:rPr>
          <w:rFonts w:ascii="Arial Narrow" w:hAnsi="Arial Narrow" w:cs="Arial"/>
          <w:sz w:val="20"/>
          <w:szCs w:val="20"/>
          <w:vertAlign w:val="subscript"/>
          <w:lang w:val="en-US"/>
        </w:rPr>
        <w:t>B</w:t>
      </w:r>
      <w:r w:rsidRPr="00AF165D">
        <w:rPr>
          <w:rFonts w:ascii="Arial Narrow" w:hAnsi="Arial Narrow" w:cs="Arial"/>
          <w:sz w:val="20"/>
          <w:szCs w:val="20"/>
        </w:rPr>
        <w:t xml:space="preserve">, </w:t>
      </w:r>
      <w:r w:rsidRPr="00803511">
        <w:rPr>
          <w:rFonts w:ascii="Arial Narrow" w:hAnsi="Arial Narrow" w:cs="Arial"/>
          <w:sz w:val="20"/>
          <w:szCs w:val="20"/>
        </w:rPr>
        <w:t>Δ</w:t>
      </w:r>
      <w:r w:rsidRPr="00803511">
        <w:rPr>
          <w:rFonts w:ascii="Arial Narrow" w:hAnsi="Arial Narrow" w:cs="Arial"/>
          <w:sz w:val="20"/>
          <w:szCs w:val="20"/>
          <w:lang w:val="en-US"/>
        </w:rPr>
        <w:t>I</w:t>
      </w:r>
      <w:r w:rsidRPr="00803511">
        <w:rPr>
          <w:rFonts w:ascii="Arial Narrow" w:hAnsi="Arial Narrow" w:cs="Arial"/>
          <w:sz w:val="20"/>
          <w:szCs w:val="20"/>
          <w:vertAlign w:val="subscript"/>
          <w:lang w:val="en-US"/>
        </w:rPr>
        <w:t>C</w:t>
      </w:r>
      <w:r w:rsidRPr="00803511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803511">
        <w:rPr>
          <w:rFonts w:ascii="Arial Narrow" w:hAnsi="Arial Narrow" w:cs="Arial"/>
          <w:sz w:val="20"/>
          <w:szCs w:val="20"/>
        </w:rPr>
        <w:t>ΔР</w:t>
      </w:r>
      <w:proofErr w:type="spellEnd"/>
      <w:r w:rsidRPr="00803511">
        <w:rPr>
          <w:rFonts w:ascii="Arial Narrow" w:hAnsi="Arial Narrow" w:cs="Arial"/>
          <w:sz w:val="20"/>
          <w:szCs w:val="20"/>
        </w:rPr>
        <w:t>, Δ</w:t>
      </w:r>
      <m:oMath>
        <m:r>
          <w:rPr>
            <w:rFonts w:ascii="Cambria Math" w:hAnsi="Cambria Math" w:cs="Arial"/>
            <w:sz w:val="20"/>
            <w:szCs w:val="20"/>
          </w:rPr>
          <m:t>Q</m:t>
        </m:r>
      </m:oMath>
      <w:r w:rsidRPr="00803511">
        <w:rPr>
          <w:rFonts w:ascii="Arial Narrow" w:hAnsi="Arial Narrow" w:cs="Arial"/>
          <w:sz w:val="20"/>
          <w:szCs w:val="20"/>
        </w:rPr>
        <w:t xml:space="preserve">,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Δ</m:t>
        </m:r>
        <m:r>
          <m:rPr>
            <m:sty m:val="p"/>
          </m:rPr>
          <w:rPr>
            <w:rFonts w:ascii="Cambria Math" w:hAnsi="Cambria Math" w:cs="Arial"/>
            <w:sz w:val="20"/>
            <w:szCs w:val="20"/>
            <w:lang w:val="en-US"/>
          </w:rPr>
          <m:t>S</m:t>
        </m:r>
        <m:r>
          <w:rPr>
            <w:rFonts w:ascii="Cambria Math" w:hAnsi="Cambria Math" w:cs="Arial"/>
            <w:sz w:val="20"/>
            <w:szCs w:val="20"/>
          </w:rPr>
          <m:t>=</m:t>
        </m:r>
        <m:r>
          <w:rPr>
            <w:rFonts w:ascii="Cambria Math" w:hAnsi="Cambria Math" w:cs="Arial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Δ</m:t>
            </m:r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  <w:lang w:val="en-US"/>
              </w:rPr>
              <m:t>C</m:t>
            </m:r>
          </m:e>
        </m:d>
      </m:oMath>
      <w:r w:rsidRPr="00AF165D">
        <w:rPr>
          <w:rFonts w:ascii="Arial Narrow" w:hAnsi="Arial Narrow" w:cs="Arial"/>
          <w:sz w:val="20"/>
          <w:szCs w:val="20"/>
        </w:rPr>
        <w:t>.</w:t>
      </w:r>
    </w:p>
    <w:p w:rsidR="00495696" w:rsidRPr="00AF165D" w:rsidRDefault="00495696" w:rsidP="00495696">
      <w:pPr>
        <w:jc w:val="both"/>
        <w:rPr>
          <w:rFonts w:ascii="Arial Narrow" w:hAnsi="Arial Narrow" w:cs="Arial"/>
          <w:sz w:val="20"/>
          <w:szCs w:val="20"/>
        </w:rPr>
      </w:pPr>
    </w:p>
    <w:p w:rsidR="00495696" w:rsidRDefault="00495696" w:rsidP="00495696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 xml:space="preserve">   На фиг.</w:t>
      </w:r>
      <w:r w:rsidR="00406B83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2 са показани резултатите от измервания № 4, 5, 6, 7, в които стъпалните регулатори се намират в съответните позиции, както следва: за </w:t>
      </w:r>
      <w:proofErr w:type="spellStart"/>
      <w:r>
        <w:rPr>
          <w:rFonts w:ascii="Arial Narrow" w:hAnsi="Arial Narrow" w:cs="Arial"/>
          <w:sz w:val="20"/>
          <w:szCs w:val="20"/>
        </w:rPr>
        <w:t>Тр</w:t>
      </w:r>
      <w:proofErr w:type="spellEnd"/>
      <w:r w:rsidR="00406B83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1 – позиция С</w:t>
      </w:r>
      <w:r w:rsidRPr="008D43D0">
        <w:rPr>
          <w:rFonts w:ascii="Arial Narrow" w:hAnsi="Arial Narrow" w:cs="Arial"/>
          <w:sz w:val="20"/>
          <w:szCs w:val="20"/>
          <w:vertAlign w:val="subscript"/>
        </w:rPr>
        <w:t>1</w:t>
      </w:r>
      <w:r w:rsidRPr="00AF165D">
        <w:rPr>
          <w:rFonts w:ascii="Arial Narrow" w:hAnsi="Arial Narrow" w:cs="Arial"/>
          <w:sz w:val="20"/>
          <w:szCs w:val="20"/>
        </w:rPr>
        <w:t>=9,</w:t>
      </w:r>
      <w:r w:rsidRPr="00AF165D">
        <w:rPr>
          <w:rFonts w:ascii="Arial Narrow" w:hAnsi="Arial Narrow" w:cs="Arial"/>
          <w:sz w:val="20"/>
          <w:szCs w:val="20"/>
          <w:vertAlign w:val="subscript"/>
        </w:rPr>
        <w:t xml:space="preserve"> </w:t>
      </w:r>
      <w:r w:rsidRPr="00AF165D">
        <w:rPr>
          <w:rFonts w:ascii="Arial Narrow" w:hAnsi="Arial Narrow" w:cs="Arial"/>
          <w:sz w:val="20"/>
          <w:szCs w:val="20"/>
        </w:rPr>
        <w:t>9, 9, 8</w:t>
      </w:r>
      <w:r>
        <w:rPr>
          <w:rFonts w:ascii="Arial Narrow" w:hAnsi="Arial Narrow" w:cs="Arial"/>
          <w:sz w:val="20"/>
          <w:szCs w:val="20"/>
        </w:rPr>
        <w:t xml:space="preserve">, а за </w:t>
      </w:r>
      <w:proofErr w:type="spellStart"/>
      <w:r>
        <w:rPr>
          <w:rFonts w:ascii="Arial Narrow" w:hAnsi="Arial Narrow" w:cs="Arial"/>
          <w:sz w:val="20"/>
          <w:szCs w:val="20"/>
        </w:rPr>
        <w:t>Тр</w:t>
      </w:r>
      <w:proofErr w:type="spellEnd"/>
      <w:r w:rsidR="00406B83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2 – С</w:t>
      </w:r>
      <w:r>
        <w:rPr>
          <w:rFonts w:ascii="Arial Narrow" w:hAnsi="Arial Narrow" w:cs="Arial"/>
          <w:sz w:val="20"/>
          <w:szCs w:val="20"/>
          <w:vertAlign w:val="subscript"/>
        </w:rPr>
        <w:t>2</w:t>
      </w:r>
      <w:r w:rsidRPr="00AF165D">
        <w:rPr>
          <w:rFonts w:ascii="Arial Narrow" w:hAnsi="Arial Narrow" w:cs="Arial"/>
          <w:sz w:val="20"/>
          <w:szCs w:val="20"/>
        </w:rPr>
        <w:t>=</w:t>
      </w:r>
      <w:r>
        <w:rPr>
          <w:rFonts w:ascii="Arial Narrow" w:hAnsi="Arial Narrow" w:cs="Arial"/>
          <w:sz w:val="20"/>
          <w:szCs w:val="20"/>
        </w:rPr>
        <w:t>7, 8, 9, 9. На фиг.</w:t>
      </w:r>
      <w:r w:rsidR="00406B83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3 е обхваната и позиция С</w:t>
      </w:r>
      <w:r w:rsidRPr="008D43D0">
        <w:rPr>
          <w:rFonts w:ascii="Arial Narrow" w:hAnsi="Arial Narrow" w:cs="Arial"/>
          <w:sz w:val="20"/>
          <w:szCs w:val="20"/>
          <w:vertAlign w:val="subscript"/>
        </w:rPr>
        <w:t>1</w:t>
      </w:r>
      <w:r w:rsidRPr="00AF165D">
        <w:rPr>
          <w:rFonts w:ascii="Arial Narrow" w:hAnsi="Arial Narrow" w:cs="Arial"/>
          <w:sz w:val="20"/>
          <w:szCs w:val="20"/>
        </w:rPr>
        <w:t>=</w:t>
      </w:r>
      <w:r>
        <w:rPr>
          <w:rFonts w:ascii="Arial Narrow" w:hAnsi="Arial Narrow" w:cs="Arial"/>
          <w:sz w:val="20"/>
          <w:szCs w:val="20"/>
        </w:rPr>
        <w:t>10 и С</w:t>
      </w:r>
      <w:r>
        <w:rPr>
          <w:rFonts w:ascii="Arial Narrow" w:hAnsi="Arial Narrow" w:cs="Arial"/>
          <w:sz w:val="20"/>
          <w:szCs w:val="20"/>
          <w:vertAlign w:val="subscript"/>
        </w:rPr>
        <w:t>2</w:t>
      </w:r>
      <w:r w:rsidRPr="00AF165D">
        <w:rPr>
          <w:rFonts w:ascii="Arial Narrow" w:hAnsi="Arial Narrow" w:cs="Arial"/>
          <w:sz w:val="20"/>
          <w:szCs w:val="20"/>
        </w:rPr>
        <w:t>=</w:t>
      </w:r>
      <w:r>
        <w:rPr>
          <w:rFonts w:ascii="Arial Narrow" w:hAnsi="Arial Narrow" w:cs="Arial"/>
          <w:sz w:val="20"/>
          <w:szCs w:val="20"/>
        </w:rPr>
        <w:t>9 (измерване № 8); изключвайки изме</w:t>
      </w:r>
      <w:r w:rsidR="00406B83">
        <w:rPr>
          <w:rFonts w:ascii="Arial Narrow" w:hAnsi="Arial Narrow" w:cs="Arial"/>
          <w:sz w:val="20"/>
          <w:szCs w:val="20"/>
        </w:rPr>
        <w:t xml:space="preserve">рване №5 с позиции на </w:t>
      </w:r>
      <w:proofErr w:type="spellStart"/>
      <w:r w:rsidR="00406B83">
        <w:rPr>
          <w:rFonts w:ascii="Arial Narrow" w:hAnsi="Arial Narrow" w:cs="Arial"/>
          <w:sz w:val="20"/>
          <w:szCs w:val="20"/>
        </w:rPr>
        <w:t>стъпалния</w:t>
      </w:r>
      <w:proofErr w:type="spellEnd"/>
      <w:r>
        <w:rPr>
          <w:rFonts w:ascii="Arial Narrow" w:hAnsi="Arial Narrow" w:cs="Arial"/>
          <w:sz w:val="20"/>
          <w:szCs w:val="20"/>
        </w:rPr>
        <w:t xml:space="preserve"> регулатор С</w:t>
      </w:r>
      <w:r w:rsidRPr="008D43D0">
        <w:rPr>
          <w:rFonts w:ascii="Arial Narrow" w:hAnsi="Arial Narrow" w:cs="Arial"/>
          <w:sz w:val="20"/>
          <w:szCs w:val="20"/>
          <w:vertAlign w:val="subscript"/>
        </w:rPr>
        <w:t>1</w:t>
      </w:r>
      <w:r w:rsidR="00406B83">
        <w:rPr>
          <w:rFonts w:ascii="Arial Narrow" w:hAnsi="Arial Narrow" w:cs="Arial"/>
          <w:sz w:val="20"/>
          <w:szCs w:val="20"/>
          <w:vertAlign w:val="subscript"/>
        </w:rPr>
        <w:t xml:space="preserve"> </w:t>
      </w:r>
      <w:r w:rsidRPr="00AF165D">
        <w:rPr>
          <w:rFonts w:ascii="Arial Narrow" w:hAnsi="Arial Narrow" w:cs="Arial"/>
          <w:sz w:val="20"/>
          <w:szCs w:val="20"/>
        </w:rPr>
        <w:t>=</w:t>
      </w:r>
      <w:r w:rsidR="00406B83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9 и С</w:t>
      </w:r>
      <w:r>
        <w:rPr>
          <w:rFonts w:ascii="Arial Narrow" w:hAnsi="Arial Narrow" w:cs="Arial"/>
          <w:sz w:val="20"/>
          <w:szCs w:val="20"/>
          <w:vertAlign w:val="subscript"/>
        </w:rPr>
        <w:t>2</w:t>
      </w:r>
      <w:r w:rsidR="00406B83">
        <w:rPr>
          <w:rFonts w:ascii="Arial Narrow" w:hAnsi="Arial Narrow" w:cs="Arial"/>
          <w:sz w:val="20"/>
          <w:szCs w:val="20"/>
          <w:vertAlign w:val="subscript"/>
        </w:rPr>
        <w:t xml:space="preserve"> </w:t>
      </w:r>
      <w:r w:rsidRPr="00AF165D">
        <w:rPr>
          <w:rFonts w:ascii="Arial Narrow" w:hAnsi="Arial Narrow" w:cs="Arial"/>
          <w:sz w:val="20"/>
          <w:szCs w:val="20"/>
        </w:rPr>
        <w:t>=</w:t>
      </w:r>
      <w:r w:rsidR="00406B83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8. Резултатите дават достатъчно основание да се  екстраполират заключенията за всички степени на </w:t>
      </w:r>
      <w:proofErr w:type="spellStart"/>
      <w:r>
        <w:rPr>
          <w:rFonts w:ascii="Arial Narrow" w:hAnsi="Arial Narrow" w:cs="Arial"/>
          <w:sz w:val="20"/>
          <w:szCs w:val="20"/>
        </w:rPr>
        <w:t>стъпалния</w:t>
      </w:r>
      <w:proofErr w:type="spellEnd"/>
      <w:r>
        <w:rPr>
          <w:rFonts w:ascii="Arial Narrow" w:hAnsi="Arial Narrow" w:cs="Arial"/>
          <w:sz w:val="20"/>
          <w:szCs w:val="20"/>
        </w:rPr>
        <w:t xml:space="preserve"> регулатор. </w:t>
      </w:r>
    </w:p>
    <w:p w:rsidR="00495696" w:rsidRDefault="00495696" w:rsidP="00495696">
      <w:pPr>
        <w:jc w:val="both"/>
        <w:rPr>
          <w:rFonts w:ascii="Arial Narrow" w:hAnsi="Arial Narrow" w:cs="Arial"/>
          <w:sz w:val="20"/>
          <w:szCs w:val="20"/>
        </w:rPr>
      </w:pPr>
    </w:p>
    <w:p w:rsidR="00495696" w:rsidRPr="002B01A7" w:rsidRDefault="00495696" w:rsidP="00495696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Таблица 4, фиг.</w:t>
      </w:r>
      <w:r w:rsidR="00406B83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2 и фиг.</w:t>
      </w:r>
      <w:r w:rsidR="00406B83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3 илюстрират същественото заключение, че оптималния</w:t>
      </w:r>
      <w:r w:rsidR="00406B83">
        <w:rPr>
          <w:rFonts w:ascii="Arial Narrow" w:hAnsi="Arial Narrow" w:cs="Arial"/>
          <w:sz w:val="20"/>
          <w:szCs w:val="20"/>
        </w:rPr>
        <w:t>т</w:t>
      </w:r>
      <w:r>
        <w:rPr>
          <w:rFonts w:ascii="Arial Narrow" w:hAnsi="Arial Narrow" w:cs="Arial"/>
          <w:sz w:val="20"/>
          <w:szCs w:val="20"/>
        </w:rPr>
        <w:t xml:space="preserve"> режим по критерия минимална разлика в натоварването на </w:t>
      </w:r>
      <w:proofErr w:type="spellStart"/>
      <w:r>
        <w:rPr>
          <w:rFonts w:ascii="Arial Narrow" w:hAnsi="Arial Narrow" w:cs="Arial"/>
          <w:sz w:val="20"/>
          <w:szCs w:val="20"/>
        </w:rPr>
        <w:t>Тр</w:t>
      </w:r>
      <w:proofErr w:type="spellEnd"/>
      <w:r w:rsidR="00406B83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1 и </w:t>
      </w:r>
      <w:proofErr w:type="spellStart"/>
      <w:r>
        <w:rPr>
          <w:rFonts w:ascii="Arial Narrow" w:hAnsi="Arial Narrow" w:cs="Arial"/>
          <w:sz w:val="20"/>
          <w:szCs w:val="20"/>
        </w:rPr>
        <w:t>Тр</w:t>
      </w:r>
      <w:proofErr w:type="spellEnd"/>
      <w:r w:rsidR="00406B83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2, за конкретния случай, не изисква работа с еднакви позиции на двата </w:t>
      </w:r>
      <w:proofErr w:type="spellStart"/>
      <w:r>
        <w:rPr>
          <w:rFonts w:ascii="Arial Narrow" w:hAnsi="Arial Narrow" w:cs="Arial"/>
          <w:sz w:val="20"/>
          <w:szCs w:val="20"/>
        </w:rPr>
        <w:t>стъпални</w:t>
      </w:r>
      <w:proofErr w:type="spellEnd"/>
      <w:r>
        <w:rPr>
          <w:rFonts w:ascii="Arial Narrow" w:hAnsi="Arial Narrow" w:cs="Arial"/>
          <w:sz w:val="20"/>
          <w:szCs w:val="20"/>
        </w:rPr>
        <w:t xml:space="preserve"> регулатора (С</w:t>
      </w:r>
      <w:r w:rsidRPr="008D43D0">
        <w:rPr>
          <w:rFonts w:ascii="Arial Narrow" w:hAnsi="Arial Narrow" w:cs="Arial"/>
          <w:sz w:val="20"/>
          <w:szCs w:val="20"/>
          <w:vertAlign w:val="subscript"/>
        </w:rPr>
        <w:t>1</w:t>
      </w:r>
      <w:r w:rsidRPr="00AF165D">
        <w:rPr>
          <w:rFonts w:ascii="Arial Narrow" w:hAnsi="Arial Narrow" w:cs="Arial"/>
          <w:sz w:val="20"/>
          <w:szCs w:val="20"/>
        </w:rPr>
        <w:t>=</w:t>
      </w:r>
      <w:r w:rsidRPr="00537942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С</w:t>
      </w:r>
      <w:r>
        <w:rPr>
          <w:rFonts w:ascii="Arial Narrow" w:hAnsi="Arial Narrow" w:cs="Arial"/>
          <w:sz w:val="20"/>
          <w:szCs w:val="20"/>
          <w:vertAlign w:val="subscript"/>
        </w:rPr>
        <w:t>2</w:t>
      </w:r>
      <w:r>
        <w:rPr>
          <w:rFonts w:ascii="Arial Narrow" w:hAnsi="Arial Narrow" w:cs="Arial"/>
          <w:sz w:val="20"/>
          <w:szCs w:val="20"/>
        </w:rPr>
        <w:t>), а разлика от 1 стъпка - С</w:t>
      </w:r>
      <w:r w:rsidRPr="008D43D0">
        <w:rPr>
          <w:rFonts w:ascii="Arial Narrow" w:hAnsi="Arial Narrow" w:cs="Arial"/>
          <w:sz w:val="20"/>
          <w:szCs w:val="20"/>
          <w:vertAlign w:val="subscript"/>
        </w:rPr>
        <w:t>1</w:t>
      </w:r>
      <w:r w:rsidR="00406B83">
        <w:rPr>
          <w:rFonts w:ascii="Arial Narrow" w:hAnsi="Arial Narrow" w:cs="Arial"/>
          <w:sz w:val="20"/>
          <w:szCs w:val="20"/>
          <w:vertAlign w:val="subscript"/>
        </w:rPr>
        <w:t xml:space="preserve"> </w:t>
      </w:r>
      <w:r w:rsidRPr="00AF165D">
        <w:rPr>
          <w:rFonts w:ascii="Arial Narrow" w:hAnsi="Arial Narrow" w:cs="Arial"/>
          <w:sz w:val="20"/>
          <w:szCs w:val="20"/>
        </w:rPr>
        <w:t>-</w:t>
      </w:r>
      <w:r w:rsidRPr="00537942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С</w:t>
      </w:r>
      <w:r>
        <w:rPr>
          <w:rFonts w:ascii="Arial Narrow" w:hAnsi="Arial Narrow" w:cs="Arial"/>
          <w:sz w:val="20"/>
          <w:szCs w:val="20"/>
          <w:vertAlign w:val="subscript"/>
        </w:rPr>
        <w:t>2</w:t>
      </w:r>
      <w:r w:rsidR="00406B83">
        <w:rPr>
          <w:rFonts w:ascii="Arial Narrow" w:hAnsi="Arial Narrow" w:cs="Arial"/>
          <w:sz w:val="20"/>
          <w:szCs w:val="20"/>
          <w:vertAlign w:val="subscript"/>
        </w:rPr>
        <w:t xml:space="preserve"> </w:t>
      </w:r>
      <w:r w:rsidRPr="00AF165D">
        <w:rPr>
          <w:rFonts w:ascii="Arial Narrow" w:hAnsi="Arial Narrow" w:cs="Arial"/>
          <w:sz w:val="20"/>
          <w:szCs w:val="20"/>
        </w:rPr>
        <w:t>=</w:t>
      </w:r>
      <w:r w:rsidR="00406B83">
        <w:rPr>
          <w:rFonts w:ascii="Arial Narrow" w:hAnsi="Arial Narrow" w:cs="Arial"/>
          <w:sz w:val="20"/>
          <w:szCs w:val="20"/>
        </w:rPr>
        <w:t xml:space="preserve"> </w:t>
      </w:r>
      <w:r w:rsidRPr="00AF165D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 xml:space="preserve">. Това е важен извод и препоръка за експлоатационния режим на трансформаторите 110/6кV в ОРУ на </w:t>
      </w:r>
      <w:r>
        <w:rPr>
          <w:rFonts w:ascii="Arial Narrow" w:hAnsi="Arial Narrow" w:cs="Arial"/>
          <w:sz w:val="20"/>
          <w:szCs w:val="20"/>
          <w:lang w:val="en-US"/>
        </w:rPr>
        <w:t>Dundee</w:t>
      </w:r>
      <w:r w:rsidRPr="00AF165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  <w:lang w:val="en-US"/>
        </w:rPr>
        <w:t>Precious</w:t>
      </w:r>
      <w:r w:rsidRPr="00AF165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  <w:lang w:val="en-US"/>
        </w:rPr>
        <w:t>Metals</w:t>
      </w:r>
      <w:r w:rsidRPr="00AF165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  <w:lang w:val="en-US"/>
        </w:rPr>
        <w:t>Chelopech</w:t>
      </w:r>
      <w:proofErr w:type="spellEnd"/>
      <w:r>
        <w:rPr>
          <w:rFonts w:ascii="Arial Narrow" w:hAnsi="Arial Narrow" w:cs="Arial"/>
          <w:sz w:val="20"/>
          <w:szCs w:val="20"/>
        </w:rPr>
        <w:t>, който включва и тяхната паралелна работа.</w:t>
      </w:r>
    </w:p>
    <w:p w:rsidR="00495696" w:rsidRDefault="00495696" w:rsidP="00495696">
      <w:pPr>
        <w:jc w:val="both"/>
        <w:rPr>
          <w:rFonts w:ascii="Arial Narrow" w:hAnsi="Arial Narrow" w:cs="Arial"/>
          <w:sz w:val="20"/>
          <w:szCs w:val="20"/>
        </w:rPr>
      </w:pPr>
    </w:p>
    <w:p w:rsidR="00495696" w:rsidRPr="00736C1F" w:rsidRDefault="00495696" w:rsidP="00495696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Измерванията и анализът на получените резултати разсейва съмненията за </w:t>
      </w:r>
      <w:r w:rsidR="00014BDA">
        <w:rPr>
          <w:rFonts w:ascii="Arial Narrow" w:hAnsi="Arial Narrow" w:cs="Arial"/>
          <w:sz w:val="20"/>
          <w:szCs w:val="20"/>
        </w:rPr>
        <w:t>техническа неизправност в силовата верига на</w:t>
      </w:r>
      <w:r>
        <w:rPr>
          <w:rFonts w:ascii="Arial Narrow" w:hAnsi="Arial Narrow" w:cs="Arial"/>
          <w:sz w:val="20"/>
          <w:szCs w:val="20"/>
        </w:rPr>
        <w:t xml:space="preserve"> Тр 2.</w:t>
      </w:r>
    </w:p>
    <w:p w:rsidR="00F52832" w:rsidRDefault="00F52832" w:rsidP="00F52832">
      <w:pPr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1C0DA9" w:rsidRPr="001C0DA9" w:rsidRDefault="001C0DA9" w:rsidP="00F52832">
      <w:pPr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F52832" w:rsidRDefault="00273476" w:rsidP="00F52832">
      <w:pPr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Заключение</w:t>
      </w:r>
    </w:p>
    <w:p w:rsidR="00273476" w:rsidRPr="00273476" w:rsidRDefault="00273476" w:rsidP="00F52832">
      <w:pPr>
        <w:jc w:val="both"/>
        <w:rPr>
          <w:rFonts w:ascii="Arial Narrow" w:hAnsi="Arial Narrow" w:cs="Arial"/>
          <w:b/>
          <w:color w:val="000000" w:themeColor="text1"/>
          <w:lang w:val="en-US"/>
        </w:rPr>
      </w:pPr>
    </w:p>
    <w:p w:rsidR="00F52832" w:rsidRPr="00675547" w:rsidRDefault="00F52832" w:rsidP="001C0DA9">
      <w:pPr>
        <w:pStyle w:val="ListParagraph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2B01A7">
        <w:rPr>
          <w:rFonts w:ascii="Arial Narrow" w:hAnsi="Arial Narrow" w:cs="Arial"/>
          <w:color w:val="000000" w:themeColor="text1"/>
          <w:sz w:val="20"/>
          <w:szCs w:val="20"/>
        </w:rPr>
        <w:t xml:space="preserve">Доказана е и препоръчана оптимална работа на стъпковите регулатори на двата трансформатора 110/6кV, 16МVА в  </w:t>
      </w:r>
      <w:r w:rsidRPr="002B01A7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 xml:space="preserve">Dundee </w:t>
      </w:r>
      <w:r w:rsidRPr="00675547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Precious Metals Chelopech</w:t>
      </w:r>
      <w:r w:rsidRPr="00675547">
        <w:rPr>
          <w:rFonts w:ascii="Arial Narrow" w:hAnsi="Arial Narrow" w:cs="Arial"/>
          <w:color w:val="000000" w:themeColor="text1"/>
          <w:sz w:val="20"/>
          <w:szCs w:val="20"/>
        </w:rPr>
        <w:t>, с разлика 1 стъпка, която гарантира минимално претоварване на трансформаторите в паралелен режим;</w:t>
      </w:r>
    </w:p>
    <w:p w:rsidR="00F52832" w:rsidRPr="00675547" w:rsidRDefault="00F52832" w:rsidP="001C0DA9">
      <w:pPr>
        <w:pStyle w:val="ListParagraph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675547">
        <w:rPr>
          <w:rFonts w:ascii="Arial Narrow" w:hAnsi="Arial Narrow" w:cs="Arial"/>
          <w:color w:val="000000" w:themeColor="text1"/>
          <w:sz w:val="20"/>
          <w:szCs w:val="20"/>
        </w:rPr>
        <w:t>Разработеният експериментално</w:t>
      </w:r>
      <w:r w:rsidR="00273476">
        <w:rPr>
          <w:rFonts w:ascii="Arial Narrow" w:hAnsi="Arial Narrow" w:cs="Arial"/>
          <w:color w:val="000000" w:themeColor="text1"/>
          <w:sz w:val="20"/>
          <w:szCs w:val="20"/>
        </w:rPr>
        <w:t>-</w:t>
      </w:r>
      <w:r w:rsidRPr="00675547">
        <w:rPr>
          <w:rFonts w:ascii="Arial Narrow" w:hAnsi="Arial Narrow" w:cs="Arial"/>
          <w:color w:val="000000" w:themeColor="text1"/>
          <w:sz w:val="20"/>
          <w:szCs w:val="20"/>
        </w:rPr>
        <w:t>аналитичен подход е приложим за оптимизиране на разликите в позициите на стъпалните регулатори на напрежение на мощни трансформатори, работещи в паралелен режим.</w:t>
      </w:r>
    </w:p>
    <w:p w:rsidR="00B63DF2" w:rsidRDefault="00B63DF2" w:rsidP="00F52832">
      <w:pPr>
        <w:jc w:val="both"/>
        <w:rPr>
          <w:rFonts w:ascii="Arial Narrow" w:hAnsi="Arial Narrow" w:cs="Arial"/>
          <w:b/>
          <w:color w:val="000000" w:themeColor="text1"/>
          <w:sz w:val="20"/>
          <w:szCs w:val="20"/>
          <w:lang w:val="en-US"/>
        </w:rPr>
      </w:pPr>
    </w:p>
    <w:p w:rsidR="001C0DA9" w:rsidRPr="001C0DA9" w:rsidRDefault="001C0DA9" w:rsidP="00F52832">
      <w:pPr>
        <w:jc w:val="both"/>
        <w:rPr>
          <w:rFonts w:ascii="Arial Narrow" w:hAnsi="Arial Narrow" w:cs="Arial"/>
          <w:b/>
          <w:color w:val="000000" w:themeColor="text1"/>
          <w:sz w:val="20"/>
          <w:szCs w:val="20"/>
          <w:lang w:val="en-US"/>
        </w:rPr>
      </w:pPr>
    </w:p>
    <w:p w:rsidR="00F52832" w:rsidRDefault="00273476" w:rsidP="00F52832">
      <w:pPr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Литература</w:t>
      </w:r>
    </w:p>
    <w:p w:rsidR="00273476" w:rsidRPr="00273476" w:rsidRDefault="00273476" w:rsidP="00F52832">
      <w:pPr>
        <w:jc w:val="both"/>
        <w:rPr>
          <w:rFonts w:ascii="Arial Narrow" w:hAnsi="Arial Narrow" w:cs="Arial"/>
          <w:b/>
          <w:color w:val="000000" w:themeColor="text1"/>
        </w:rPr>
      </w:pPr>
    </w:p>
    <w:p w:rsidR="00F52832" w:rsidRPr="00675547" w:rsidRDefault="00F52832" w:rsidP="00BF5C2D">
      <w:pPr>
        <w:pStyle w:val="ListParagraph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</w:rPr>
      </w:pPr>
      <w:r>
        <w:rPr>
          <w:rFonts w:ascii="Arial Narrow" w:eastAsia="Times New Roman" w:hAnsi="Arial Narrow" w:cs="Arial"/>
          <w:color w:val="000000" w:themeColor="text1"/>
          <w:sz w:val="20"/>
          <w:szCs w:val="20"/>
        </w:rPr>
        <w:t>Генов, Л.</w:t>
      </w:r>
      <w:r w:rsidR="00273476">
        <w:rPr>
          <w:rFonts w:ascii="Arial Narrow" w:eastAsia="Times New Roman" w:hAnsi="Arial Narrow" w:cs="Arial"/>
          <w:color w:val="000000" w:themeColor="text1"/>
          <w:sz w:val="20"/>
          <w:szCs w:val="20"/>
        </w:rPr>
        <w:t>, 1979,</w:t>
      </w:r>
      <w:r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</w:t>
      </w:r>
      <w:r w:rsidRPr="00273476">
        <w:rPr>
          <w:rFonts w:ascii="Arial Narrow" w:eastAsia="Times New Roman" w:hAnsi="Arial Narrow" w:cs="Arial"/>
          <w:i/>
          <w:color w:val="000000" w:themeColor="text1"/>
          <w:sz w:val="20"/>
          <w:szCs w:val="20"/>
        </w:rPr>
        <w:t>Техника на високите напрежения в електроенергийните системи</w:t>
      </w:r>
      <w:r w:rsidR="00273476">
        <w:rPr>
          <w:rFonts w:ascii="Arial Narrow" w:eastAsia="Times New Roman" w:hAnsi="Arial Narrow" w:cs="Arial"/>
          <w:color w:val="000000" w:themeColor="text1"/>
          <w:sz w:val="20"/>
          <w:szCs w:val="20"/>
        </w:rPr>
        <w:t>. Техника, София;</w:t>
      </w:r>
    </w:p>
    <w:p w:rsidR="00F52832" w:rsidRPr="00675547" w:rsidRDefault="00273476" w:rsidP="00BF5C2D">
      <w:pPr>
        <w:pStyle w:val="ListParagraph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</w:rPr>
      </w:pPr>
      <w:proofErr w:type="spellStart"/>
      <w:r w:rsidRPr="00675547">
        <w:rPr>
          <w:rFonts w:ascii="Arial Narrow" w:eastAsia="Times New Roman" w:hAnsi="Arial Narrow" w:cs="Arial"/>
          <w:color w:val="000000" w:themeColor="text1"/>
          <w:sz w:val="20"/>
          <w:szCs w:val="20"/>
        </w:rPr>
        <w:t>Шнайдер</w:t>
      </w:r>
      <w:proofErr w:type="spellEnd"/>
      <w:r w:rsidRPr="00675547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675547">
        <w:rPr>
          <w:rFonts w:ascii="Arial Narrow" w:eastAsia="Times New Roman" w:hAnsi="Arial Narrow" w:cs="Arial"/>
          <w:color w:val="000000" w:themeColor="text1"/>
          <w:sz w:val="20"/>
          <w:szCs w:val="20"/>
        </w:rPr>
        <w:t>Електрик</w:t>
      </w:r>
      <w:proofErr w:type="spellEnd"/>
      <w:r w:rsidRPr="00675547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България ЕООД, 2009</w:t>
      </w:r>
      <w:r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, </w:t>
      </w:r>
      <w:r w:rsidR="00F52832" w:rsidRPr="00273476">
        <w:rPr>
          <w:rFonts w:ascii="Arial Narrow" w:eastAsia="Times New Roman" w:hAnsi="Arial Narrow" w:cs="Arial"/>
          <w:i/>
          <w:color w:val="000000" w:themeColor="text1"/>
          <w:sz w:val="20"/>
          <w:szCs w:val="20"/>
        </w:rPr>
        <w:t>Ръководство за електрически уредби, съгл</w:t>
      </w:r>
      <w:r>
        <w:rPr>
          <w:rFonts w:ascii="Arial Narrow" w:eastAsia="Times New Roman" w:hAnsi="Arial Narrow" w:cs="Arial"/>
          <w:i/>
          <w:color w:val="000000" w:themeColor="text1"/>
          <w:sz w:val="20"/>
          <w:szCs w:val="20"/>
        </w:rPr>
        <w:t>.</w:t>
      </w:r>
      <w:r w:rsidR="00F52832" w:rsidRPr="00273476">
        <w:rPr>
          <w:rFonts w:ascii="Arial Narrow" w:eastAsia="Times New Roman" w:hAnsi="Arial Narrow" w:cs="Arial"/>
          <w:i/>
          <w:color w:val="000000" w:themeColor="text1"/>
          <w:sz w:val="20"/>
          <w:szCs w:val="20"/>
        </w:rPr>
        <w:t>стандартите на ІЕС</w:t>
      </w:r>
      <w:r w:rsidR="00F52832" w:rsidRPr="00675547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. </w:t>
      </w:r>
    </w:p>
    <w:p w:rsidR="00F52832" w:rsidRPr="00273476" w:rsidRDefault="00F52832" w:rsidP="00BF5C2D">
      <w:pPr>
        <w:pStyle w:val="ListParagraph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i/>
          <w:color w:val="000000" w:themeColor="text1"/>
          <w:sz w:val="20"/>
          <w:szCs w:val="20"/>
        </w:rPr>
      </w:pPr>
      <w:r w:rsidRPr="00675547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БДС 15320-81. </w:t>
      </w:r>
      <w:r w:rsidRPr="00273476">
        <w:rPr>
          <w:rFonts w:ascii="Arial Narrow" w:eastAsia="Times New Roman" w:hAnsi="Arial Narrow" w:cs="Arial"/>
          <w:i/>
          <w:color w:val="000000" w:themeColor="text1"/>
          <w:sz w:val="20"/>
          <w:szCs w:val="20"/>
        </w:rPr>
        <w:t>Трансформатори. Методи за изпитване. Методи за електромеханични измервания и методи за измерване на съпротивлението на намотките с постоянен ток.</w:t>
      </w:r>
    </w:p>
    <w:p w:rsidR="00F52832" w:rsidRPr="001C0DA9" w:rsidRDefault="00273476" w:rsidP="00BF5C2D">
      <w:pPr>
        <w:pStyle w:val="ListParagraph"/>
        <w:spacing w:after="0" w:line="240" w:lineRule="auto"/>
        <w:ind w:left="284" w:hanging="284"/>
        <w:jc w:val="both"/>
        <w:rPr>
          <w:rFonts w:ascii="Arial Narrow" w:hAnsi="Arial Narrow" w:cs="Arial"/>
          <w:i/>
          <w:color w:val="000000" w:themeColor="text1"/>
          <w:sz w:val="20"/>
          <w:szCs w:val="20"/>
          <w:lang w:val="en-US"/>
        </w:rPr>
      </w:pPr>
      <w:r>
        <w:rPr>
          <w:rFonts w:ascii="Arial Narrow" w:eastAsia="Times New Roman" w:hAnsi="Arial Narrow" w:cs="Arial"/>
          <w:color w:val="000000" w:themeColor="text1"/>
          <w:sz w:val="20"/>
          <w:szCs w:val="20"/>
        </w:rPr>
        <w:t>Архив на СМС-С ЕООД, 2013,</w:t>
      </w:r>
      <w:r w:rsidR="00F52832" w:rsidRPr="00675547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</w:t>
      </w:r>
      <w:r w:rsidR="00F52832" w:rsidRPr="00273476">
        <w:rPr>
          <w:rFonts w:ascii="Arial Narrow" w:eastAsia="Times New Roman" w:hAnsi="Arial Narrow" w:cs="Arial"/>
          <w:i/>
          <w:color w:val="000000" w:themeColor="text1"/>
          <w:sz w:val="20"/>
          <w:szCs w:val="20"/>
        </w:rPr>
        <w:t xml:space="preserve">Анализ на техническите параметри на трансформатори 110/6кV, 16МVА на </w:t>
      </w:r>
      <w:r w:rsidR="00F52832" w:rsidRPr="00273476">
        <w:rPr>
          <w:rFonts w:ascii="Arial Narrow" w:hAnsi="Arial Narrow" w:cs="Arial"/>
          <w:i/>
          <w:color w:val="000000" w:themeColor="text1"/>
          <w:sz w:val="20"/>
          <w:szCs w:val="20"/>
          <w:lang w:val="en-US"/>
        </w:rPr>
        <w:t>Dundee</w:t>
      </w:r>
      <w:r w:rsidR="00F52832" w:rsidRPr="00273476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</w:t>
      </w:r>
      <w:r w:rsidR="00F52832" w:rsidRPr="00273476">
        <w:rPr>
          <w:rFonts w:ascii="Arial Narrow" w:hAnsi="Arial Narrow" w:cs="Arial"/>
          <w:i/>
          <w:color w:val="000000" w:themeColor="text1"/>
          <w:sz w:val="20"/>
          <w:szCs w:val="20"/>
          <w:lang w:val="en-US"/>
        </w:rPr>
        <w:t>Precious</w:t>
      </w:r>
      <w:r w:rsidR="00F52832" w:rsidRPr="00273476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</w:t>
      </w:r>
      <w:r w:rsidR="00F52832" w:rsidRPr="00273476">
        <w:rPr>
          <w:rFonts w:ascii="Arial Narrow" w:hAnsi="Arial Narrow" w:cs="Arial"/>
          <w:i/>
          <w:color w:val="000000" w:themeColor="text1"/>
          <w:sz w:val="20"/>
          <w:szCs w:val="20"/>
          <w:lang w:val="en-US"/>
        </w:rPr>
        <w:t>Metals</w:t>
      </w:r>
      <w:r w:rsidR="00F52832" w:rsidRPr="00273476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52832" w:rsidRPr="00273476">
        <w:rPr>
          <w:rFonts w:ascii="Arial Narrow" w:hAnsi="Arial Narrow" w:cs="Arial"/>
          <w:i/>
          <w:color w:val="000000" w:themeColor="text1"/>
          <w:sz w:val="20"/>
          <w:szCs w:val="20"/>
          <w:lang w:val="en-US"/>
        </w:rPr>
        <w:t>Chelopech</w:t>
      </w:r>
      <w:proofErr w:type="spellEnd"/>
      <w:r w:rsidR="00F52832" w:rsidRPr="00273476">
        <w:rPr>
          <w:rFonts w:ascii="Arial Narrow" w:hAnsi="Arial Narrow" w:cs="Arial"/>
          <w:i/>
          <w:color w:val="000000" w:themeColor="text1"/>
          <w:sz w:val="20"/>
          <w:szCs w:val="20"/>
        </w:rPr>
        <w:t>. Отчет</w:t>
      </w:r>
      <w:r w:rsidR="001C0DA9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за извършената работа</w:t>
      </w:r>
      <w:r w:rsidR="001C0DA9">
        <w:rPr>
          <w:rFonts w:ascii="Arial Narrow" w:hAnsi="Arial Narrow" w:cs="Arial"/>
          <w:i/>
          <w:color w:val="000000" w:themeColor="text1"/>
          <w:sz w:val="20"/>
          <w:szCs w:val="20"/>
          <w:lang w:val="en-US"/>
        </w:rPr>
        <w:t>.</w:t>
      </w:r>
    </w:p>
    <w:p w:rsidR="00AE254F" w:rsidRPr="00273476" w:rsidRDefault="00AE254F" w:rsidP="00F52832">
      <w:pPr>
        <w:pStyle w:val="ListParagraph"/>
        <w:spacing w:after="0" w:line="240" w:lineRule="auto"/>
        <w:ind w:left="284" w:hanging="284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AE254F" w:rsidRPr="00273476" w:rsidRDefault="00AE254F" w:rsidP="00F52832">
      <w:pPr>
        <w:pStyle w:val="ListParagraph"/>
        <w:spacing w:after="0" w:line="240" w:lineRule="auto"/>
        <w:ind w:left="284" w:hanging="284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AE254F" w:rsidRDefault="00AE254F" w:rsidP="00F52832">
      <w:pPr>
        <w:pStyle w:val="ListParagraph"/>
        <w:spacing w:after="0" w:line="240" w:lineRule="auto"/>
        <w:ind w:left="284" w:hanging="284"/>
        <w:rPr>
          <w:rFonts w:ascii="Arial Narrow" w:hAnsi="Arial Narrow" w:cs="Arial"/>
          <w:color w:val="000000" w:themeColor="text1"/>
          <w:sz w:val="20"/>
          <w:szCs w:val="20"/>
          <w:lang w:val="en-US"/>
        </w:rPr>
      </w:pPr>
    </w:p>
    <w:p w:rsidR="001C0DA9" w:rsidRDefault="001C0DA9" w:rsidP="00F52832">
      <w:pPr>
        <w:pStyle w:val="ListParagraph"/>
        <w:spacing w:after="0" w:line="240" w:lineRule="auto"/>
        <w:ind w:left="284" w:hanging="284"/>
        <w:rPr>
          <w:rFonts w:ascii="Arial Narrow" w:hAnsi="Arial Narrow" w:cs="Arial"/>
          <w:color w:val="000000" w:themeColor="text1"/>
          <w:sz w:val="20"/>
          <w:szCs w:val="20"/>
          <w:lang w:val="en-US"/>
        </w:rPr>
      </w:pPr>
    </w:p>
    <w:p w:rsidR="001C0DA9" w:rsidRPr="001C0DA9" w:rsidRDefault="001C0DA9" w:rsidP="00F52832">
      <w:pPr>
        <w:pStyle w:val="ListParagraph"/>
        <w:spacing w:after="0" w:line="240" w:lineRule="auto"/>
        <w:ind w:left="284" w:hanging="284"/>
        <w:rPr>
          <w:rFonts w:ascii="Arial Narrow" w:hAnsi="Arial Narrow" w:cs="Arial"/>
          <w:color w:val="000000" w:themeColor="text1"/>
          <w:sz w:val="20"/>
          <w:szCs w:val="20"/>
          <w:lang w:val="en-US"/>
        </w:rPr>
      </w:pPr>
    </w:p>
    <w:p w:rsidR="00AE254F" w:rsidRPr="00273476" w:rsidRDefault="001C0DA9" w:rsidP="00F52832">
      <w:pPr>
        <w:pStyle w:val="ListParagraph"/>
        <w:spacing w:after="0" w:line="240" w:lineRule="auto"/>
        <w:ind w:left="284" w:hanging="284"/>
        <w:rPr>
          <w:rFonts w:ascii="Arial Narrow" w:hAnsi="Arial Narrow" w:cs="Arial"/>
          <w:color w:val="000000" w:themeColor="text1"/>
          <w:sz w:val="20"/>
          <w:szCs w:val="20"/>
        </w:rPr>
      </w:pPr>
      <w:r w:rsidRPr="009E15B6">
        <w:rPr>
          <w:rFonts w:ascii="Arial Narrow" w:eastAsia="Times New Roman" w:hAnsi="Arial Narrow" w:cs="Arial"/>
          <w:sz w:val="16"/>
          <w:szCs w:val="16"/>
        </w:rPr>
        <w:t xml:space="preserve">Статията е рецензирана от проф. д-р </w:t>
      </w:r>
      <w:proofErr w:type="spellStart"/>
      <w:r w:rsidRPr="009E15B6">
        <w:rPr>
          <w:rFonts w:ascii="Arial Narrow" w:eastAsia="Times New Roman" w:hAnsi="Arial Narrow" w:cs="Arial"/>
          <w:sz w:val="16"/>
          <w:szCs w:val="16"/>
        </w:rPr>
        <w:t>Менто</w:t>
      </w:r>
      <w:proofErr w:type="spellEnd"/>
      <w:r w:rsidRPr="009E15B6">
        <w:rPr>
          <w:rFonts w:ascii="Arial Narrow" w:eastAsia="Times New Roman" w:hAnsi="Arial Narrow" w:cs="Arial"/>
          <w:sz w:val="16"/>
          <w:szCs w:val="16"/>
        </w:rPr>
        <w:t xml:space="preserve"> </w:t>
      </w:r>
      <w:proofErr w:type="spellStart"/>
      <w:r w:rsidRPr="009E15B6">
        <w:rPr>
          <w:rFonts w:ascii="Arial Narrow" w:eastAsia="Times New Roman" w:hAnsi="Arial Narrow" w:cs="Arial"/>
          <w:sz w:val="16"/>
          <w:szCs w:val="16"/>
        </w:rPr>
        <w:t>Ментешев</w:t>
      </w:r>
      <w:proofErr w:type="spellEnd"/>
      <w:r w:rsidRPr="009E15B6">
        <w:rPr>
          <w:rFonts w:ascii="Arial Narrow" w:eastAsia="Times New Roman" w:hAnsi="Arial Narrow" w:cs="Arial"/>
          <w:sz w:val="16"/>
          <w:szCs w:val="16"/>
        </w:rPr>
        <w:t>.</w:t>
      </w:r>
    </w:p>
    <w:p w:rsidR="00AE254F" w:rsidRPr="00273476" w:rsidRDefault="00AE254F" w:rsidP="00F52832">
      <w:pPr>
        <w:pStyle w:val="ListParagraph"/>
        <w:spacing w:after="0" w:line="240" w:lineRule="auto"/>
        <w:ind w:left="284" w:hanging="284"/>
        <w:rPr>
          <w:rFonts w:ascii="Arial Narrow" w:eastAsia="Times New Roman" w:hAnsi="Arial Narrow" w:cs="Arial"/>
          <w:color w:val="000000" w:themeColor="text1"/>
          <w:sz w:val="20"/>
          <w:szCs w:val="20"/>
        </w:rPr>
      </w:pPr>
    </w:p>
    <w:p w:rsidR="00495696" w:rsidRDefault="00495696" w:rsidP="00495696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noProof/>
          <w:lang w:eastAsia="bg-BG"/>
        </w:rPr>
        <w:lastRenderedPageBreak/>
        <w:drawing>
          <wp:inline distT="0" distB="0" distL="0" distR="0" wp14:anchorId="254595A4" wp14:editId="798A72C4">
            <wp:extent cx="2876550" cy="1333500"/>
            <wp:effectExtent l="0" t="0" r="19050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5696" w:rsidRDefault="00495696" w:rsidP="00495696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495696" w:rsidRDefault="00495696" w:rsidP="00495696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4F61C043" wp14:editId="7419BC4E">
            <wp:extent cx="2876550" cy="1333500"/>
            <wp:effectExtent l="0" t="0" r="19050" b="190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5696" w:rsidRDefault="00495696" w:rsidP="00495696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495696" w:rsidRDefault="00495696" w:rsidP="00495696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1A59E0BE" wp14:editId="050F9BCA">
            <wp:extent cx="2876550" cy="13716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5696" w:rsidRDefault="00495696" w:rsidP="00495696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495696" w:rsidRDefault="00F52832" w:rsidP="00495696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42D841CA" wp14:editId="7D60BF11">
            <wp:extent cx="2876550" cy="14478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5696" w:rsidRDefault="00495696" w:rsidP="00495696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495696" w:rsidRDefault="00F52832" w:rsidP="00495696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038EE378" wp14:editId="1BB9227A">
            <wp:extent cx="2876550" cy="13906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95696" w:rsidRDefault="00495696" w:rsidP="00495696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495696" w:rsidRDefault="00F52832" w:rsidP="00495696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286C586C" wp14:editId="5F88E041">
            <wp:extent cx="2876550" cy="1333500"/>
            <wp:effectExtent l="0" t="0" r="19050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52832" w:rsidRPr="00712EE7" w:rsidRDefault="00F52832" w:rsidP="00F52832">
      <w:pPr>
        <w:pStyle w:val="podpisrysunku"/>
        <w:ind w:firstLine="0"/>
        <w:jc w:val="left"/>
        <w:rPr>
          <w:rFonts w:ascii="Arial Narrow" w:hAnsi="Arial Narrow"/>
          <w:b/>
          <w:i w:val="0"/>
          <w:sz w:val="16"/>
          <w:lang w:val="bg-BG"/>
        </w:rPr>
      </w:pPr>
      <w:r w:rsidRPr="00712EE7">
        <w:rPr>
          <w:rFonts w:ascii="Arial Narrow" w:hAnsi="Arial Narrow"/>
          <w:b/>
          <w:i w:val="0"/>
          <w:sz w:val="16"/>
          <w:lang w:val="bg-BG"/>
        </w:rPr>
        <w:t xml:space="preserve">Фиг. </w:t>
      </w:r>
      <w:r>
        <w:rPr>
          <w:rFonts w:ascii="Arial Narrow" w:hAnsi="Arial Narrow"/>
          <w:b/>
          <w:i w:val="0"/>
          <w:sz w:val="16"/>
          <w:lang w:val="bg-BG"/>
        </w:rPr>
        <w:t>2</w:t>
      </w:r>
      <w:r w:rsidRPr="00712EE7">
        <w:rPr>
          <w:rFonts w:ascii="Arial Narrow" w:hAnsi="Arial Narrow"/>
          <w:b/>
          <w:i w:val="0"/>
          <w:sz w:val="16"/>
          <w:lang w:val="ru-RU"/>
        </w:rPr>
        <w:t>.</w:t>
      </w:r>
      <w:r w:rsidRPr="00712EE7">
        <w:rPr>
          <w:rFonts w:ascii="Arial Narrow" w:hAnsi="Arial Narrow"/>
          <w:b/>
          <w:i w:val="0"/>
          <w:sz w:val="16"/>
          <w:lang w:val="bg-BG"/>
        </w:rPr>
        <w:t xml:space="preserve"> </w:t>
      </w:r>
    </w:p>
    <w:p w:rsidR="008C10E7" w:rsidRDefault="008C10E7" w:rsidP="004310F8">
      <w:pPr>
        <w:pStyle w:val="podpisrysunku"/>
        <w:ind w:firstLine="0"/>
        <w:jc w:val="left"/>
        <w:rPr>
          <w:rFonts w:ascii="Arial Narrow" w:hAnsi="Arial Narrow"/>
          <w:b/>
          <w:i w:val="0"/>
          <w:sz w:val="16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21100039" wp14:editId="7DE53FAE">
            <wp:extent cx="2988859" cy="1337480"/>
            <wp:effectExtent l="0" t="0" r="2159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95696" w:rsidRDefault="00495696" w:rsidP="004310F8">
      <w:pPr>
        <w:pStyle w:val="podpisrysunku"/>
        <w:ind w:firstLine="0"/>
        <w:jc w:val="left"/>
        <w:rPr>
          <w:rFonts w:ascii="Arial Narrow" w:hAnsi="Arial Narrow"/>
          <w:b/>
          <w:i w:val="0"/>
          <w:sz w:val="16"/>
          <w:lang w:val="bg-BG"/>
        </w:rPr>
      </w:pPr>
    </w:p>
    <w:p w:rsidR="008C10E7" w:rsidRDefault="00495696" w:rsidP="004310F8">
      <w:pPr>
        <w:pStyle w:val="podpisrysunku"/>
        <w:ind w:firstLine="0"/>
        <w:jc w:val="left"/>
        <w:rPr>
          <w:rFonts w:ascii="Arial Narrow" w:hAnsi="Arial Narrow"/>
          <w:b/>
          <w:i w:val="0"/>
          <w:sz w:val="16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5EC8E028" wp14:editId="5B4C5897">
            <wp:extent cx="2975212" cy="1364776"/>
            <wp:effectExtent l="0" t="0" r="15875" b="2603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52832" w:rsidRDefault="00F52832" w:rsidP="004310F8">
      <w:pPr>
        <w:pStyle w:val="podpisrysunku"/>
        <w:ind w:firstLine="0"/>
        <w:jc w:val="left"/>
        <w:rPr>
          <w:rFonts w:ascii="Arial Narrow" w:hAnsi="Arial Narrow"/>
          <w:b/>
          <w:i w:val="0"/>
          <w:sz w:val="16"/>
          <w:lang w:val="bg-BG"/>
        </w:rPr>
      </w:pPr>
    </w:p>
    <w:p w:rsidR="00F52832" w:rsidRDefault="00F52832" w:rsidP="004310F8">
      <w:pPr>
        <w:pStyle w:val="podpisrysunku"/>
        <w:ind w:firstLine="0"/>
        <w:jc w:val="left"/>
        <w:rPr>
          <w:rFonts w:ascii="Arial Narrow" w:hAnsi="Arial Narrow"/>
          <w:b/>
          <w:i w:val="0"/>
          <w:sz w:val="16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1AEF6E93" wp14:editId="6E71CF72">
            <wp:extent cx="2976113" cy="1388853"/>
            <wp:effectExtent l="0" t="0" r="15240" b="2095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95696" w:rsidRDefault="00495696" w:rsidP="004310F8">
      <w:pPr>
        <w:pStyle w:val="podpisrysunku"/>
        <w:ind w:firstLine="0"/>
        <w:jc w:val="left"/>
        <w:rPr>
          <w:rFonts w:ascii="Arial Narrow" w:hAnsi="Arial Narrow"/>
          <w:b/>
          <w:i w:val="0"/>
          <w:sz w:val="16"/>
          <w:lang w:val="bg-BG"/>
        </w:rPr>
      </w:pPr>
    </w:p>
    <w:p w:rsidR="00980B9A" w:rsidRPr="00DD1B4B" w:rsidRDefault="00736C1F" w:rsidP="00595A14">
      <w:pPr>
        <w:jc w:val="both"/>
        <w:rPr>
          <w:rFonts w:ascii="Arial Narrow" w:hAnsi="Arial Narrow" w:cs="Arial"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1F3044A6" wp14:editId="19C64DED">
            <wp:extent cx="2988859" cy="1392072"/>
            <wp:effectExtent l="0" t="0" r="21590" b="1778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80B9A" w:rsidRDefault="00980B9A" w:rsidP="00595A14">
      <w:pPr>
        <w:jc w:val="both"/>
        <w:rPr>
          <w:rFonts w:ascii="Arial Narrow" w:hAnsi="Arial Narrow" w:cs="Arial"/>
          <w:sz w:val="20"/>
          <w:szCs w:val="20"/>
        </w:rPr>
      </w:pPr>
    </w:p>
    <w:p w:rsidR="00736C1F" w:rsidRDefault="00736C1F" w:rsidP="00595A14">
      <w:pPr>
        <w:jc w:val="both"/>
        <w:rPr>
          <w:rFonts w:ascii="Arial Narrow" w:hAnsi="Arial Narrow" w:cs="Arial"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67A84AB9" wp14:editId="3E477BF1">
            <wp:extent cx="2975212" cy="1555845"/>
            <wp:effectExtent l="0" t="0" r="15875" b="2540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36C1F" w:rsidRDefault="00736C1F" w:rsidP="00595A14">
      <w:pPr>
        <w:jc w:val="both"/>
        <w:rPr>
          <w:rFonts w:ascii="Arial Narrow" w:hAnsi="Arial Narrow" w:cs="Arial"/>
          <w:sz w:val="20"/>
          <w:szCs w:val="20"/>
        </w:rPr>
      </w:pPr>
    </w:p>
    <w:p w:rsidR="00736C1F" w:rsidRDefault="00736C1F" w:rsidP="00595A14">
      <w:pPr>
        <w:jc w:val="both"/>
        <w:rPr>
          <w:rFonts w:ascii="Arial Narrow" w:hAnsi="Arial Narrow" w:cs="Arial"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576A9322" wp14:editId="2E9B5D3D">
            <wp:extent cx="2984739" cy="1250830"/>
            <wp:effectExtent l="0" t="0" r="25400" b="2603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10A8D" w:rsidRPr="00675547" w:rsidRDefault="00736C1F" w:rsidP="00F52832">
      <w:pPr>
        <w:pStyle w:val="podpisrysunku"/>
        <w:ind w:firstLine="0"/>
        <w:jc w:val="left"/>
        <w:rPr>
          <w:rFonts w:ascii="Arial Narrow" w:hAnsi="Arial Narrow" w:cs="Arial"/>
          <w:color w:val="000000" w:themeColor="text1"/>
        </w:rPr>
      </w:pPr>
      <w:r w:rsidRPr="00712EE7">
        <w:rPr>
          <w:rFonts w:ascii="Arial Narrow" w:hAnsi="Arial Narrow"/>
          <w:b/>
          <w:i w:val="0"/>
          <w:sz w:val="16"/>
          <w:lang w:val="bg-BG"/>
        </w:rPr>
        <w:t xml:space="preserve">Фиг. </w:t>
      </w:r>
      <w:r>
        <w:rPr>
          <w:rFonts w:ascii="Arial Narrow" w:hAnsi="Arial Narrow"/>
          <w:b/>
          <w:i w:val="0"/>
          <w:sz w:val="16"/>
          <w:lang w:val="bg-BG"/>
        </w:rPr>
        <w:t>3</w:t>
      </w:r>
      <w:r w:rsidRPr="00712EE7">
        <w:rPr>
          <w:rFonts w:ascii="Arial Narrow" w:hAnsi="Arial Narrow"/>
          <w:b/>
          <w:i w:val="0"/>
          <w:sz w:val="16"/>
          <w:lang w:val="ru-RU"/>
        </w:rPr>
        <w:t>.</w:t>
      </w:r>
      <w:r w:rsidRPr="00712EE7">
        <w:rPr>
          <w:rFonts w:ascii="Arial Narrow" w:hAnsi="Arial Narrow"/>
          <w:b/>
          <w:i w:val="0"/>
          <w:sz w:val="16"/>
          <w:lang w:val="bg-BG"/>
        </w:rPr>
        <w:t xml:space="preserve"> </w:t>
      </w:r>
    </w:p>
    <w:sectPr w:rsidR="00610A8D" w:rsidRPr="00675547" w:rsidSect="001C0DA9">
      <w:type w:val="continuous"/>
      <w:pgSz w:w="11906" w:h="16838" w:code="9"/>
      <w:pgMar w:top="1021" w:right="1134" w:bottom="1247" w:left="1134" w:header="709" w:footer="794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3A" w:rsidRDefault="00D07E3A" w:rsidP="00F84819">
      <w:r>
        <w:separator/>
      </w:r>
    </w:p>
  </w:endnote>
  <w:endnote w:type="continuationSeparator" w:id="0">
    <w:p w:rsidR="00D07E3A" w:rsidRDefault="00D07E3A" w:rsidP="00F8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82811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1C0DA9" w:rsidRPr="001C0DA9" w:rsidRDefault="001C0DA9" w:rsidP="001C0DA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C0DA9">
          <w:rPr>
            <w:rFonts w:ascii="Arial" w:hAnsi="Arial" w:cs="Arial"/>
            <w:sz w:val="20"/>
            <w:szCs w:val="20"/>
          </w:rPr>
          <w:fldChar w:fldCharType="begin"/>
        </w:r>
        <w:r w:rsidRPr="001C0DA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C0DA9">
          <w:rPr>
            <w:rFonts w:ascii="Arial" w:hAnsi="Arial" w:cs="Arial"/>
            <w:sz w:val="20"/>
            <w:szCs w:val="20"/>
          </w:rPr>
          <w:fldChar w:fldCharType="separate"/>
        </w:r>
        <w:r w:rsidR="00562264">
          <w:rPr>
            <w:rFonts w:ascii="Arial" w:hAnsi="Arial" w:cs="Arial"/>
            <w:noProof/>
            <w:sz w:val="20"/>
            <w:szCs w:val="20"/>
          </w:rPr>
          <w:t>46</w:t>
        </w:r>
        <w:r w:rsidRPr="001C0DA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3A" w:rsidRDefault="00D07E3A" w:rsidP="00F84819">
      <w:r>
        <w:separator/>
      </w:r>
    </w:p>
  </w:footnote>
  <w:footnote w:type="continuationSeparator" w:id="0">
    <w:p w:rsidR="00D07E3A" w:rsidRDefault="00D07E3A" w:rsidP="00F84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130216"/>
    <w:multiLevelType w:val="hybridMultilevel"/>
    <w:tmpl w:val="2FB46E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5A68D8"/>
    <w:multiLevelType w:val="hybridMultilevel"/>
    <w:tmpl w:val="8CEA68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57A79"/>
    <w:multiLevelType w:val="hybridMultilevel"/>
    <w:tmpl w:val="36CA492A"/>
    <w:lvl w:ilvl="0" w:tplc="3348B9BE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A095F"/>
    <w:multiLevelType w:val="multilevel"/>
    <w:tmpl w:val="2FB46EFF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CD114A"/>
    <w:multiLevelType w:val="hybridMultilevel"/>
    <w:tmpl w:val="D2CEA3F4"/>
    <w:lvl w:ilvl="0" w:tplc="713438E2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9AF21B9"/>
    <w:multiLevelType w:val="hybridMultilevel"/>
    <w:tmpl w:val="7514FE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36570E"/>
    <w:multiLevelType w:val="hybridMultilevel"/>
    <w:tmpl w:val="7D7A4A40"/>
    <w:lvl w:ilvl="0" w:tplc="EF6491E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3256B9"/>
    <w:multiLevelType w:val="hybridMultilevel"/>
    <w:tmpl w:val="1F660DE8"/>
    <w:lvl w:ilvl="0" w:tplc="D7820D00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CDD10A6"/>
    <w:multiLevelType w:val="hybridMultilevel"/>
    <w:tmpl w:val="D1D46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E4637"/>
    <w:multiLevelType w:val="hybridMultilevel"/>
    <w:tmpl w:val="DAC6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671C2"/>
    <w:multiLevelType w:val="hybridMultilevel"/>
    <w:tmpl w:val="E0222042"/>
    <w:lvl w:ilvl="0" w:tplc="6EAAFD1C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3120F9"/>
    <w:multiLevelType w:val="hybridMultilevel"/>
    <w:tmpl w:val="29F610D2"/>
    <w:lvl w:ilvl="0" w:tplc="0402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766" w:hanging="360"/>
      </w:pPr>
    </w:lvl>
    <w:lvl w:ilvl="2" w:tplc="0402001B" w:tentative="1">
      <w:start w:val="1"/>
      <w:numFmt w:val="lowerRoman"/>
      <w:lvlText w:val="%3."/>
      <w:lvlJc w:val="right"/>
      <w:pPr>
        <w:ind w:left="5486" w:hanging="180"/>
      </w:pPr>
    </w:lvl>
    <w:lvl w:ilvl="3" w:tplc="0402000F" w:tentative="1">
      <w:start w:val="1"/>
      <w:numFmt w:val="decimal"/>
      <w:lvlText w:val="%4."/>
      <w:lvlJc w:val="left"/>
      <w:pPr>
        <w:ind w:left="6206" w:hanging="360"/>
      </w:pPr>
    </w:lvl>
    <w:lvl w:ilvl="4" w:tplc="04020019" w:tentative="1">
      <w:start w:val="1"/>
      <w:numFmt w:val="lowerLetter"/>
      <w:lvlText w:val="%5."/>
      <w:lvlJc w:val="left"/>
      <w:pPr>
        <w:ind w:left="6926" w:hanging="360"/>
      </w:pPr>
    </w:lvl>
    <w:lvl w:ilvl="5" w:tplc="0402001B" w:tentative="1">
      <w:start w:val="1"/>
      <w:numFmt w:val="lowerRoman"/>
      <w:lvlText w:val="%6."/>
      <w:lvlJc w:val="right"/>
      <w:pPr>
        <w:ind w:left="7646" w:hanging="180"/>
      </w:pPr>
    </w:lvl>
    <w:lvl w:ilvl="6" w:tplc="0402000F" w:tentative="1">
      <w:start w:val="1"/>
      <w:numFmt w:val="decimal"/>
      <w:lvlText w:val="%7."/>
      <w:lvlJc w:val="left"/>
      <w:pPr>
        <w:ind w:left="8366" w:hanging="360"/>
      </w:pPr>
    </w:lvl>
    <w:lvl w:ilvl="7" w:tplc="04020019" w:tentative="1">
      <w:start w:val="1"/>
      <w:numFmt w:val="lowerLetter"/>
      <w:lvlText w:val="%8."/>
      <w:lvlJc w:val="left"/>
      <w:pPr>
        <w:ind w:left="9086" w:hanging="360"/>
      </w:pPr>
    </w:lvl>
    <w:lvl w:ilvl="8" w:tplc="040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289B72F6"/>
    <w:multiLevelType w:val="hybridMultilevel"/>
    <w:tmpl w:val="2D8A8A3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AE4D74"/>
    <w:multiLevelType w:val="hybridMultilevel"/>
    <w:tmpl w:val="9F56133C"/>
    <w:lvl w:ilvl="0" w:tplc="5E4639B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C31919"/>
    <w:multiLevelType w:val="hybridMultilevel"/>
    <w:tmpl w:val="A4FB12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2FBC645"/>
    <w:multiLevelType w:val="hybridMultilevel"/>
    <w:tmpl w:val="333AB8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4804D8D"/>
    <w:multiLevelType w:val="hybridMultilevel"/>
    <w:tmpl w:val="DD94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D6BA8"/>
    <w:multiLevelType w:val="hybridMultilevel"/>
    <w:tmpl w:val="998042A4"/>
    <w:lvl w:ilvl="0" w:tplc="AAEA7FF0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3B7B2A40"/>
    <w:multiLevelType w:val="hybridMultilevel"/>
    <w:tmpl w:val="C37AA6EA"/>
    <w:lvl w:ilvl="0" w:tplc="C7A833E4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4E0085"/>
    <w:multiLevelType w:val="hybridMultilevel"/>
    <w:tmpl w:val="49F24C9A"/>
    <w:lvl w:ilvl="0" w:tplc="313AEF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ED776B4"/>
    <w:multiLevelType w:val="hybridMultilevel"/>
    <w:tmpl w:val="B2D40D7E"/>
    <w:lvl w:ilvl="0" w:tplc="274A9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EB5A81"/>
    <w:multiLevelType w:val="hybridMultilevel"/>
    <w:tmpl w:val="EFC61A9A"/>
    <w:lvl w:ilvl="0" w:tplc="C690F89A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42DCA"/>
    <w:multiLevelType w:val="hybridMultilevel"/>
    <w:tmpl w:val="E45AD00C"/>
    <w:lvl w:ilvl="0" w:tplc="B8482A08">
      <w:start w:val="2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C5B7DC7"/>
    <w:multiLevelType w:val="hybridMultilevel"/>
    <w:tmpl w:val="0A5A6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5512B0"/>
    <w:multiLevelType w:val="hybridMultilevel"/>
    <w:tmpl w:val="3D9A9580"/>
    <w:lvl w:ilvl="0" w:tplc="C38A0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E73481"/>
    <w:multiLevelType w:val="hybridMultilevel"/>
    <w:tmpl w:val="E49E38B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6CE6515"/>
    <w:multiLevelType w:val="hybridMultilevel"/>
    <w:tmpl w:val="696DDB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15225A1"/>
    <w:multiLevelType w:val="hybridMultilevel"/>
    <w:tmpl w:val="93DA7726"/>
    <w:lvl w:ilvl="0" w:tplc="20FA6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D54BAB"/>
    <w:multiLevelType w:val="hybridMultilevel"/>
    <w:tmpl w:val="281E850A"/>
    <w:lvl w:ilvl="0" w:tplc="0402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7F1C1B9D"/>
    <w:multiLevelType w:val="hybridMultilevel"/>
    <w:tmpl w:val="A0427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03469"/>
    <w:multiLevelType w:val="multilevel"/>
    <w:tmpl w:val="BF408D2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15"/>
  </w:num>
  <w:num w:numId="5">
    <w:abstractNumId w:val="26"/>
  </w:num>
  <w:num w:numId="6">
    <w:abstractNumId w:val="1"/>
  </w:num>
  <w:num w:numId="7">
    <w:abstractNumId w:val="14"/>
  </w:num>
  <w:num w:numId="8">
    <w:abstractNumId w:val="4"/>
  </w:num>
  <w:num w:numId="9">
    <w:abstractNumId w:val="20"/>
  </w:num>
  <w:num w:numId="10">
    <w:abstractNumId w:val="5"/>
  </w:num>
  <w:num w:numId="11">
    <w:abstractNumId w:val="28"/>
  </w:num>
  <w:num w:numId="12">
    <w:abstractNumId w:val="7"/>
  </w:num>
  <w:num w:numId="13">
    <w:abstractNumId w:val="22"/>
  </w:num>
  <w:num w:numId="14">
    <w:abstractNumId w:val="10"/>
  </w:num>
  <w:num w:numId="15">
    <w:abstractNumId w:val="25"/>
  </w:num>
  <w:num w:numId="16">
    <w:abstractNumId w:val="27"/>
  </w:num>
  <w:num w:numId="17">
    <w:abstractNumId w:val="16"/>
  </w:num>
  <w:num w:numId="18">
    <w:abstractNumId w:val="9"/>
  </w:num>
  <w:num w:numId="19">
    <w:abstractNumId w:val="12"/>
  </w:num>
  <w:num w:numId="20">
    <w:abstractNumId w:val="23"/>
  </w:num>
  <w:num w:numId="21">
    <w:abstractNumId w:val="8"/>
  </w:num>
  <w:num w:numId="22">
    <w:abstractNumId w:val="24"/>
  </w:num>
  <w:num w:numId="23">
    <w:abstractNumId w:val="13"/>
  </w:num>
  <w:num w:numId="24">
    <w:abstractNumId w:val="18"/>
  </w:num>
  <w:num w:numId="25">
    <w:abstractNumId w:val="30"/>
  </w:num>
  <w:num w:numId="26">
    <w:abstractNumId w:val="6"/>
  </w:num>
  <w:num w:numId="27">
    <w:abstractNumId w:val="21"/>
  </w:num>
  <w:num w:numId="28">
    <w:abstractNumId w:val="29"/>
  </w:num>
  <w:num w:numId="29">
    <w:abstractNumId w:val="11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3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B4"/>
    <w:rsid w:val="00010A81"/>
    <w:rsid w:val="0001297D"/>
    <w:rsid w:val="00012BBE"/>
    <w:rsid w:val="00014BDA"/>
    <w:rsid w:val="00014CAB"/>
    <w:rsid w:val="00023F4F"/>
    <w:rsid w:val="000301ED"/>
    <w:rsid w:val="00035187"/>
    <w:rsid w:val="000442E9"/>
    <w:rsid w:val="000455C8"/>
    <w:rsid w:val="00052A9A"/>
    <w:rsid w:val="00055D30"/>
    <w:rsid w:val="00056660"/>
    <w:rsid w:val="00066F12"/>
    <w:rsid w:val="00077A87"/>
    <w:rsid w:val="000846EC"/>
    <w:rsid w:val="00084B59"/>
    <w:rsid w:val="00085117"/>
    <w:rsid w:val="00091B72"/>
    <w:rsid w:val="00091BB2"/>
    <w:rsid w:val="000939B5"/>
    <w:rsid w:val="000A06ED"/>
    <w:rsid w:val="000A10F2"/>
    <w:rsid w:val="000A37BD"/>
    <w:rsid w:val="000A7F7B"/>
    <w:rsid w:val="000B2C4E"/>
    <w:rsid w:val="000C285C"/>
    <w:rsid w:val="000C6742"/>
    <w:rsid w:val="000D54E0"/>
    <w:rsid w:val="000D769A"/>
    <w:rsid w:val="000E0EA9"/>
    <w:rsid w:val="00101C79"/>
    <w:rsid w:val="001077DB"/>
    <w:rsid w:val="00110BF6"/>
    <w:rsid w:val="00111F33"/>
    <w:rsid w:val="00115624"/>
    <w:rsid w:val="00125713"/>
    <w:rsid w:val="00145A33"/>
    <w:rsid w:val="001701CE"/>
    <w:rsid w:val="00177636"/>
    <w:rsid w:val="0019555A"/>
    <w:rsid w:val="00195727"/>
    <w:rsid w:val="00197BFE"/>
    <w:rsid w:val="001C018E"/>
    <w:rsid w:val="001C0DA9"/>
    <w:rsid w:val="001D7BE3"/>
    <w:rsid w:val="001D7F9A"/>
    <w:rsid w:val="001F3257"/>
    <w:rsid w:val="001F58B8"/>
    <w:rsid w:val="00205D77"/>
    <w:rsid w:val="0022303F"/>
    <w:rsid w:val="002250DB"/>
    <w:rsid w:val="00232027"/>
    <w:rsid w:val="00247194"/>
    <w:rsid w:val="002558D9"/>
    <w:rsid w:val="00261453"/>
    <w:rsid w:val="00273476"/>
    <w:rsid w:val="00280164"/>
    <w:rsid w:val="00280655"/>
    <w:rsid w:val="002820DE"/>
    <w:rsid w:val="00286462"/>
    <w:rsid w:val="002917BD"/>
    <w:rsid w:val="002A2372"/>
    <w:rsid w:val="002B01A7"/>
    <w:rsid w:val="002B5AD3"/>
    <w:rsid w:val="002C004F"/>
    <w:rsid w:val="002C0440"/>
    <w:rsid w:val="002E70A0"/>
    <w:rsid w:val="002F1DE4"/>
    <w:rsid w:val="00303622"/>
    <w:rsid w:val="00303B1C"/>
    <w:rsid w:val="003111CB"/>
    <w:rsid w:val="00314FD1"/>
    <w:rsid w:val="0032003D"/>
    <w:rsid w:val="00325348"/>
    <w:rsid w:val="00327EB1"/>
    <w:rsid w:val="003444C9"/>
    <w:rsid w:val="00353336"/>
    <w:rsid w:val="003549C8"/>
    <w:rsid w:val="00371A64"/>
    <w:rsid w:val="003808B2"/>
    <w:rsid w:val="00386DE7"/>
    <w:rsid w:val="003944F0"/>
    <w:rsid w:val="00395483"/>
    <w:rsid w:val="0039783D"/>
    <w:rsid w:val="003A1E28"/>
    <w:rsid w:val="003A29BE"/>
    <w:rsid w:val="003A506E"/>
    <w:rsid w:val="003B013B"/>
    <w:rsid w:val="003C340D"/>
    <w:rsid w:val="003C798C"/>
    <w:rsid w:val="003E3F45"/>
    <w:rsid w:val="003F1A66"/>
    <w:rsid w:val="003F5705"/>
    <w:rsid w:val="003F6375"/>
    <w:rsid w:val="00406B83"/>
    <w:rsid w:val="0041432E"/>
    <w:rsid w:val="004154AA"/>
    <w:rsid w:val="00424B76"/>
    <w:rsid w:val="004310F8"/>
    <w:rsid w:val="00433083"/>
    <w:rsid w:val="004734A3"/>
    <w:rsid w:val="004817B4"/>
    <w:rsid w:val="00487A68"/>
    <w:rsid w:val="004906E8"/>
    <w:rsid w:val="004919EA"/>
    <w:rsid w:val="00495696"/>
    <w:rsid w:val="004B4224"/>
    <w:rsid w:val="004D03AF"/>
    <w:rsid w:val="004D131E"/>
    <w:rsid w:val="004D2FE8"/>
    <w:rsid w:val="004D7738"/>
    <w:rsid w:val="004E50CC"/>
    <w:rsid w:val="004F2465"/>
    <w:rsid w:val="004F343E"/>
    <w:rsid w:val="00506F42"/>
    <w:rsid w:val="005146FC"/>
    <w:rsid w:val="005327C8"/>
    <w:rsid w:val="00537942"/>
    <w:rsid w:val="005411C2"/>
    <w:rsid w:val="00562264"/>
    <w:rsid w:val="005650C1"/>
    <w:rsid w:val="00565948"/>
    <w:rsid w:val="00595A14"/>
    <w:rsid w:val="005B47F1"/>
    <w:rsid w:val="005C0D54"/>
    <w:rsid w:val="005E1A34"/>
    <w:rsid w:val="005E6FA5"/>
    <w:rsid w:val="005E7CC4"/>
    <w:rsid w:val="005F42F7"/>
    <w:rsid w:val="005F5343"/>
    <w:rsid w:val="00606DB1"/>
    <w:rsid w:val="0060719E"/>
    <w:rsid w:val="00610A8D"/>
    <w:rsid w:val="0062197C"/>
    <w:rsid w:val="00625115"/>
    <w:rsid w:val="00625ED4"/>
    <w:rsid w:val="00631EFA"/>
    <w:rsid w:val="006362F2"/>
    <w:rsid w:val="00641AAA"/>
    <w:rsid w:val="0064768C"/>
    <w:rsid w:val="006476C4"/>
    <w:rsid w:val="00657D2A"/>
    <w:rsid w:val="0066480A"/>
    <w:rsid w:val="00666358"/>
    <w:rsid w:val="00675547"/>
    <w:rsid w:val="006755F7"/>
    <w:rsid w:val="00690028"/>
    <w:rsid w:val="006959C4"/>
    <w:rsid w:val="006B6B25"/>
    <w:rsid w:val="006D0D52"/>
    <w:rsid w:val="006D2CF5"/>
    <w:rsid w:val="006E370B"/>
    <w:rsid w:val="006F300D"/>
    <w:rsid w:val="007004D3"/>
    <w:rsid w:val="007018C8"/>
    <w:rsid w:val="00703D63"/>
    <w:rsid w:val="00704980"/>
    <w:rsid w:val="00711318"/>
    <w:rsid w:val="00712EE7"/>
    <w:rsid w:val="00715CB0"/>
    <w:rsid w:val="007221BC"/>
    <w:rsid w:val="00724452"/>
    <w:rsid w:val="00725DEC"/>
    <w:rsid w:val="00726082"/>
    <w:rsid w:val="00733B3A"/>
    <w:rsid w:val="00736C1F"/>
    <w:rsid w:val="00741B96"/>
    <w:rsid w:val="0075107F"/>
    <w:rsid w:val="00751578"/>
    <w:rsid w:val="00762C9D"/>
    <w:rsid w:val="007A46B0"/>
    <w:rsid w:val="007A7CC2"/>
    <w:rsid w:val="007C49C8"/>
    <w:rsid w:val="007C5263"/>
    <w:rsid w:val="007D150E"/>
    <w:rsid w:val="007F72A8"/>
    <w:rsid w:val="00803511"/>
    <w:rsid w:val="00805875"/>
    <w:rsid w:val="008239E0"/>
    <w:rsid w:val="008315C6"/>
    <w:rsid w:val="008328D6"/>
    <w:rsid w:val="00841FA5"/>
    <w:rsid w:val="00861882"/>
    <w:rsid w:val="00867E7F"/>
    <w:rsid w:val="00891E67"/>
    <w:rsid w:val="0089489F"/>
    <w:rsid w:val="008B7504"/>
    <w:rsid w:val="008C10E7"/>
    <w:rsid w:val="008C527A"/>
    <w:rsid w:val="008D43D0"/>
    <w:rsid w:val="008E1B2B"/>
    <w:rsid w:val="008E31DA"/>
    <w:rsid w:val="008E6877"/>
    <w:rsid w:val="008F3515"/>
    <w:rsid w:val="008F512F"/>
    <w:rsid w:val="009002CB"/>
    <w:rsid w:val="00900FF4"/>
    <w:rsid w:val="009049E9"/>
    <w:rsid w:val="00926676"/>
    <w:rsid w:val="0092680F"/>
    <w:rsid w:val="00936D81"/>
    <w:rsid w:val="0094060F"/>
    <w:rsid w:val="00953A13"/>
    <w:rsid w:val="0096545B"/>
    <w:rsid w:val="00974CE0"/>
    <w:rsid w:val="00980B9A"/>
    <w:rsid w:val="009B1909"/>
    <w:rsid w:val="009B522D"/>
    <w:rsid w:val="009B5C19"/>
    <w:rsid w:val="009B7A5D"/>
    <w:rsid w:val="009D620A"/>
    <w:rsid w:val="009E2074"/>
    <w:rsid w:val="009E5A0F"/>
    <w:rsid w:val="009F3A98"/>
    <w:rsid w:val="00A070E2"/>
    <w:rsid w:val="00A12648"/>
    <w:rsid w:val="00A14563"/>
    <w:rsid w:val="00A2154B"/>
    <w:rsid w:val="00A27B5A"/>
    <w:rsid w:val="00A3645B"/>
    <w:rsid w:val="00A41C2E"/>
    <w:rsid w:val="00A41C5B"/>
    <w:rsid w:val="00A4471D"/>
    <w:rsid w:val="00A5300B"/>
    <w:rsid w:val="00A64F0B"/>
    <w:rsid w:val="00A76F7D"/>
    <w:rsid w:val="00A80641"/>
    <w:rsid w:val="00A8566F"/>
    <w:rsid w:val="00A87283"/>
    <w:rsid w:val="00A93DBF"/>
    <w:rsid w:val="00A95993"/>
    <w:rsid w:val="00AA3C39"/>
    <w:rsid w:val="00AA4470"/>
    <w:rsid w:val="00AB0620"/>
    <w:rsid w:val="00AC1AEF"/>
    <w:rsid w:val="00AC1FB4"/>
    <w:rsid w:val="00AD145A"/>
    <w:rsid w:val="00AD4C3B"/>
    <w:rsid w:val="00AE063E"/>
    <w:rsid w:val="00AE254F"/>
    <w:rsid w:val="00AE73B6"/>
    <w:rsid w:val="00AF165D"/>
    <w:rsid w:val="00AF1E2E"/>
    <w:rsid w:val="00AF4311"/>
    <w:rsid w:val="00AF7CA3"/>
    <w:rsid w:val="00B03815"/>
    <w:rsid w:val="00B15B2B"/>
    <w:rsid w:val="00B21BE0"/>
    <w:rsid w:val="00B345CB"/>
    <w:rsid w:val="00B51D11"/>
    <w:rsid w:val="00B56F94"/>
    <w:rsid w:val="00B63DF2"/>
    <w:rsid w:val="00B67EF0"/>
    <w:rsid w:val="00B8033F"/>
    <w:rsid w:val="00B94B0B"/>
    <w:rsid w:val="00BA26ED"/>
    <w:rsid w:val="00BA394F"/>
    <w:rsid w:val="00BC2BEA"/>
    <w:rsid w:val="00BF47BF"/>
    <w:rsid w:val="00BF5C2D"/>
    <w:rsid w:val="00C02B84"/>
    <w:rsid w:val="00C302D9"/>
    <w:rsid w:val="00C522AE"/>
    <w:rsid w:val="00C60A94"/>
    <w:rsid w:val="00C64D98"/>
    <w:rsid w:val="00C84722"/>
    <w:rsid w:val="00C858F7"/>
    <w:rsid w:val="00C9697E"/>
    <w:rsid w:val="00CA3A31"/>
    <w:rsid w:val="00CA50DF"/>
    <w:rsid w:val="00CA6E41"/>
    <w:rsid w:val="00CC53CC"/>
    <w:rsid w:val="00CD7A26"/>
    <w:rsid w:val="00CF3DB4"/>
    <w:rsid w:val="00CF4D3C"/>
    <w:rsid w:val="00D07E3A"/>
    <w:rsid w:val="00D12DCB"/>
    <w:rsid w:val="00D258CC"/>
    <w:rsid w:val="00D36002"/>
    <w:rsid w:val="00D400E7"/>
    <w:rsid w:val="00D41114"/>
    <w:rsid w:val="00D44D9A"/>
    <w:rsid w:val="00D70B6E"/>
    <w:rsid w:val="00D7795B"/>
    <w:rsid w:val="00D77BCB"/>
    <w:rsid w:val="00D806F6"/>
    <w:rsid w:val="00D807AD"/>
    <w:rsid w:val="00D84C4B"/>
    <w:rsid w:val="00D86865"/>
    <w:rsid w:val="00D90087"/>
    <w:rsid w:val="00D92B57"/>
    <w:rsid w:val="00DA4DC6"/>
    <w:rsid w:val="00DA685E"/>
    <w:rsid w:val="00DB6C5F"/>
    <w:rsid w:val="00DC3CC8"/>
    <w:rsid w:val="00DD1B4B"/>
    <w:rsid w:val="00E030C4"/>
    <w:rsid w:val="00E047ED"/>
    <w:rsid w:val="00E05095"/>
    <w:rsid w:val="00E05462"/>
    <w:rsid w:val="00E20F32"/>
    <w:rsid w:val="00E2413C"/>
    <w:rsid w:val="00E37C3D"/>
    <w:rsid w:val="00E41D8D"/>
    <w:rsid w:val="00E4294D"/>
    <w:rsid w:val="00E4298F"/>
    <w:rsid w:val="00E44915"/>
    <w:rsid w:val="00E4628B"/>
    <w:rsid w:val="00E64982"/>
    <w:rsid w:val="00E64BA9"/>
    <w:rsid w:val="00E65F50"/>
    <w:rsid w:val="00E67DD3"/>
    <w:rsid w:val="00E87D05"/>
    <w:rsid w:val="00E923E9"/>
    <w:rsid w:val="00E96F86"/>
    <w:rsid w:val="00EB1D9C"/>
    <w:rsid w:val="00EC43BD"/>
    <w:rsid w:val="00EC688A"/>
    <w:rsid w:val="00ED6A21"/>
    <w:rsid w:val="00ED7EA5"/>
    <w:rsid w:val="00EE59E3"/>
    <w:rsid w:val="00F0253C"/>
    <w:rsid w:val="00F10DEA"/>
    <w:rsid w:val="00F136FE"/>
    <w:rsid w:val="00F16333"/>
    <w:rsid w:val="00F24E8A"/>
    <w:rsid w:val="00F24EDF"/>
    <w:rsid w:val="00F272F1"/>
    <w:rsid w:val="00F30EC5"/>
    <w:rsid w:val="00F44851"/>
    <w:rsid w:val="00F44E04"/>
    <w:rsid w:val="00F52832"/>
    <w:rsid w:val="00F52DA9"/>
    <w:rsid w:val="00F65829"/>
    <w:rsid w:val="00F73367"/>
    <w:rsid w:val="00F77319"/>
    <w:rsid w:val="00F82658"/>
    <w:rsid w:val="00F84819"/>
    <w:rsid w:val="00F93A21"/>
    <w:rsid w:val="00FA1483"/>
    <w:rsid w:val="00FB6CB5"/>
    <w:rsid w:val="00FC040B"/>
    <w:rsid w:val="00FC1BAA"/>
    <w:rsid w:val="00FC58B4"/>
    <w:rsid w:val="00FC6538"/>
    <w:rsid w:val="00FD08B2"/>
    <w:rsid w:val="00FD49A5"/>
    <w:rsid w:val="00FF5634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</w:pPr>
  </w:style>
  <w:style w:type="paragraph" w:styleId="BodyTextIndent2">
    <w:name w:val="Body Text Indent 2"/>
    <w:basedOn w:val="Normal"/>
    <w:pPr>
      <w:ind w:left="1276" w:hanging="709"/>
    </w:pPr>
    <w:rPr>
      <w:rFonts w:ascii="Courier New" w:hAnsi="Courier New" w:cs="Courier New"/>
      <w:sz w:val="22"/>
      <w:szCs w:val="22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sz w:val="3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3A5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52DA9"/>
  </w:style>
  <w:style w:type="character" w:customStyle="1" w:styleId="apple-converted-space">
    <w:name w:val="apple-converted-space"/>
    <w:basedOn w:val="DefaultParagraphFont"/>
    <w:rsid w:val="00F52DA9"/>
  </w:style>
  <w:style w:type="character" w:customStyle="1" w:styleId="hps">
    <w:name w:val="hps"/>
    <w:rsid w:val="0075107F"/>
  </w:style>
  <w:style w:type="character" w:customStyle="1" w:styleId="shorttext">
    <w:name w:val="short_text"/>
    <w:rsid w:val="00B345CB"/>
  </w:style>
  <w:style w:type="character" w:customStyle="1" w:styleId="atn">
    <w:name w:val="atn"/>
    <w:rsid w:val="00B345CB"/>
  </w:style>
  <w:style w:type="paragraph" w:styleId="ListParagraph">
    <w:name w:val="List Paragraph"/>
    <w:basedOn w:val="Normal"/>
    <w:uiPriority w:val="34"/>
    <w:qFormat/>
    <w:rsid w:val="00433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F848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848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848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819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00D"/>
    <w:rPr>
      <w:color w:val="808080"/>
    </w:rPr>
  </w:style>
  <w:style w:type="paragraph" w:styleId="NormalWeb">
    <w:name w:val="Normal (Web)"/>
    <w:basedOn w:val="Normal"/>
    <w:uiPriority w:val="99"/>
    <w:unhideWhenUsed/>
    <w:rsid w:val="009B5C19"/>
    <w:pPr>
      <w:spacing w:before="100" w:beforeAutospacing="1" w:after="100" w:afterAutospacing="1"/>
    </w:pPr>
    <w:rPr>
      <w:lang w:eastAsia="bg-BG"/>
    </w:rPr>
  </w:style>
  <w:style w:type="paragraph" w:customStyle="1" w:styleId="blank">
    <w:name w:val="blank"/>
    <w:basedOn w:val="Normal"/>
    <w:rsid w:val="003F6375"/>
    <w:pPr>
      <w:tabs>
        <w:tab w:val="left" w:pos="0"/>
        <w:tab w:val="right" w:pos="8953"/>
      </w:tabs>
      <w:spacing w:line="240" w:lineRule="atLeast"/>
      <w:jc w:val="center"/>
    </w:pPr>
    <w:rPr>
      <w:rFonts w:ascii="Times New Roman PL" w:hAnsi="Times New Roman PL"/>
      <w:i/>
      <w:sz w:val="20"/>
      <w:szCs w:val="20"/>
      <w:lang w:val="en-GB"/>
    </w:rPr>
  </w:style>
  <w:style w:type="paragraph" w:customStyle="1" w:styleId="rysunek">
    <w:name w:val="rysunek"/>
    <w:basedOn w:val="Normal"/>
    <w:rsid w:val="003F6375"/>
    <w:pPr>
      <w:ind w:left="900" w:hanging="900"/>
      <w:jc w:val="both"/>
    </w:pPr>
    <w:rPr>
      <w:rFonts w:ascii="Times New Roman PL" w:hAnsi="Times New Roman PL"/>
      <w:sz w:val="20"/>
      <w:szCs w:val="20"/>
      <w:lang w:val="en-GB"/>
    </w:rPr>
  </w:style>
  <w:style w:type="paragraph" w:customStyle="1" w:styleId="podpisrysunku">
    <w:name w:val="podpis rysunku"/>
    <w:basedOn w:val="Normal"/>
    <w:rsid w:val="003F6375"/>
    <w:pPr>
      <w:ind w:firstLine="170"/>
      <w:jc w:val="center"/>
    </w:pPr>
    <w:rPr>
      <w:i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</w:pPr>
  </w:style>
  <w:style w:type="paragraph" w:styleId="BodyTextIndent2">
    <w:name w:val="Body Text Indent 2"/>
    <w:basedOn w:val="Normal"/>
    <w:pPr>
      <w:ind w:left="1276" w:hanging="709"/>
    </w:pPr>
    <w:rPr>
      <w:rFonts w:ascii="Courier New" w:hAnsi="Courier New" w:cs="Courier New"/>
      <w:sz w:val="22"/>
      <w:szCs w:val="22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sz w:val="3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3A5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52DA9"/>
  </w:style>
  <w:style w:type="character" w:customStyle="1" w:styleId="apple-converted-space">
    <w:name w:val="apple-converted-space"/>
    <w:basedOn w:val="DefaultParagraphFont"/>
    <w:rsid w:val="00F52DA9"/>
  </w:style>
  <w:style w:type="character" w:customStyle="1" w:styleId="hps">
    <w:name w:val="hps"/>
    <w:rsid w:val="0075107F"/>
  </w:style>
  <w:style w:type="character" w:customStyle="1" w:styleId="shorttext">
    <w:name w:val="short_text"/>
    <w:rsid w:val="00B345CB"/>
  </w:style>
  <w:style w:type="character" w:customStyle="1" w:styleId="atn">
    <w:name w:val="atn"/>
    <w:rsid w:val="00B345CB"/>
  </w:style>
  <w:style w:type="paragraph" w:styleId="ListParagraph">
    <w:name w:val="List Paragraph"/>
    <w:basedOn w:val="Normal"/>
    <w:uiPriority w:val="34"/>
    <w:qFormat/>
    <w:rsid w:val="00433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F848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848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848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819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00D"/>
    <w:rPr>
      <w:color w:val="808080"/>
    </w:rPr>
  </w:style>
  <w:style w:type="paragraph" w:styleId="NormalWeb">
    <w:name w:val="Normal (Web)"/>
    <w:basedOn w:val="Normal"/>
    <w:uiPriority w:val="99"/>
    <w:unhideWhenUsed/>
    <w:rsid w:val="009B5C19"/>
    <w:pPr>
      <w:spacing w:before="100" w:beforeAutospacing="1" w:after="100" w:afterAutospacing="1"/>
    </w:pPr>
    <w:rPr>
      <w:lang w:eastAsia="bg-BG"/>
    </w:rPr>
  </w:style>
  <w:style w:type="paragraph" w:customStyle="1" w:styleId="blank">
    <w:name w:val="blank"/>
    <w:basedOn w:val="Normal"/>
    <w:rsid w:val="003F6375"/>
    <w:pPr>
      <w:tabs>
        <w:tab w:val="left" w:pos="0"/>
        <w:tab w:val="right" w:pos="8953"/>
      </w:tabs>
      <w:spacing w:line="240" w:lineRule="atLeast"/>
      <w:jc w:val="center"/>
    </w:pPr>
    <w:rPr>
      <w:rFonts w:ascii="Times New Roman PL" w:hAnsi="Times New Roman PL"/>
      <w:i/>
      <w:sz w:val="20"/>
      <w:szCs w:val="20"/>
      <w:lang w:val="en-GB"/>
    </w:rPr>
  </w:style>
  <w:style w:type="paragraph" w:customStyle="1" w:styleId="rysunek">
    <w:name w:val="rysunek"/>
    <w:basedOn w:val="Normal"/>
    <w:rsid w:val="003F6375"/>
    <w:pPr>
      <w:ind w:left="900" w:hanging="900"/>
      <w:jc w:val="both"/>
    </w:pPr>
    <w:rPr>
      <w:rFonts w:ascii="Times New Roman PL" w:hAnsi="Times New Roman PL"/>
      <w:sz w:val="20"/>
      <w:szCs w:val="20"/>
      <w:lang w:val="en-GB"/>
    </w:rPr>
  </w:style>
  <w:style w:type="paragraph" w:customStyle="1" w:styleId="podpisrysunku">
    <w:name w:val="podpis rysunku"/>
    <w:basedOn w:val="Normal"/>
    <w:rsid w:val="003F6375"/>
    <w:pPr>
      <w:ind w:firstLine="170"/>
      <w:jc w:val="center"/>
    </w:pPr>
    <w:rPr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vanka%20Karzhilova\Desktop\Chart%20in%20Microsoft%20Word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vanka%20Karzhilova\Desktop\Chart%20in%20Microsoft%20Word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anka%20Karzhilova\Desktop\Chart%20in%20Microsoft%20Word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anka%20Karzhilova\Desktop\Chart%20in%20Microsoft%20Word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vanka%20Karzhilova\Desktop\Chart%20in%20Microsoft%20Word.xlsx" TargetMode="External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/>
            </a:pPr>
            <a:r>
              <a:rPr lang="bg-BG" sz="1200" b="0"/>
              <a:t> </a:t>
            </a:r>
            <a:endParaRPr lang="en-US" sz="1200" b="0"/>
          </a:p>
        </c:rich>
      </c:tx>
      <c:layout>
        <c:manualLayout>
          <c:xMode val="edge"/>
          <c:yMode val="edge"/>
          <c:x val="0.8780137795275591"/>
          <c:y val="0.8842592592592593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Sheet2!$L$41:$L$44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-1</c:v>
                </c:pt>
              </c:numCache>
            </c:numRef>
          </c:xVal>
          <c:yVal>
            <c:numRef>
              <c:f>Sheet2!$M$41:$M$44</c:f>
              <c:numCache>
                <c:formatCode>General</c:formatCode>
                <c:ptCount val="4"/>
                <c:pt idx="0">
                  <c:v>10.26638730918887</c:v>
                </c:pt>
                <c:pt idx="1">
                  <c:v>0.51601153437547131</c:v>
                </c:pt>
                <c:pt idx="2">
                  <c:v>-11.127308066083572</c:v>
                </c:pt>
                <c:pt idx="3">
                  <c:v>-21.360811252862288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3596288"/>
        <c:axId val="283598208"/>
      </c:scatterChart>
      <c:valAx>
        <c:axId val="283596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en-US" sz="1200" b="0">
                    <a:latin typeface="Calibri"/>
                  </a:rPr>
                  <a:t>∆I</a:t>
                </a:r>
                <a:r>
                  <a:rPr lang="en-US" sz="1200" b="0" baseline="-25000">
                    <a:latin typeface="Calibri"/>
                  </a:rPr>
                  <a:t>A</a:t>
                </a:r>
                <a:r>
                  <a:rPr lang="bg-BG" sz="1200" b="0" baseline="0">
                    <a:latin typeface="Calibri"/>
                  </a:rPr>
                  <a:t>, %</a:t>
                </a:r>
                <a:endParaRPr lang="en-US" sz="1200" b="0" baseline="0"/>
              </a:p>
            </c:rich>
          </c:tx>
          <c:layout>
            <c:manualLayout>
              <c:xMode val="edge"/>
              <c:yMode val="edge"/>
              <c:x val="0.44395122484689414"/>
              <c:y val="4.5347039953339226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83598208"/>
        <c:crosses val="autoZero"/>
        <c:crossBetween val="midCat"/>
        <c:majorUnit val="1"/>
      </c:valAx>
      <c:valAx>
        <c:axId val="2835982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200" b="0"/>
                </a:pPr>
                <a:r>
                  <a:rPr lang="en-US" sz="1200" b="0">
                    <a:latin typeface="Calibri"/>
                  </a:rPr>
                  <a:t>∆C</a:t>
                </a:r>
                <a:endParaRPr lang="en-US" sz="1200" b="0"/>
              </a:p>
            </c:rich>
          </c:tx>
          <c:layout>
            <c:manualLayout>
              <c:xMode val="edge"/>
              <c:yMode val="edge"/>
              <c:x val="0.89799999999999991"/>
              <c:y val="0.3059084281131527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83596288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/>
            </a:pPr>
            <a:endParaRPr lang="en-US" sz="1200" b="0"/>
          </a:p>
        </c:rich>
      </c:tx>
      <c:layout>
        <c:manualLayout>
          <c:xMode val="edge"/>
          <c:yMode val="edge"/>
          <c:x val="0.86412489063867126"/>
          <c:y val="0.8657407407407407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Sheet2!$L$5:$L$8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-1</c:v>
                </c:pt>
              </c:numCache>
            </c:numRef>
          </c:xVal>
          <c:yVal>
            <c:numRef>
              <c:f>Sheet2!$M$5:$M$8</c:f>
              <c:numCache>
                <c:formatCode>General</c:formatCode>
                <c:ptCount val="4"/>
                <c:pt idx="0">
                  <c:v>47.392588786847348</c:v>
                </c:pt>
                <c:pt idx="1">
                  <c:v>-5.2774994990983739</c:v>
                </c:pt>
                <c:pt idx="2">
                  <c:v>-95.614188362746788</c:v>
                </c:pt>
                <c:pt idx="3">
                  <c:v>-304.24962852897465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6257536"/>
        <c:axId val="286259456"/>
      </c:scatterChart>
      <c:valAx>
        <c:axId val="286257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en-US" sz="1200" b="0">
                    <a:latin typeface="Calibri"/>
                  </a:rPr>
                  <a:t>∆Q</a:t>
                </a:r>
                <a:r>
                  <a:rPr lang="bg-BG" sz="1200" b="0">
                    <a:latin typeface="Calibri"/>
                  </a:rPr>
                  <a:t>, %</a:t>
                </a:r>
                <a:endParaRPr lang="en-US" sz="1200" b="0"/>
              </a:p>
            </c:rich>
          </c:tx>
          <c:layout>
            <c:manualLayout>
              <c:xMode val="edge"/>
              <c:yMode val="edge"/>
              <c:x val="0.46061789151356081"/>
              <c:y val="3.6087780694079932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86259456"/>
        <c:crosses val="autoZero"/>
        <c:crossBetween val="midCat"/>
        <c:majorUnit val="1"/>
      </c:valAx>
      <c:valAx>
        <c:axId val="2862594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200" b="0"/>
                </a:pPr>
                <a:r>
                  <a:rPr lang="en-US" sz="1200" b="0">
                    <a:latin typeface="Calibri"/>
                  </a:rPr>
                  <a:t>∆C</a:t>
                </a:r>
                <a:endParaRPr lang="en-US" sz="1200" b="0"/>
              </a:p>
            </c:rich>
          </c:tx>
          <c:layout>
            <c:manualLayout>
              <c:xMode val="edge"/>
              <c:yMode val="edge"/>
              <c:x val="0.8937222222222222"/>
              <c:y val="0.2179454651501898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86257536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/>
            </a:pPr>
            <a:r>
              <a:rPr lang="bg-BG" sz="1200" b="0"/>
              <a:t> </a:t>
            </a:r>
            <a:endParaRPr lang="en-US" sz="1200" b="0"/>
          </a:p>
        </c:rich>
      </c:tx>
      <c:layout>
        <c:manualLayout>
          <c:xMode val="edge"/>
          <c:yMode val="edge"/>
          <c:x val="0.85856933508311473"/>
          <c:y val="0.8703703703703709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Sheet2!$L$23:$L$26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-1</c:v>
                </c:pt>
              </c:numCache>
            </c:numRef>
          </c:xVal>
          <c:yVal>
            <c:numRef>
              <c:f>Sheet2!$M$23:$M$26</c:f>
              <c:numCache>
                <c:formatCode>General</c:formatCode>
                <c:ptCount val="4"/>
                <c:pt idx="0">
                  <c:v>3.1508648657202909</c:v>
                </c:pt>
                <c:pt idx="1">
                  <c:v>3.9684356731832258E-2</c:v>
                </c:pt>
                <c:pt idx="2">
                  <c:v>-2.8859208739856679</c:v>
                </c:pt>
                <c:pt idx="3">
                  <c:v>-6.8102684223854171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5939968"/>
        <c:axId val="286122368"/>
      </c:scatterChart>
      <c:valAx>
        <c:axId val="285939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en-US" sz="1200" b="0">
                    <a:latin typeface="Calibri"/>
                  </a:rPr>
                  <a:t>∆P, %</a:t>
                </a:r>
                <a:endParaRPr lang="en-US" sz="1200" b="0"/>
              </a:p>
            </c:rich>
          </c:tx>
          <c:layout>
            <c:manualLayout>
              <c:xMode val="edge"/>
              <c:yMode val="edge"/>
              <c:x val="0.44884383202099726"/>
              <c:y val="5.4606299212598478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spc="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286122368"/>
        <c:crosses val="autoZero"/>
        <c:crossBetween val="midCat"/>
        <c:majorUnit val="1"/>
      </c:valAx>
      <c:valAx>
        <c:axId val="2861223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200" b="0"/>
                </a:pPr>
                <a:r>
                  <a:rPr lang="en-US" sz="1200" b="0">
                    <a:latin typeface="Calibri"/>
                  </a:rPr>
                  <a:t>∆C</a:t>
                </a:r>
                <a:endParaRPr lang="en-US" sz="1200" b="0"/>
              </a:p>
            </c:rich>
          </c:tx>
          <c:layout>
            <c:manualLayout>
              <c:xMode val="edge"/>
              <c:yMode val="edge"/>
              <c:x val="0.89799999999999991"/>
              <c:y val="0.29664916885389331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85939968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endParaRPr lang="en-US" sz="1200" b="0"/>
          </a:p>
        </c:rich>
      </c:tx>
      <c:layout>
        <c:manualLayout>
          <c:xMode val="edge"/>
          <c:yMode val="edge"/>
          <c:x val="0.87974300087489166"/>
          <c:y val="0.8842592592592593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dLbls>
            <c:delete val="1"/>
          </c:dLbls>
          <c:xVal>
            <c:numRef>
              <c:f>Sheet2!$L$104:$L$107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-1</c:v>
                </c:pt>
              </c:numCache>
            </c:numRef>
          </c:xVal>
          <c:yVal>
            <c:numRef>
              <c:f>Sheet2!$M$104:$M$107</c:f>
              <c:numCache>
                <c:formatCode>General</c:formatCode>
                <c:ptCount val="4"/>
                <c:pt idx="0">
                  <c:v>10.118498545377138</c:v>
                </c:pt>
                <c:pt idx="1">
                  <c:v>-0.35698986148793405</c:v>
                </c:pt>
                <c:pt idx="2">
                  <c:v>-14.177313804923649</c:v>
                </c:pt>
                <c:pt idx="3">
                  <c:v>-22.05498695564923</c:v>
                </c:pt>
              </c:numCache>
            </c:numRef>
          </c:yVal>
          <c:smooth val="1"/>
        </c:ser>
        <c:dLbls>
          <c:showLegendKey val="0"/>
          <c:showVal val="1"/>
          <c:showCatName val="1"/>
          <c:showSerName val="0"/>
          <c:showPercent val="0"/>
          <c:showBubbleSize val="0"/>
        </c:dLbls>
        <c:axId val="287392512"/>
        <c:axId val="287394432"/>
      </c:scatterChart>
      <c:valAx>
        <c:axId val="287392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sz="1200" b="0" i="0" baseline="0">
                    <a:effectLst/>
                  </a:rPr>
                  <a:t>∆S, %</a:t>
                </a:r>
                <a:endParaRPr lang="bg-BG" sz="1200" b="0">
                  <a:effectLst/>
                </a:endParaRPr>
              </a:p>
            </c:rich>
          </c:tx>
          <c:layout>
            <c:manualLayout>
              <c:xMode val="edge"/>
              <c:yMode val="edge"/>
              <c:x val="0.43822222222222251"/>
              <c:y val="6.4930373286672505E-2"/>
            </c:manualLayout>
          </c:layout>
          <c:overlay val="0"/>
        </c:title>
        <c:numFmt formatCode="#,##0_ ;\-#,##0\ 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287394432"/>
        <c:crosses val="autoZero"/>
        <c:crossBetween val="midCat"/>
        <c:minorUnit val="1"/>
      </c:valAx>
      <c:valAx>
        <c:axId val="28739443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en-US" sz="1200" b="0" i="0" baseline="0">
                    <a:effectLst/>
                  </a:rPr>
                  <a:t>∆C</a:t>
                </a:r>
                <a:endParaRPr lang="bg-BG" sz="1200" b="0">
                  <a:effectLst/>
                </a:endParaRPr>
              </a:p>
            </c:rich>
          </c:tx>
          <c:layout>
            <c:manualLayout>
              <c:xMode val="edge"/>
              <c:yMode val="edge"/>
              <c:x val="0.8944444444444446"/>
              <c:y val="0.30597805482648027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287392512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/>
            </a:pPr>
            <a:endParaRPr lang="en-US" sz="1200" b="0"/>
          </a:p>
        </c:rich>
      </c:tx>
      <c:layout>
        <c:manualLayout>
          <c:xMode val="edge"/>
          <c:yMode val="edge"/>
          <c:x val="0.86412489063867126"/>
          <c:y val="0.85648148148148162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Sheet2!$L$61:$L$64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-1</c:v>
                </c:pt>
              </c:numCache>
            </c:numRef>
          </c:xVal>
          <c:yVal>
            <c:numRef>
              <c:f>Sheet2!$M$61:$M$64</c:f>
              <c:numCache>
                <c:formatCode>General</c:formatCode>
                <c:ptCount val="4"/>
                <c:pt idx="0">
                  <c:v>9.7412038383250952</c:v>
                </c:pt>
                <c:pt idx="1">
                  <c:v>-1.0188792328438818</c:v>
                </c:pt>
                <c:pt idx="2">
                  <c:v>-8.2938750572781359</c:v>
                </c:pt>
                <c:pt idx="3">
                  <c:v>-21.508955460453347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3606400"/>
        <c:axId val="283665920"/>
      </c:scatterChart>
      <c:valAx>
        <c:axId val="283606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en-US" sz="1200" b="0">
                    <a:latin typeface="Calibri"/>
                  </a:rPr>
                  <a:t>∆I</a:t>
                </a:r>
                <a:r>
                  <a:rPr lang="en-US" sz="1200" b="0" baseline="-25000">
                    <a:latin typeface="Calibri"/>
                  </a:rPr>
                  <a:t>B</a:t>
                </a:r>
                <a:r>
                  <a:rPr lang="bg-BG" sz="1200" b="0" baseline="0">
                    <a:latin typeface="Calibri"/>
                  </a:rPr>
                  <a:t>, %</a:t>
                </a:r>
                <a:endParaRPr lang="en-US" sz="1200" b="0" baseline="0"/>
              </a:p>
            </c:rich>
          </c:tx>
          <c:layout>
            <c:manualLayout>
              <c:xMode val="edge"/>
              <c:yMode val="edge"/>
              <c:x val="0.45506233595800538"/>
              <c:y val="5.923592884222812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83665920"/>
        <c:crosses val="autoZero"/>
        <c:crossBetween val="midCat"/>
        <c:majorUnit val="1"/>
      </c:valAx>
      <c:valAx>
        <c:axId val="2836659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200" b="0"/>
                </a:pPr>
                <a:r>
                  <a:rPr lang="en-US" sz="1200" b="0">
                    <a:latin typeface="Calibri"/>
                  </a:rPr>
                  <a:t>∆C</a:t>
                </a:r>
                <a:endParaRPr lang="en-US" sz="1200" b="0"/>
              </a:p>
            </c:rich>
          </c:tx>
          <c:layout>
            <c:manualLayout>
              <c:xMode val="edge"/>
              <c:yMode val="edge"/>
              <c:x val="0.86744444444444491"/>
              <c:y val="0.3383158355205604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8360640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/>
            </a:pPr>
            <a:r>
              <a:rPr lang="bg-BG" sz="1200" b="0"/>
              <a:t> </a:t>
            </a:r>
            <a:endParaRPr lang="en-US" sz="1200" b="0"/>
          </a:p>
        </c:rich>
      </c:tx>
      <c:layout>
        <c:manualLayout>
          <c:xMode val="edge"/>
          <c:yMode val="edge"/>
          <c:x val="0.85856933508311473"/>
          <c:y val="0.8657407407407407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Sheet2!$B$98:$B$101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-1</c:v>
                </c:pt>
              </c:numCache>
            </c:numRef>
          </c:xVal>
          <c:yVal>
            <c:numRef>
              <c:f>Sheet2!$C$98:$C$101</c:f>
              <c:numCache>
                <c:formatCode>General</c:formatCode>
                <c:ptCount val="4"/>
                <c:pt idx="0">
                  <c:v>10.13301449708565</c:v>
                </c:pt>
                <c:pt idx="1">
                  <c:v>4.4623262618873403</c:v>
                </c:pt>
                <c:pt idx="2">
                  <c:v>-8.6174538629965589</c:v>
                </c:pt>
                <c:pt idx="3">
                  <c:v>-23.30716388616289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5083136"/>
        <c:axId val="285085056"/>
      </c:scatterChart>
      <c:valAx>
        <c:axId val="2850831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en-US" sz="1200" b="0">
                    <a:latin typeface="Calibri"/>
                  </a:rPr>
                  <a:t>∆I</a:t>
                </a:r>
                <a:r>
                  <a:rPr lang="en-US" sz="1200" b="0" baseline="-25000">
                    <a:latin typeface="Calibri"/>
                  </a:rPr>
                  <a:t>C</a:t>
                </a:r>
                <a:r>
                  <a:rPr lang="en-US" sz="1200" b="0">
                    <a:latin typeface="Calibri"/>
                  </a:rPr>
                  <a:t>,</a:t>
                </a:r>
                <a:r>
                  <a:rPr lang="en-US" sz="1200" b="0" baseline="0">
                    <a:latin typeface="Calibri"/>
                  </a:rPr>
                  <a:t> %</a:t>
                </a:r>
                <a:endParaRPr lang="en-US" sz="1200" b="0"/>
              </a:p>
            </c:rich>
          </c:tx>
          <c:layout>
            <c:manualLayout>
              <c:xMode val="edge"/>
              <c:yMode val="edge"/>
              <c:x val="0.45228455818022745"/>
              <c:y val="6.8495188101487317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85085056"/>
        <c:crosses val="autoZero"/>
        <c:crossBetween val="midCat"/>
        <c:majorUnit val="1"/>
      </c:valAx>
      <c:valAx>
        <c:axId val="2850850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200" b="0"/>
                </a:pPr>
                <a:r>
                  <a:rPr lang="en-US" sz="1200" b="0">
                    <a:latin typeface="Calibri"/>
                  </a:rPr>
                  <a:t>∆C</a:t>
                </a:r>
                <a:endParaRPr lang="en-US" sz="1200" b="0"/>
              </a:p>
            </c:rich>
          </c:tx>
          <c:layout>
            <c:manualLayout>
              <c:xMode val="edge"/>
              <c:yMode val="edge"/>
              <c:x val="0.86744444444444491"/>
              <c:y val="0.3383158355205604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85083136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/>
            </a:pPr>
            <a:r>
              <a:rPr lang="en-US" sz="1200" b="0"/>
              <a:t> </a:t>
            </a:r>
          </a:p>
        </c:rich>
      </c:tx>
      <c:layout>
        <c:manualLayout>
          <c:xMode val="edge"/>
          <c:yMode val="edge"/>
          <c:x val="0.86690895714838856"/>
          <c:y val="0.8843436074564297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Sheet2!$B$62:$B$65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-1</c:v>
                </c:pt>
              </c:numCache>
            </c:numRef>
          </c:xVal>
          <c:yVal>
            <c:numRef>
              <c:f>Sheet2!$C$62:$C$65</c:f>
              <c:numCache>
                <c:formatCode>General</c:formatCode>
                <c:ptCount val="4"/>
                <c:pt idx="0">
                  <c:v>47.392588786847348</c:v>
                </c:pt>
                <c:pt idx="1">
                  <c:v>19.395897270230982</c:v>
                </c:pt>
                <c:pt idx="2">
                  <c:v>-95.614188362746788</c:v>
                </c:pt>
                <c:pt idx="3">
                  <c:v>-304.24962852897465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5113728"/>
        <c:axId val="285128192"/>
      </c:scatterChart>
      <c:valAx>
        <c:axId val="285113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en-US" sz="1200" b="0">
                    <a:latin typeface="Calibri"/>
                  </a:rPr>
                  <a:t>∆Q</a:t>
                </a:r>
                <a:r>
                  <a:rPr lang="bg-BG" sz="1200" b="0">
                    <a:latin typeface="Calibri"/>
                  </a:rPr>
                  <a:t>, %</a:t>
                </a:r>
                <a:endParaRPr lang="en-US" sz="1200" b="0"/>
              </a:p>
            </c:rich>
          </c:tx>
          <c:layout>
            <c:manualLayout>
              <c:xMode val="edge"/>
              <c:yMode val="edge"/>
              <c:x val="0.46339566929133857"/>
              <c:y val="3.6087780694079932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85128192"/>
        <c:crosses val="autoZero"/>
        <c:crossBetween val="midCat"/>
        <c:majorUnit val="1"/>
      </c:valAx>
      <c:valAx>
        <c:axId val="28512819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200" b="0"/>
                </a:pPr>
                <a:r>
                  <a:rPr lang="en-US" sz="1200" b="0">
                    <a:latin typeface="Calibri"/>
                  </a:rPr>
                  <a:t>∆C</a:t>
                </a:r>
                <a:endParaRPr lang="en-US" sz="1200" b="0"/>
              </a:p>
            </c:rich>
          </c:tx>
          <c:layout>
            <c:manualLayout>
              <c:xMode val="edge"/>
              <c:yMode val="edge"/>
              <c:x val="0.8937222222222222"/>
              <c:y val="0.2179454651501898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85113728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endParaRPr lang="en-US" sz="1200" b="0"/>
          </a:p>
        </c:rich>
      </c:tx>
      <c:layout>
        <c:manualLayout>
          <c:xMode val="edge"/>
          <c:yMode val="edge"/>
          <c:x val="0.85856933508311473"/>
          <c:y val="0.8703703703703709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Sheet2!$B$24:$B$27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-1</c:v>
                </c:pt>
              </c:numCache>
            </c:numRef>
          </c:xVal>
          <c:yVal>
            <c:numRef>
              <c:f>Sheet2!$C$24:$C$27</c:f>
              <c:numCache>
                <c:formatCode>0.00</c:formatCode>
                <c:ptCount val="4"/>
                <c:pt idx="0">
                  <c:v>3.1508648657202909</c:v>
                </c:pt>
                <c:pt idx="1">
                  <c:v>-6.2081917089543337E-3</c:v>
                </c:pt>
                <c:pt idx="2">
                  <c:v>-2.8859208739856679</c:v>
                </c:pt>
                <c:pt idx="3">
                  <c:v>-6.8102684223854171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5144576"/>
        <c:axId val="285146496"/>
      </c:scatterChart>
      <c:valAx>
        <c:axId val="285144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en-US" sz="1200" b="0">
                    <a:latin typeface="Calibri"/>
                  </a:rPr>
                  <a:t>∆P, %</a:t>
                </a:r>
                <a:endParaRPr lang="en-US" sz="1200" b="0"/>
              </a:p>
            </c:rich>
          </c:tx>
          <c:layout>
            <c:manualLayout>
              <c:xMode val="edge"/>
              <c:yMode val="edge"/>
              <c:x val="0.44884383202099726"/>
              <c:y val="5.4606299212598478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spc="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285146496"/>
        <c:crosses val="autoZero"/>
        <c:crossBetween val="midCat"/>
        <c:majorUnit val="1"/>
      </c:valAx>
      <c:valAx>
        <c:axId val="2851464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200" b="0"/>
                </a:pPr>
                <a:r>
                  <a:rPr lang="en-US" sz="1200" b="0">
                    <a:latin typeface="Calibri"/>
                  </a:rPr>
                  <a:t>∆C</a:t>
                </a:r>
                <a:endParaRPr lang="en-US" sz="1200" b="0"/>
              </a:p>
            </c:rich>
          </c:tx>
          <c:layout>
            <c:manualLayout>
              <c:xMode val="edge"/>
              <c:yMode val="edge"/>
              <c:x val="0.89799999999999991"/>
              <c:y val="0.29664916885389331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8514457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bg-BG" sz="1200" b="0"/>
              <a:t> </a:t>
            </a:r>
            <a:endParaRPr lang="en-US" sz="1200" b="0"/>
          </a:p>
        </c:rich>
      </c:tx>
      <c:layout>
        <c:manualLayout>
          <c:xMode val="edge"/>
          <c:yMode val="edge"/>
          <c:x val="0.87974300087489166"/>
          <c:y val="0.8842592592592593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dLbls>
            <c:delete val="1"/>
          </c:dLbls>
          <c:xVal>
            <c:numRef>
              <c:f>Sheet2!$B$104:$B$107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-1</c:v>
                </c:pt>
              </c:numCache>
            </c:numRef>
          </c:xVal>
          <c:yVal>
            <c:numRef>
              <c:f>Sheet2!$C$104:$C$107</c:f>
              <c:numCache>
                <c:formatCode>General</c:formatCode>
                <c:ptCount val="4"/>
                <c:pt idx="0">
                  <c:v>10.118498545377138</c:v>
                </c:pt>
                <c:pt idx="1">
                  <c:v>3.8818270708199418</c:v>
                </c:pt>
                <c:pt idx="2">
                  <c:v>-14.177313804923649</c:v>
                </c:pt>
                <c:pt idx="3">
                  <c:v>-22.05498695564923</c:v>
                </c:pt>
              </c:numCache>
            </c:numRef>
          </c:yVal>
          <c:smooth val="1"/>
        </c:ser>
        <c:dLbls>
          <c:showLegendKey val="0"/>
          <c:showVal val="1"/>
          <c:showCatName val="1"/>
          <c:showSerName val="0"/>
          <c:showPercent val="0"/>
          <c:showBubbleSize val="0"/>
        </c:dLbls>
        <c:axId val="285761536"/>
        <c:axId val="285763456"/>
      </c:scatterChart>
      <c:valAx>
        <c:axId val="285761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sz="1200" b="0" i="0" baseline="0">
                    <a:effectLst/>
                  </a:rPr>
                  <a:t>∆S, %</a:t>
                </a:r>
                <a:endParaRPr lang="bg-BG" sz="1200" b="0">
                  <a:effectLst/>
                </a:endParaRPr>
              </a:p>
            </c:rich>
          </c:tx>
          <c:layout>
            <c:manualLayout>
              <c:xMode val="edge"/>
              <c:yMode val="edge"/>
              <c:x val="0.43822222222222251"/>
              <c:y val="6.4930373286672505E-2"/>
            </c:manualLayout>
          </c:layout>
          <c:overlay val="0"/>
        </c:title>
        <c:numFmt formatCode="#,##0_ ;\-#,##0\ 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285763456"/>
        <c:crosses val="autoZero"/>
        <c:crossBetween val="midCat"/>
        <c:minorUnit val="1"/>
      </c:valAx>
      <c:valAx>
        <c:axId val="2857634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en-US" sz="1200" b="0" i="0" baseline="0">
                    <a:effectLst/>
                  </a:rPr>
                  <a:t>∆C</a:t>
                </a:r>
                <a:endParaRPr lang="bg-BG" sz="1200" b="0">
                  <a:effectLst/>
                </a:endParaRPr>
              </a:p>
            </c:rich>
          </c:tx>
          <c:layout>
            <c:manualLayout>
              <c:xMode val="edge"/>
              <c:yMode val="edge"/>
              <c:x val="0.8944444444444446"/>
              <c:y val="0.30597805482648027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285761536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endParaRPr lang="en-US" sz="1200" b="0"/>
          </a:p>
        </c:rich>
      </c:tx>
      <c:layout>
        <c:manualLayout>
          <c:xMode val="edge"/>
          <c:yMode val="edge"/>
          <c:x val="0.86412489063867126"/>
          <c:y val="0.87962962962963043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Sheet2!$B$42:$B$45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-1</c:v>
                </c:pt>
              </c:numCache>
            </c:numRef>
          </c:xVal>
          <c:yVal>
            <c:numRef>
              <c:f>Sheet2!$C$42:$C$45</c:f>
              <c:numCache>
                <c:formatCode>General</c:formatCode>
                <c:ptCount val="4"/>
                <c:pt idx="0">
                  <c:v>10.26638730918887</c:v>
                </c:pt>
                <c:pt idx="1">
                  <c:v>3.1846176956587118</c:v>
                </c:pt>
                <c:pt idx="2">
                  <c:v>-11.127308066083572</c:v>
                </c:pt>
                <c:pt idx="3">
                  <c:v>-21.360811252862288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5808512"/>
        <c:axId val="285822976"/>
      </c:scatterChart>
      <c:valAx>
        <c:axId val="285808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en-US" sz="1200" b="0">
                    <a:latin typeface="Calibri"/>
                  </a:rPr>
                  <a:t>∆I</a:t>
                </a:r>
                <a:r>
                  <a:rPr lang="en-US" sz="1200" b="0" baseline="-25000">
                    <a:latin typeface="Calibri"/>
                  </a:rPr>
                  <a:t>A</a:t>
                </a:r>
                <a:r>
                  <a:rPr lang="bg-BG" sz="1200" b="0" baseline="0">
                    <a:latin typeface="Calibri"/>
                  </a:rPr>
                  <a:t>, %</a:t>
                </a:r>
                <a:endParaRPr lang="en-US" sz="1200" b="0" baseline="0"/>
              </a:p>
            </c:rich>
          </c:tx>
          <c:layout>
            <c:manualLayout>
              <c:xMode val="edge"/>
              <c:yMode val="edge"/>
              <c:x val="0.44395122484689414"/>
              <c:y val="4.5347039953339226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85822976"/>
        <c:crosses val="autoZero"/>
        <c:crossBetween val="midCat"/>
        <c:majorUnit val="1"/>
      </c:valAx>
      <c:valAx>
        <c:axId val="2858229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200" b="0"/>
                </a:pPr>
                <a:r>
                  <a:rPr lang="en-US" sz="1200" b="0">
                    <a:latin typeface="Calibri"/>
                  </a:rPr>
                  <a:t>∆C</a:t>
                </a:r>
                <a:endParaRPr lang="en-US" sz="1200" b="0"/>
              </a:p>
            </c:rich>
          </c:tx>
          <c:layout>
            <c:manualLayout>
              <c:xMode val="edge"/>
              <c:yMode val="edge"/>
              <c:x val="0.89799999999999991"/>
              <c:y val="0.3059084281131527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8580851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/>
            </a:pPr>
            <a:endParaRPr lang="en-US" sz="1200" b="0"/>
          </a:p>
        </c:rich>
      </c:tx>
      <c:layout>
        <c:manualLayout>
          <c:xMode val="edge"/>
          <c:yMode val="edge"/>
          <c:x val="0.86412489063867126"/>
          <c:y val="0.85648148148148162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Sheet2!$B$80:$B$83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-1</c:v>
                </c:pt>
              </c:numCache>
            </c:numRef>
          </c:xVal>
          <c:yVal>
            <c:numRef>
              <c:f>Sheet2!$C$80:$C$83</c:f>
              <c:numCache>
                <c:formatCode>General</c:formatCode>
                <c:ptCount val="4"/>
                <c:pt idx="0">
                  <c:v>9.7412038383250952</c:v>
                </c:pt>
                <c:pt idx="1">
                  <c:v>4.2452830188679309</c:v>
                </c:pt>
                <c:pt idx="2">
                  <c:v>-8.2938750572781359</c:v>
                </c:pt>
                <c:pt idx="3">
                  <c:v>-21.508955460453347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5855744"/>
        <c:axId val="285857664"/>
      </c:scatterChart>
      <c:valAx>
        <c:axId val="2858557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en-US" sz="1200" b="0">
                    <a:latin typeface="Calibri"/>
                  </a:rPr>
                  <a:t>∆I</a:t>
                </a:r>
                <a:r>
                  <a:rPr lang="en-US" sz="1200" b="0" baseline="-25000">
                    <a:latin typeface="Calibri"/>
                  </a:rPr>
                  <a:t>B</a:t>
                </a:r>
                <a:r>
                  <a:rPr lang="bg-BG" sz="1200" b="0" baseline="0">
                    <a:latin typeface="Calibri"/>
                  </a:rPr>
                  <a:t>, %</a:t>
                </a:r>
                <a:endParaRPr lang="en-US" sz="1200" b="0" baseline="0"/>
              </a:p>
            </c:rich>
          </c:tx>
          <c:layout>
            <c:manualLayout>
              <c:xMode val="edge"/>
              <c:yMode val="edge"/>
              <c:x val="0.45506233595800538"/>
              <c:y val="5.923592884222812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85857664"/>
        <c:crosses val="autoZero"/>
        <c:crossBetween val="midCat"/>
        <c:majorUnit val="1"/>
      </c:valAx>
      <c:valAx>
        <c:axId val="28585766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200" b="0"/>
                </a:pPr>
                <a:r>
                  <a:rPr lang="en-US" sz="1200" b="0">
                    <a:latin typeface="Calibri"/>
                  </a:rPr>
                  <a:t>∆C</a:t>
                </a:r>
                <a:endParaRPr lang="en-US" sz="1200" b="0"/>
              </a:p>
            </c:rich>
          </c:tx>
          <c:layout>
            <c:manualLayout>
              <c:xMode val="edge"/>
              <c:yMode val="edge"/>
              <c:x val="0.86744444444444491"/>
              <c:y val="0.3383158355205604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85855744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/>
            </a:pPr>
            <a:r>
              <a:rPr lang="bg-BG" sz="1200" b="0"/>
              <a:t> </a:t>
            </a:r>
            <a:endParaRPr lang="en-US" sz="1200" b="0"/>
          </a:p>
        </c:rich>
      </c:tx>
      <c:layout>
        <c:manualLayout>
          <c:xMode val="edge"/>
          <c:yMode val="edge"/>
          <c:x val="0.85856933508311473"/>
          <c:y val="0.8657407407407407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Sheet2!$L$79:$L$82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-1</c:v>
                </c:pt>
              </c:numCache>
            </c:numRef>
          </c:xVal>
          <c:yVal>
            <c:numRef>
              <c:f>Sheet2!$M$79:$M$82</c:f>
              <c:numCache>
                <c:formatCode>General</c:formatCode>
                <c:ptCount val="4"/>
                <c:pt idx="0">
                  <c:v>10.13301449708565</c:v>
                </c:pt>
                <c:pt idx="1">
                  <c:v>-1.4316502463054106</c:v>
                </c:pt>
                <c:pt idx="2">
                  <c:v>-8.6174538629965589</c:v>
                </c:pt>
                <c:pt idx="3">
                  <c:v>-23.30716388616289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5955968"/>
        <c:axId val="285958144"/>
      </c:scatterChart>
      <c:valAx>
        <c:axId val="285955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en-US" sz="1200" b="0">
                    <a:latin typeface="Calibri"/>
                  </a:rPr>
                  <a:t>∆I</a:t>
                </a:r>
                <a:r>
                  <a:rPr lang="en-US" sz="1200" b="0" baseline="-25000">
                    <a:latin typeface="Calibri"/>
                  </a:rPr>
                  <a:t>C</a:t>
                </a:r>
                <a:r>
                  <a:rPr lang="en-US" sz="1200" b="0">
                    <a:latin typeface="Calibri"/>
                  </a:rPr>
                  <a:t>,</a:t>
                </a:r>
                <a:r>
                  <a:rPr lang="en-US" sz="1200" b="0" baseline="0">
                    <a:latin typeface="Calibri"/>
                  </a:rPr>
                  <a:t> %</a:t>
                </a:r>
                <a:endParaRPr lang="en-US" sz="1200" b="0"/>
              </a:p>
            </c:rich>
          </c:tx>
          <c:layout>
            <c:manualLayout>
              <c:xMode val="edge"/>
              <c:yMode val="edge"/>
              <c:x val="0.45228455818022745"/>
              <c:y val="6.8495188101487317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85958144"/>
        <c:crosses val="autoZero"/>
        <c:crossBetween val="midCat"/>
        <c:majorUnit val="1"/>
      </c:valAx>
      <c:valAx>
        <c:axId val="28595814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200" b="0"/>
                </a:pPr>
                <a:r>
                  <a:rPr lang="en-US" sz="1200" b="0">
                    <a:latin typeface="Calibri"/>
                  </a:rPr>
                  <a:t>∆C</a:t>
                </a:r>
                <a:endParaRPr lang="en-US" sz="1200" b="0"/>
              </a:p>
            </c:rich>
          </c:tx>
          <c:layout>
            <c:manualLayout>
              <c:xMode val="edge"/>
              <c:yMode val="edge"/>
              <c:x val="0.86744444444444491"/>
              <c:y val="0.3383158355205604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85955968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F432-474D-49BC-A9FF-BE154833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Чувствителните и селективни защити от къси съединения – необходимо условие за ефективна работа</vt:lpstr>
    </vt:vector>
  </TitlesOfParts>
  <Company>SMS-S</Company>
  <LinksUpToDate>false</LinksUpToDate>
  <CharactersWithSpaces>9291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mailto:milen.drenkov@cmc-c.com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Чувствителните и селективни защити от къси съединения – необходимо условие за ефективна работа</dc:title>
  <dc:creator>Stefan Chobanov</dc:creator>
  <cp:lastModifiedBy>Rumi-Izdatelstvo</cp:lastModifiedBy>
  <cp:revision>6</cp:revision>
  <cp:lastPrinted>2014-07-23T11:32:00Z</cp:lastPrinted>
  <dcterms:created xsi:type="dcterms:W3CDTF">2014-09-03T08:49:00Z</dcterms:created>
  <dcterms:modified xsi:type="dcterms:W3CDTF">2014-09-18T10:25:00Z</dcterms:modified>
</cp:coreProperties>
</file>