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D77D48" w14:textId="23CAD10C" w:rsidR="00E3082F" w:rsidRPr="00A1696A" w:rsidRDefault="008E2120" w:rsidP="002F3CB4">
      <w:pPr>
        <w:tabs>
          <w:tab w:val="center" w:pos="4677"/>
          <w:tab w:val="right" w:pos="9354"/>
        </w:tabs>
        <w:spacing w:after="0" w:line="240" w:lineRule="auto"/>
        <w:rPr>
          <w:rFonts w:ascii="Times New Roman" w:hAnsi="Times New Roman" w:cs="Times New Roman"/>
          <w:b/>
          <w:bCs/>
          <w:sz w:val="24"/>
          <w:szCs w:val="24"/>
        </w:rPr>
      </w:pPr>
      <w:r w:rsidRPr="00A1696A">
        <w:rPr>
          <w:rFonts w:ascii="Times New Roman" w:hAnsi="Times New Roman" w:cs="Times New Roman"/>
          <w:b/>
          <w:bCs/>
          <w:noProof/>
          <w:sz w:val="24"/>
          <w:szCs w:val="24"/>
          <w:lang w:eastAsia="bg-BG"/>
        </w:rPr>
        <mc:AlternateContent>
          <mc:Choice Requires="wps">
            <w:drawing>
              <wp:anchor distT="45720" distB="45720" distL="114300" distR="114300" simplePos="0" relativeHeight="251667456" behindDoc="0" locked="0" layoutInCell="1" allowOverlap="1" wp14:anchorId="6CDB9747" wp14:editId="36C271A2">
                <wp:simplePos x="0" y="0"/>
                <wp:positionH relativeFrom="margin">
                  <wp:align>center</wp:align>
                </wp:positionH>
                <wp:positionV relativeFrom="paragraph">
                  <wp:posOffset>224758</wp:posOffset>
                </wp:positionV>
                <wp:extent cx="6597650" cy="8788400"/>
                <wp:effectExtent l="133350" t="152400" r="146050" b="165100"/>
                <wp:wrapSquare wrapText="bothSides"/>
                <wp:docPr id="217" name="Текстово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0" cy="8788400"/>
                        </a:xfrm>
                        <a:prstGeom prst="rect">
                          <a:avLst/>
                        </a:prstGeom>
                        <a:solidFill>
                          <a:srgbClr val="FFFFFF"/>
                        </a:solidFill>
                        <a:ln w="9525">
                          <a:solidFill>
                            <a:schemeClr val="tx2">
                              <a:lumMod val="75000"/>
                            </a:schemeClr>
                          </a:solidFill>
                          <a:miter lim="800000"/>
                          <a:headEnd/>
                          <a:tailEnd/>
                        </a:ln>
                        <a:effectLst>
                          <a:outerShdw blurRad="63500" sx="102000" sy="102000" algn="ctr" rotWithShape="0">
                            <a:prstClr val="black">
                              <a:alpha val="40000"/>
                            </a:prstClr>
                          </a:outerShdw>
                        </a:effectLst>
                      </wps:spPr>
                      <wps:txbx>
                        <w:txbxContent>
                          <w:p w14:paraId="4DEE1D38" w14:textId="66AD5FE6" w:rsidR="009F37D9" w:rsidRDefault="005B06EC" w:rsidP="00644170">
                            <w:pPr>
                              <w:spacing w:after="0" w:line="240" w:lineRule="auto"/>
                              <w:jc w:val="center"/>
                              <w:rPr>
                                <w:rFonts w:ascii="Times New Roman" w:hAnsi="Times New Roman" w:cs="Times New Roman"/>
                                <w:b/>
                                <w:bCs/>
                                <w:sz w:val="24"/>
                                <w:szCs w:val="24"/>
                              </w:rPr>
                            </w:pPr>
                            <w:r w:rsidRPr="005B06EC">
                              <w:rPr>
                                <w:rFonts w:ascii="Times New Roman" w:hAnsi="Times New Roman" w:cs="Times New Roman"/>
                                <w:b/>
                                <w:bCs/>
                                <w:noProof/>
                                <w:sz w:val="24"/>
                                <w:szCs w:val="24"/>
                                <w:lang w:eastAsia="bg-BG"/>
                              </w:rPr>
                              <w:drawing>
                                <wp:inline distT="0" distB="0" distL="0" distR="0" wp14:anchorId="34F603B0" wp14:editId="0ADD4BB0">
                                  <wp:extent cx="1145894" cy="1123150"/>
                                  <wp:effectExtent l="0" t="0" r="0" b="127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0435" cy="1127601"/>
                                          </a:xfrm>
                                          <a:prstGeom prst="rect">
                                            <a:avLst/>
                                          </a:prstGeom>
                                          <a:noFill/>
                                          <a:ln>
                                            <a:noFill/>
                                          </a:ln>
                                        </pic:spPr>
                                      </pic:pic>
                                    </a:graphicData>
                                  </a:graphic>
                                </wp:inline>
                              </w:drawing>
                            </w:r>
                          </w:p>
                          <w:p w14:paraId="2444E6E7" w14:textId="77777777" w:rsidR="005B06EC" w:rsidRPr="006B6EBF" w:rsidRDefault="005B06EC" w:rsidP="00644170">
                            <w:pPr>
                              <w:spacing w:after="0" w:line="240" w:lineRule="auto"/>
                              <w:jc w:val="center"/>
                              <w:rPr>
                                <w:rFonts w:ascii="Times New Roman" w:hAnsi="Times New Roman" w:cs="Times New Roman"/>
                                <w:b/>
                                <w:bCs/>
                                <w:sz w:val="24"/>
                                <w:szCs w:val="24"/>
                              </w:rPr>
                            </w:pPr>
                          </w:p>
                          <w:p w14:paraId="42E3D62B"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 МИННО-ГЕОЛОЖКИ УНИВЕРСИТЕТ „СВ. ИВАН РИЛСКИ“</w:t>
                            </w:r>
                          </w:p>
                          <w:p w14:paraId="399C0DE2"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ГЕОЛОГОПРОУЧВАТЕЛЕН ФАКУЛТЕТ</w:t>
                            </w:r>
                          </w:p>
                          <w:p w14:paraId="32CD5DE9"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КАТЕДРА „ГЕОЛОГИЯ И ПРОУЧВАНЕ НА ПОЛЕЗНИТЕ ИЗКОПАЕМИ“</w:t>
                            </w:r>
                          </w:p>
                          <w:p w14:paraId="0B988013"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747616DD" w14:textId="4B54ABA8" w:rsidR="009F37D9" w:rsidRDefault="009F37D9" w:rsidP="00644170">
                            <w:pPr>
                              <w:spacing w:after="0" w:line="240" w:lineRule="auto"/>
                              <w:jc w:val="center"/>
                              <w:rPr>
                                <w:rFonts w:ascii="Times New Roman" w:hAnsi="Times New Roman" w:cs="Times New Roman"/>
                                <w:b/>
                                <w:bCs/>
                                <w:sz w:val="24"/>
                                <w:szCs w:val="24"/>
                              </w:rPr>
                            </w:pPr>
                          </w:p>
                          <w:p w14:paraId="0A4A3B4E" w14:textId="77777777" w:rsidR="005B06EC" w:rsidRPr="006B6EBF" w:rsidRDefault="005B06EC" w:rsidP="00644170">
                            <w:pPr>
                              <w:spacing w:after="0" w:line="240" w:lineRule="auto"/>
                              <w:jc w:val="center"/>
                              <w:rPr>
                                <w:rFonts w:ascii="Times New Roman" w:hAnsi="Times New Roman" w:cs="Times New Roman"/>
                                <w:b/>
                                <w:bCs/>
                                <w:sz w:val="24"/>
                                <w:szCs w:val="24"/>
                              </w:rPr>
                            </w:pPr>
                          </w:p>
                          <w:p w14:paraId="715824CD"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маг. инж. Гергана Георгиева Мерачева </w:t>
                            </w:r>
                          </w:p>
                          <w:p w14:paraId="5D88CAE0"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63DBDDB2"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04D4EC34"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ТЕМА: НЕФТОГАЗОНОСНА ПЕРСПЕКТИВНОСТ НА ЮГОИЗТОЧНАТА ЧАСТ НА ГОРНОТРАКИЙСКАТА НИЗИНА</w:t>
                            </w:r>
                          </w:p>
                          <w:p w14:paraId="77764800" w14:textId="4611703E" w:rsidR="009F37D9" w:rsidRDefault="009F37D9" w:rsidP="00644170">
                            <w:pPr>
                              <w:spacing w:after="0" w:line="240" w:lineRule="auto"/>
                              <w:jc w:val="center"/>
                              <w:rPr>
                                <w:rFonts w:ascii="Times New Roman" w:hAnsi="Times New Roman" w:cs="Times New Roman"/>
                                <w:b/>
                                <w:bCs/>
                                <w:sz w:val="24"/>
                                <w:szCs w:val="24"/>
                              </w:rPr>
                            </w:pPr>
                          </w:p>
                          <w:p w14:paraId="260BD81C"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0FB52249" w14:textId="77777777" w:rsidR="009F37D9" w:rsidRPr="006B469B" w:rsidRDefault="009F37D9" w:rsidP="00644170">
                            <w:pPr>
                              <w:spacing w:after="0" w:line="240" w:lineRule="auto"/>
                              <w:jc w:val="center"/>
                              <w:rPr>
                                <w:rFonts w:ascii="Times New Roman" w:hAnsi="Times New Roman" w:cs="Times New Roman"/>
                                <w:b/>
                                <w:bCs/>
                                <w:spacing w:val="20"/>
                                <w:sz w:val="24"/>
                                <w:szCs w:val="24"/>
                              </w:rPr>
                            </w:pPr>
                            <w:r w:rsidRPr="006B469B">
                              <w:rPr>
                                <w:rFonts w:ascii="Times New Roman" w:hAnsi="Times New Roman" w:cs="Times New Roman"/>
                                <w:b/>
                                <w:bCs/>
                                <w:spacing w:val="20"/>
                                <w:sz w:val="24"/>
                                <w:szCs w:val="24"/>
                              </w:rPr>
                              <w:t>АВТОРЕФЕРАТ</w:t>
                            </w:r>
                          </w:p>
                          <w:p w14:paraId="32F10EC8"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64D0D456"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3A6EE499" w14:textId="0A2B32A1"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на дисертация за </w:t>
                            </w:r>
                            <w:bookmarkStart w:id="0" w:name="_Hlk7780036"/>
                            <w:r>
                              <w:rPr>
                                <w:rFonts w:ascii="Times New Roman" w:hAnsi="Times New Roman" w:cs="Times New Roman"/>
                                <w:b/>
                                <w:bCs/>
                                <w:sz w:val="24"/>
                                <w:szCs w:val="24"/>
                              </w:rPr>
                              <w:t>присъждане</w:t>
                            </w:r>
                            <w:r w:rsidRPr="006B6EBF">
                              <w:rPr>
                                <w:rFonts w:ascii="Times New Roman" w:hAnsi="Times New Roman" w:cs="Times New Roman"/>
                                <w:b/>
                                <w:bCs/>
                                <w:sz w:val="24"/>
                                <w:szCs w:val="24"/>
                              </w:rPr>
                              <w:t xml:space="preserve"> </w:t>
                            </w:r>
                            <w:bookmarkEnd w:id="0"/>
                            <w:r w:rsidRPr="006B6EBF">
                              <w:rPr>
                                <w:rFonts w:ascii="Times New Roman" w:hAnsi="Times New Roman" w:cs="Times New Roman"/>
                                <w:b/>
                                <w:bCs/>
                                <w:sz w:val="24"/>
                                <w:szCs w:val="24"/>
                              </w:rPr>
                              <w:t>на образователна и научна степен „Доктор“</w:t>
                            </w:r>
                          </w:p>
                          <w:p w14:paraId="4B449700"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по научна специалност: „Геология и проучване на полезните изкопаеми“</w:t>
                            </w:r>
                          </w:p>
                          <w:p w14:paraId="2161B78A"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професионално направление 5.8. Проучване, добив и обработка на полезни изкопаеми</w:t>
                            </w:r>
                          </w:p>
                          <w:p w14:paraId="3CCAE91F" w14:textId="77777777" w:rsidR="009F37D9" w:rsidRPr="006B6EBF" w:rsidRDefault="009F37D9" w:rsidP="00644170">
                            <w:pPr>
                              <w:spacing w:after="0" w:line="240" w:lineRule="auto"/>
                              <w:rPr>
                                <w:rFonts w:ascii="Times New Roman" w:hAnsi="Times New Roman" w:cs="Times New Roman"/>
                                <w:b/>
                                <w:bCs/>
                                <w:sz w:val="24"/>
                                <w:szCs w:val="24"/>
                              </w:rPr>
                            </w:pPr>
                          </w:p>
                          <w:p w14:paraId="4F5E28BF"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 </w:t>
                            </w:r>
                          </w:p>
                          <w:p w14:paraId="6A4E0319" w14:textId="77777777" w:rsidR="009F37D9" w:rsidRPr="006B6EBF" w:rsidRDefault="009F37D9" w:rsidP="00644170">
                            <w:pPr>
                              <w:spacing w:after="0" w:line="240" w:lineRule="auto"/>
                              <w:rPr>
                                <w:rFonts w:ascii="Times New Roman" w:hAnsi="Times New Roman" w:cs="Times New Roman"/>
                                <w:b/>
                                <w:bCs/>
                                <w:sz w:val="24"/>
                                <w:szCs w:val="24"/>
                              </w:rPr>
                            </w:pPr>
                          </w:p>
                          <w:p w14:paraId="4DD9BC82" w14:textId="77777777" w:rsidR="009F37D9" w:rsidRPr="006B6EBF" w:rsidRDefault="009F37D9" w:rsidP="00644170">
                            <w:pPr>
                              <w:spacing w:after="0" w:line="240" w:lineRule="auto"/>
                              <w:rPr>
                                <w:rFonts w:ascii="Times New Roman" w:hAnsi="Times New Roman" w:cs="Times New Roman"/>
                                <w:b/>
                                <w:bCs/>
                                <w:sz w:val="24"/>
                                <w:szCs w:val="24"/>
                              </w:rPr>
                            </w:pPr>
                          </w:p>
                          <w:p w14:paraId="3521ACAE" w14:textId="77777777" w:rsidR="009F37D9" w:rsidRPr="006B6EBF" w:rsidRDefault="009F37D9" w:rsidP="00644170">
                            <w:pPr>
                              <w:spacing w:after="0" w:line="240" w:lineRule="auto"/>
                              <w:rPr>
                                <w:rFonts w:ascii="Times New Roman" w:hAnsi="Times New Roman" w:cs="Times New Roman"/>
                                <w:b/>
                                <w:bCs/>
                                <w:sz w:val="24"/>
                                <w:szCs w:val="24"/>
                              </w:rPr>
                            </w:pPr>
                          </w:p>
                          <w:p w14:paraId="67EA66CD"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 </w:t>
                            </w:r>
                          </w:p>
                          <w:p w14:paraId="2676AD47"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Научен ръководител: доц. д-р Ефросима Занева – Добранова </w:t>
                            </w:r>
                          </w:p>
                          <w:p w14:paraId="31E2385D"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Научен консултант: проф. д-р Мая Стефанова</w:t>
                            </w:r>
                          </w:p>
                          <w:p w14:paraId="4E990AC5" w14:textId="77777777" w:rsidR="009F37D9" w:rsidRPr="006B6EBF" w:rsidRDefault="009F37D9" w:rsidP="00644170">
                            <w:pPr>
                              <w:spacing w:after="0" w:line="240" w:lineRule="auto"/>
                              <w:rPr>
                                <w:rFonts w:ascii="Times New Roman" w:hAnsi="Times New Roman" w:cs="Times New Roman"/>
                                <w:b/>
                                <w:bCs/>
                                <w:sz w:val="24"/>
                                <w:szCs w:val="24"/>
                              </w:rPr>
                            </w:pPr>
                          </w:p>
                          <w:p w14:paraId="603F103D" w14:textId="77777777" w:rsidR="009F37D9" w:rsidRPr="006B6EBF" w:rsidRDefault="009F37D9" w:rsidP="00644170">
                            <w:pPr>
                              <w:spacing w:after="0" w:line="240" w:lineRule="auto"/>
                              <w:rPr>
                                <w:rFonts w:ascii="Times New Roman" w:hAnsi="Times New Roman" w:cs="Times New Roman"/>
                                <w:b/>
                                <w:bCs/>
                                <w:sz w:val="24"/>
                                <w:szCs w:val="24"/>
                              </w:rPr>
                            </w:pPr>
                          </w:p>
                          <w:p w14:paraId="6E5EEAD8" w14:textId="77777777" w:rsidR="009F37D9" w:rsidRPr="006B6EBF" w:rsidRDefault="009F37D9" w:rsidP="00644170">
                            <w:pPr>
                              <w:spacing w:after="0" w:line="240" w:lineRule="auto"/>
                              <w:rPr>
                                <w:rFonts w:ascii="Times New Roman" w:hAnsi="Times New Roman" w:cs="Times New Roman"/>
                                <w:b/>
                                <w:bCs/>
                                <w:sz w:val="24"/>
                                <w:szCs w:val="24"/>
                              </w:rPr>
                            </w:pPr>
                          </w:p>
                          <w:p w14:paraId="4A6455E2" w14:textId="77777777" w:rsidR="009F37D9" w:rsidRPr="006B6EBF" w:rsidRDefault="009F37D9" w:rsidP="00644170">
                            <w:pPr>
                              <w:spacing w:after="0" w:line="240" w:lineRule="auto"/>
                              <w:rPr>
                                <w:rFonts w:ascii="Times New Roman" w:hAnsi="Times New Roman" w:cs="Times New Roman"/>
                                <w:b/>
                                <w:bCs/>
                                <w:sz w:val="24"/>
                                <w:szCs w:val="24"/>
                              </w:rPr>
                            </w:pPr>
                          </w:p>
                          <w:p w14:paraId="063F8ADC" w14:textId="77777777" w:rsidR="009F37D9" w:rsidRPr="006B6EBF" w:rsidRDefault="009F37D9" w:rsidP="00644170">
                            <w:pPr>
                              <w:spacing w:after="0" w:line="240" w:lineRule="auto"/>
                              <w:rPr>
                                <w:rFonts w:ascii="Times New Roman" w:hAnsi="Times New Roman" w:cs="Times New Roman"/>
                                <w:b/>
                                <w:bCs/>
                                <w:sz w:val="24"/>
                                <w:szCs w:val="24"/>
                              </w:rPr>
                            </w:pPr>
                          </w:p>
                          <w:p w14:paraId="4EBEBF89" w14:textId="77777777" w:rsidR="009F37D9" w:rsidRPr="006B6EBF" w:rsidRDefault="009F37D9" w:rsidP="00644170">
                            <w:pPr>
                              <w:spacing w:after="0" w:line="240" w:lineRule="auto"/>
                              <w:rPr>
                                <w:rFonts w:ascii="Times New Roman" w:hAnsi="Times New Roman" w:cs="Times New Roman"/>
                                <w:b/>
                                <w:bCs/>
                                <w:sz w:val="24"/>
                                <w:szCs w:val="24"/>
                              </w:rPr>
                            </w:pPr>
                          </w:p>
                          <w:p w14:paraId="06C6CBA8"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София</w:t>
                            </w:r>
                            <w:r w:rsidRPr="006B6EBF">
                              <w:rPr>
                                <w:rFonts w:ascii="Times New Roman" w:hAnsi="Times New Roman" w:cs="Times New Roman"/>
                                <w:b/>
                                <w:bCs/>
                                <w:sz w:val="24"/>
                                <w:szCs w:val="24"/>
                                <w:lang w:val="en-US"/>
                              </w:rPr>
                              <w:t>,</w:t>
                            </w:r>
                            <w:r w:rsidRPr="006B6EBF">
                              <w:rPr>
                                <w:rFonts w:ascii="Times New Roman" w:hAnsi="Times New Roman" w:cs="Times New Roman"/>
                                <w:b/>
                                <w:bCs/>
                                <w:sz w:val="24"/>
                                <w:szCs w:val="24"/>
                              </w:rPr>
                              <w:t xml:space="preserve"> 2019</w:t>
                            </w:r>
                          </w:p>
                          <w:p w14:paraId="4C4E4600" w14:textId="16008021" w:rsidR="009F37D9" w:rsidRDefault="009F37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CDB9747" id="_x0000_t202" coordsize="21600,21600" o:spt="202" path="m,l,21600r21600,l21600,xe">
                <v:stroke joinstyle="miter"/>
                <v:path gradientshapeok="t" o:connecttype="rect"/>
              </v:shapetype>
              <v:shape id="Текстово поле 2" o:spid="_x0000_s1026" type="#_x0000_t202" style="position:absolute;margin-left:0;margin-top:17.7pt;width:519.5pt;height:692pt;z-index:2516674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" strokecolor="#323e4f [2415]">
                <v:shadow on="t" type="perspective" color="black" opacity="26214f" offset="0,0" matrix="66847f,,,66847f"/>
                <v:textbox>
                  <w:txbxContent>
                    <w:p w14:paraId="4DEE1D38" w14:textId="66AD5FE6" w:rsidR="009F37D9" w:rsidRDefault="005B06EC" w:rsidP="00644170">
                      <w:pPr>
                        <w:spacing w:after="0" w:line="240" w:lineRule="auto"/>
                        <w:jc w:val="center"/>
                        <w:rPr>
                          <w:rFonts w:ascii="Times New Roman" w:hAnsi="Times New Roman" w:cs="Times New Roman"/>
                          <w:b/>
                          <w:bCs/>
                          <w:sz w:val="24"/>
                          <w:szCs w:val="24"/>
                        </w:rPr>
                      </w:pPr>
                      <w:bookmarkStart w:id="2" w:name="_GoBack"/>
                      <w:r w:rsidRPr="005B06EC">
                        <w:rPr>
                          <w:rFonts w:ascii="Times New Roman" w:hAnsi="Times New Roman" w:cs="Times New Roman"/>
                          <w:b/>
                          <w:bCs/>
                          <w:noProof/>
                          <w:sz w:val="24"/>
                          <w:szCs w:val="24"/>
                        </w:rPr>
                        <w:drawing>
                          <wp:inline distT="0" distB="0" distL="0" distR="0" wp14:anchorId="34F603B0" wp14:editId="0ADD4BB0">
                            <wp:extent cx="1145894" cy="1123150"/>
                            <wp:effectExtent l="0" t="0" r="0" b="1270"/>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0435" cy="1127601"/>
                                    </a:xfrm>
                                    <a:prstGeom prst="rect">
                                      <a:avLst/>
                                    </a:prstGeom>
                                    <a:noFill/>
                                    <a:ln>
                                      <a:noFill/>
                                    </a:ln>
                                  </pic:spPr>
                                </pic:pic>
                              </a:graphicData>
                            </a:graphic>
                          </wp:inline>
                        </w:drawing>
                      </w:r>
                    </w:p>
                    <w:p w14:paraId="2444E6E7" w14:textId="77777777" w:rsidR="005B06EC" w:rsidRPr="006B6EBF" w:rsidRDefault="005B06EC" w:rsidP="00644170">
                      <w:pPr>
                        <w:spacing w:after="0" w:line="240" w:lineRule="auto"/>
                        <w:jc w:val="center"/>
                        <w:rPr>
                          <w:rFonts w:ascii="Times New Roman" w:hAnsi="Times New Roman" w:cs="Times New Roman"/>
                          <w:b/>
                          <w:bCs/>
                          <w:sz w:val="24"/>
                          <w:szCs w:val="24"/>
                        </w:rPr>
                      </w:pPr>
                    </w:p>
                    <w:p w14:paraId="42E3D62B"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 МИННО-ГЕОЛОЖКИ УНИВЕРСИТЕТ „СВ. ИВАН РИЛСКИ“</w:t>
                      </w:r>
                    </w:p>
                    <w:p w14:paraId="399C0DE2"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ГЕОЛОГОПРОУЧВАТЕЛЕН ФАКУЛТЕТ</w:t>
                      </w:r>
                    </w:p>
                    <w:p w14:paraId="32CD5DE9"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КАТЕДРА „ГЕОЛОГИЯ И ПРОУЧВАНЕ НА ПОЛЕЗНИТЕ ИЗКОПАЕМИ“</w:t>
                      </w:r>
                    </w:p>
                    <w:p w14:paraId="0B988013"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747616DD" w14:textId="4B54ABA8" w:rsidR="009F37D9" w:rsidRDefault="009F37D9" w:rsidP="00644170">
                      <w:pPr>
                        <w:spacing w:after="0" w:line="240" w:lineRule="auto"/>
                        <w:jc w:val="center"/>
                        <w:rPr>
                          <w:rFonts w:ascii="Times New Roman" w:hAnsi="Times New Roman" w:cs="Times New Roman"/>
                          <w:b/>
                          <w:bCs/>
                          <w:sz w:val="24"/>
                          <w:szCs w:val="24"/>
                        </w:rPr>
                      </w:pPr>
                    </w:p>
                    <w:p w14:paraId="0A4A3B4E" w14:textId="77777777" w:rsidR="005B06EC" w:rsidRPr="006B6EBF" w:rsidRDefault="005B06EC" w:rsidP="00644170">
                      <w:pPr>
                        <w:spacing w:after="0" w:line="240" w:lineRule="auto"/>
                        <w:jc w:val="center"/>
                        <w:rPr>
                          <w:rFonts w:ascii="Times New Roman" w:hAnsi="Times New Roman" w:cs="Times New Roman"/>
                          <w:b/>
                          <w:bCs/>
                          <w:sz w:val="24"/>
                          <w:szCs w:val="24"/>
                        </w:rPr>
                      </w:pPr>
                    </w:p>
                    <w:p w14:paraId="715824CD"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маг. инж. Гергана Георгиева </w:t>
                      </w:r>
                      <w:proofErr w:type="spellStart"/>
                      <w:r w:rsidRPr="006B6EBF">
                        <w:rPr>
                          <w:rFonts w:ascii="Times New Roman" w:hAnsi="Times New Roman" w:cs="Times New Roman"/>
                          <w:b/>
                          <w:bCs/>
                          <w:sz w:val="24"/>
                          <w:szCs w:val="24"/>
                        </w:rPr>
                        <w:t>Мерачева</w:t>
                      </w:r>
                      <w:proofErr w:type="spellEnd"/>
                      <w:r w:rsidRPr="006B6EBF">
                        <w:rPr>
                          <w:rFonts w:ascii="Times New Roman" w:hAnsi="Times New Roman" w:cs="Times New Roman"/>
                          <w:b/>
                          <w:bCs/>
                          <w:sz w:val="24"/>
                          <w:szCs w:val="24"/>
                        </w:rPr>
                        <w:t xml:space="preserve"> </w:t>
                      </w:r>
                    </w:p>
                    <w:p w14:paraId="5D88CAE0"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63DBDDB2"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04D4EC34"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ТЕМА: НЕФТОГАЗОНОСНА ПЕРСПЕКТИВНОСТ НА ЮГОИЗТОЧНАТА ЧАСТ НА ГОРНОТРАКИЙСКАТА НИЗИНА</w:t>
                      </w:r>
                    </w:p>
                    <w:p w14:paraId="77764800" w14:textId="4611703E" w:rsidR="009F37D9" w:rsidRDefault="009F37D9" w:rsidP="00644170">
                      <w:pPr>
                        <w:spacing w:after="0" w:line="240" w:lineRule="auto"/>
                        <w:jc w:val="center"/>
                        <w:rPr>
                          <w:rFonts w:ascii="Times New Roman" w:hAnsi="Times New Roman" w:cs="Times New Roman"/>
                          <w:b/>
                          <w:bCs/>
                          <w:sz w:val="24"/>
                          <w:szCs w:val="24"/>
                        </w:rPr>
                      </w:pPr>
                    </w:p>
                    <w:p w14:paraId="260BD81C"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0FB52249" w14:textId="77777777" w:rsidR="009F37D9" w:rsidRPr="006B469B" w:rsidRDefault="009F37D9" w:rsidP="00644170">
                      <w:pPr>
                        <w:spacing w:after="0" w:line="240" w:lineRule="auto"/>
                        <w:jc w:val="center"/>
                        <w:rPr>
                          <w:rFonts w:ascii="Times New Roman" w:hAnsi="Times New Roman" w:cs="Times New Roman"/>
                          <w:b/>
                          <w:bCs/>
                          <w:spacing w:val="20"/>
                          <w:sz w:val="24"/>
                          <w:szCs w:val="24"/>
                        </w:rPr>
                      </w:pPr>
                      <w:r w:rsidRPr="006B469B">
                        <w:rPr>
                          <w:rFonts w:ascii="Times New Roman" w:hAnsi="Times New Roman" w:cs="Times New Roman"/>
                          <w:b/>
                          <w:bCs/>
                          <w:spacing w:val="20"/>
                          <w:sz w:val="24"/>
                          <w:szCs w:val="24"/>
                        </w:rPr>
                        <w:t>АВТОРЕФЕРАТ</w:t>
                      </w:r>
                    </w:p>
                    <w:p w14:paraId="32F10EC8"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64D0D456" w14:textId="77777777" w:rsidR="009F37D9" w:rsidRPr="006B6EBF" w:rsidRDefault="009F37D9" w:rsidP="00644170">
                      <w:pPr>
                        <w:spacing w:after="0" w:line="240" w:lineRule="auto"/>
                        <w:jc w:val="center"/>
                        <w:rPr>
                          <w:rFonts w:ascii="Times New Roman" w:hAnsi="Times New Roman" w:cs="Times New Roman"/>
                          <w:b/>
                          <w:bCs/>
                          <w:sz w:val="24"/>
                          <w:szCs w:val="24"/>
                        </w:rPr>
                      </w:pPr>
                    </w:p>
                    <w:p w14:paraId="3A6EE499" w14:textId="0A2B32A1"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 xml:space="preserve">на дисертация за </w:t>
                      </w:r>
                      <w:bookmarkStart w:id="3" w:name="_Hlk7780036"/>
                      <w:r>
                        <w:rPr>
                          <w:rFonts w:ascii="Times New Roman" w:hAnsi="Times New Roman" w:cs="Times New Roman"/>
                          <w:b/>
                          <w:bCs/>
                          <w:sz w:val="24"/>
                          <w:szCs w:val="24"/>
                        </w:rPr>
                        <w:t>присъждане</w:t>
                      </w:r>
                      <w:r w:rsidRPr="006B6EBF">
                        <w:rPr>
                          <w:rFonts w:ascii="Times New Roman" w:hAnsi="Times New Roman" w:cs="Times New Roman"/>
                          <w:b/>
                          <w:bCs/>
                          <w:sz w:val="24"/>
                          <w:szCs w:val="24"/>
                        </w:rPr>
                        <w:t xml:space="preserve"> </w:t>
                      </w:r>
                      <w:bookmarkEnd w:id="3"/>
                      <w:r w:rsidRPr="006B6EBF">
                        <w:rPr>
                          <w:rFonts w:ascii="Times New Roman" w:hAnsi="Times New Roman" w:cs="Times New Roman"/>
                          <w:b/>
                          <w:bCs/>
                          <w:sz w:val="24"/>
                          <w:szCs w:val="24"/>
                        </w:rPr>
                        <w:t>на образователна и научна степен „Доктор“</w:t>
                      </w:r>
                    </w:p>
                    <w:p w14:paraId="4B449700"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по научна специалност: „Геология и проучване на полезните изкопаеми“</w:t>
                      </w:r>
                    </w:p>
                    <w:p w14:paraId="2161B78A"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професионално направление 5.8. Проучване, добив и обработка на полезни изкопаеми</w:t>
                      </w:r>
                    </w:p>
                    <w:p w14:paraId="3CCAE91F" w14:textId="77777777" w:rsidR="009F37D9" w:rsidRPr="006B6EBF" w:rsidRDefault="009F37D9" w:rsidP="00644170">
                      <w:pPr>
                        <w:spacing w:after="0" w:line="240" w:lineRule="auto"/>
                        <w:rPr>
                          <w:rFonts w:ascii="Times New Roman" w:hAnsi="Times New Roman" w:cs="Times New Roman"/>
                          <w:b/>
                          <w:bCs/>
                          <w:sz w:val="24"/>
                          <w:szCs w:val="24"/>
                        </w:rPr>
                      </w:pPr>
                    </w:p>
                    <w:p w14:paraId="4F5E28BF"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 </w:t>
                      </w:r>
                    </w:p>
                    <w:p w14:paraId="6A4E0319" w14:textId="77777777" w:rsidR="009F37D9" w:rsidRPr="006B6EBF" w:rsidRDefault="009F37D9" w:rsidP="00644170">
                      <w:pPr>
                        <w:spacing w:after="0" w:line="240" w:lineRule="auto"/>
                        <w:rPr>
                          <w:rFonts w:ascii="Times New Roman" w:hAnsi="Times New Roman" w:cs="Times New Roman"/>
                          <w:b/>
                          <w:bCs/>
                          <w:sz w:val="24"/>
                          <w:szCs w:val="24"/>
                        </w:rPr>
                      </w:pPr>
                    </w:p>
                    <w:p w14:paraId="4DD9BC82" w14:textId="77777777" w:rsidR="009F37D9" w:rsidRPr="006B6EBF" w:rsidRDefault="009F37D9" w:rsidP="00644170">
                      <w:pPr>
                        <w:spacing w:after="0" w:line="240" w:lineRule="auto"/>
                        <w:rPr>
                          <w:rFonts w:ascii="Times New Roman" w:hAnsi="Times New Roman" w:cs="Times New Roman"/>
                          <w:b/>
                          <w:bCs/>
                          <w:sz w:val="24"/>
                          <w:szCs w:val="24"/>
                        </w:rPr>
                      </w:pPr>
                    </w:p>
                    <w:p w14:paraId="3521ACAE" w14:textId="77777777" w:rsidR="009F37D9" w:rsidRPr="006B6EBF" w:rsidRDefault="009F37D9" w:rsidP="00644170">
                      <w:pPr>
                        <w:spacing w:after="0" w:line="240" w:lineRule="auto"/>
                        <w:rPr>
                          <w:rFonts w:ascii="Times New Roman" w:hAnsi="Times New Roman" w:cs="Times New Roman"/>
                          <w:b/>
                          <w:bCs/>
                          <w:sz w:val="24"/>
                          <w:szCs w:val="24"/>
                        </w:rPr>
                      </w:pPr>
                    </w:p>
                    <w:p w14:paraId="67EA66CD"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 </w:t>
                      </w:r>
                    </w:p>
                    <w:p w14:paraId="2676AD47"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 xml:space="preserve">Научен ръководител: доц. д-р </w:t>
                      </w:r>
                      <w:proofErr w:type="spellStart"/>
                      <w:r w:rsidRPr="006B6EBF">
                        <w:rPr>
                          <w:rFonts w:ascii="Times New Roman" w:hAnsi="Times New Roman" w:cs="Times New Roman"/>
                          <w:b/>
                          <w:bCs/>
                          <w:sz w:val="24"/>
                          <w:szCs w:val="24"/>
                        </w:rPr>
                        <w:t>Ефросима</w:t>
                      </w:r>
                      <w:proofErr w:type="spellEnd"/>
                      <w:r w:rsidRPr="006B6EBF">
                        <w:rPr>
                          <w:rFonts w:ascii="Times New Roman" w:hAnsi="Times New Roman" w:cs="Times New Roman"/>
                          <w:b/>
                          <w:bCs/>
                          <w:sz w:val="24"/>
                          <w:szCs w:val="24"/>
                        </w:rPr>
                        <w:t xml:space="preserve"> Занева – </w:t>
                      </w:r>
                      <w:proofErr w:type="spellStart"/>
                      <w:r w:rsidRPr="006B6EBF">
                        <w:rPr>
                          <w:rFonts w:ascii="Times New Roman" w:hAnsi="Times New Roman" w:cs="Times New Roman"/>
                          <w:b/>
                          <w:bCs/>
                          <w:sz w:val="24"/>
                          <w:szCs w:val="24"/>
                        </w:rPr>
                        <w:t>Добранова</w:t>
                      </w:r>
                      <w:proofErr w:type="spellEnd"/>
                      <w:r w:rsidRPr="006B6EBF">
                        <w:rPr>
                          <w:rFonts w:ascii="Times New Roman" w:hAnsi="Times New Roman" w:cs="Times New Roman"/>
                          <w:b/>
                          <w:bCs/>
                          <w:sz w:val="24"/>
                          <w:szCs w:val="24"/>
                        </w:rPr>
                        <w:t xml:space="preserve"> </w:t>
                      </w:r>
                    </w:p>
                    <w:p w14:paraId="31E2385D" w14:textId="77777777" w:rsidR="009F37D9" w:rsidRPr="006B6EBF" w:rsidRDefault="009F37D9" w:rsidP="00644170">
                      <w:pPr>
                        <w:spacing w:after="0" w:line="240" w:lineRule="auto"/>
                        <w:rPr>
                          <w:rFonts w:ascii="Times New Roman" w:hAnsi="Times New Roman" w:cs="Times New Roman"/>
                          <w:b/>
                          <w:bCs/>
                          <w:sz w:val="24"/>
                          <w:szCs w:val="24"/>
                        </w:rPr>
                      </w:pPr>
                      <w:r w:rsidRPr="006B6EBF">
                        <w:rPr>
                          <w:rFonts w:ascii="Times New Roman" w:hAnsi="Times New Roman" w:cs="Times New Roman"/>
                          <w:b/>
                          <w:bCs/>
                          <w:sz w:val="24"/>
                          <w:szCs w:val="24"/>
                        </w:rPr>
                        <w:t>Научен консултант: проф. д-р Мая Стефанова</w:t>
                      </w:r>
                    </w:p>
                    <w:p w14:paraId="4E990AC5" w14:textId="77777777" w:rsidR="009F37D9" w:rsidRPr="006B6EBF" w:rsidRDefault="009F37D9" w:rsidP="00644170">
                      <w:pPr>
                        <w:spacing w:after="0" w:line="240" w:lineRule="auto"/>
                        <w:rPr>
                          <w:rFonts w:ascii="Times New Roman" w:hAnsi="Times New Roman" w:cs="Times New Roman"/>
                          <w:b/>
                          <w:bCs/>
                          <w:sz w:val="24"/>
                          <w:szCs w:val="24"/>
                        </w:rPr>
                      </w:pPr>
                    </w:p>
                    <w:p w14:paraId="603F103D" w14:textId="77777777" w:rsidR="009F37D9" w:rsidRPr="006B6EBF" w:rsidRDefault="009F37D9" w:rsidP="00644170">
                      <w:pPr>
                        <w:spacing w:after="0" w:line="240" w:lineRule="auto"/>
                        <w:rPr>
                          <w:rFonts w:ascii="Times New Roman" w:hAnsi="Times New Roman" w:cs="Times New Roman"/>
                          <w:b/>
                          <w:bCs/>
                          <w:sz w:val="24"/>
                          <w:szCs w:val="24"/>
                        </w:rPr>
                      </w:pPr>
                    </w:p>
                    <w:p w14:paraId="6E5EEAD8" w14:textId="77777777" w:rsidR="009F37D9" w:rsidRPr="006B6EBF" w:rsidRDefault="009F37D9" w:rsidP="00644170">
                      <w:pPr>
                        <w:spacing w:after="0" w:line="240" w:lineRule="auto"/>
                        <w:rPr>
                          <w:rFonts w:ascii="Times New Roman" w:hAnsi="Times New Roman" w:cs="Times New Roman"/>
                          <w:b/>
                          <w:bCs/>
                          <w:sz w:val="24"/>
                          <w:szCs w:val="24"/>
                        </w:rPr>
                      </w:pPr>
                    </w:p>
                    <w:p w14:paraId="4A6455E2" w14:textId="77777777" w:rsidR="009F37D9" w:rsidRPr="006B6EBF" w:rsidRDefault="009F37D9" w:rsidP="00644170">
                      <w:pPr>
                        <w:spacing w:after="0" w:line="240" w:lineRule="auto"/>
                        <w:rPr>
                          <w:rFonts w:ascii="Times New Roman" w:hAnsi="Times New Roman" w:cs="Times New Roman"/>
                          <w:b/>
                          <w:bCs/>
                          <w:sz w:val="24"/>
                          <w:szCs w:val="24"/>
                        </w:rPr>
                      </w:pPr>
                    </w:p>
                    <w:p w14:paraId="063F8ADC" w14:textId="77777777" w:rsidR="009F37D9" w:rsidRPr="006B6EBF" w:rsidRDefault="009F37D9" w:rsidP="00644170">
                      <w:pPr>
                        <w:spacing w:after="0" w:line="240" w:lineRule="auto"/>
                        <w:rPr>
                          <w:rFonts w:ascii="Times New Roman" w:hAnsi="Times New Roman" w:cs="Times New Roman"/>
                          <w:b/>
                          <w:bCs/>
                          <w:sz w:val="24"/>
                          <w:szCs w:val="24"/>
                        </w:rPr>
                      </w:pPr>
                    </w:p>
                    <w:p w14:paraId="4EBEBF89" w14:textId="77777777" w:rsidR="009F37D9" w:rsidRPr="006B6EBF" w:rsidRDefault="009F37D9" w:rsidP="00644170">
                      <w:pPr>
                        <w:spacing w:after="0" w:line="240" w:lineRule="auto"/>
                        <w:rPr>
                          <w:rFonts w:ascii="Times New Roman" w:hAnsi="Times New Roman" w:cs="Times New Roman"/>
                          <w:b/>
                          <w:bCs/>
                          <w:sz w:val="24"/>
                          <w:szCs w:val="24"/>
                        </w:rPr>
                      </w:pPr>
                    </w:p>
                    <w:p w14:paraId="06C6CBA8" w14:textId="77777777" w:rsidR="009F37D9" w:rsidRPr="006B6EBF" w:rsidRDefault="009F37D9" w:rsidP="00644170">
                      <w:pPr>
                        <w:spacing w:after="0" w:line="240" w:lineRule="auto"/>
                        <w:jc w:val="center"/>
                        <w:rPr>
                          <w:rFonts w:ascii="Times New Roman" w:hAnsi="Times New Roman" w:cs="Times New Roman"/>
                          <w:b/>
                          <w:bCs/>
                          <w:sz w:val="24"/>
                          <w:szCs w:val="24"/>
                        </w:rPr>
                      </w:pPr>
                      <w:r w:rsidRPr="006B6EBF">
                        <w:rPr>
                          <w:rFonts w:ascii="Times New Roman" w:hAnsi="Times New Roman" w:cs="Times New Roman"/>
                          <w:b/>
                          <w:bCs/>
                          <w:sz w:val="24"/>
                          <w:szCs w:val="24"/>
                        </w:rPr>
                        <w:t>София</w:t>
                      </w:r>
                      <w:r w:rsidRPr="006B6EBF">
                        <w:rPr>
                          <w:rFonts w:ascii="Times New Roman" w:hAnsi="Times New Roman" w:cs="Times New Roman"/>
                          <w:b/>
                          <w:bCs/>
                          <w:sz w:val="24"/>
                          <w:szCs w:val="24"/>
                          <w:lang w:val="en-US"/>
                        </w:rPr>
                        <w:t>,</w:t>
                      </w:r>
                      <w:r w:rsidRPr="006B6EBF">
                        <w:rPr>
                          <w:rFonts w:ascii="Times New Roman" w:hAnsi="Times New Roman" w:cs="Times New Roman"/>
                          <w:b/>
                          <w:bCs/>
                          <w:sz w:val="24"/>
                          <w:szCs w:val="24"/>
                        </w:rPr>
                        <w:t xml:space="preserve"> 2019</w:t>
                      </w:r>
                    </w:p>
                    <w:bookmarkEnd w:id="2"/>
                    <w:p w14:paraId="4C4E4600" w14:textId="16008021" w:rsidR="009F37D9" w:rsidRDefault="009F37D9"/>
                  </w:txbxContent>
                </v:textbox>
                <w10:wrap type="square" anchorx="margin"/>
              </v:shape>
            </w:pict>
          </mc:Fallback>
        </mc:AlternateContent>
      </w:r>
      <w:r w:rsidR="002F3CB4">
        <w:rPr>
          <w:rFonts w:ascii="Times New Roman" w:hAnsi="Times New Roman" w:cs="Times New Roman"/>
          <w:b/>
          <w:bCs/>
          <w:sz w:val="24"/>
          <w:szCs w:val="24"/>
        </w:rPr>
        <w:tab/>
      </w:r>
      <w:r w:rsidR="002F3CB4">
        <w:rPr>
          <w:rFonts w:ascii="Times New Roman" w:hAnsi="Times New Roman" w:cs="Times New Roman"/>
          <w:b/>
          <w:bCs/>
          <w:sz w:val="24"/>
          <w:szCs w:val="24"/>
        </w:rPr>
        <w:tab/>
      </w:r>
    </w:p>
    <w:p w14:paraId="7375A8C3" w14:textId="77777777" w:rsidR="00602A10" w:rsidRDefault="00602A10" w:rsidP="00602A10">
      <w:pPr>
        <w:pStyle w:val="BodyTextIndent"/>
        <w:spacing w:after="0" w:line="240" w:lineRule="auto"/>
        <w:ind w:left="0"/>
        <w:jc w:val="both"/>
        <w:rPr>
          <w:rFonts w:ascii="Times New Roman" w:hAnsi="Times New Roman" w:cs="Times New Roman"/>
          <w:sz w:val="24"/>
          <w:szCs w:val="24"/>
        </w:rPr>
      </w:pPr>
      <w:bookmarkStart w:id="1" w:name="_Hlk1125106"/>
    </w:p>
    <w:p w14:paraId="334D14DC" w14:textId="31BDA106" w:rsidR="00A27F54" w:rsidRPr="0096493B" w:rsidRDefault="00A27F54" w:rsidP="00602A10">
      <w:pPr>
        <w:pStyle w:val="BodyTextIndent"/>
        <w:spacing w:after="0" w:line="240" w:lineRule="auto"/>
        <w:ind w:left="0" w:firstLine="709"/>
        <w:jc w:val="both"/>
        <w:rPr>
          <w:rFonts w:ascii="Times New Roman" w:hAnsi="Times New Roman" w:cs="Times New Roman"/>
          <w:sz w:val="24"/>
          <w:szCs w:val="24"/>
        </w:rPr>
      </w:pPr>
      <w:r w:rsidRPr="0096493B">
        <w:rPr>
          <w:rFonts w:ascii="Times New Roman" w:hAnsi="Times New Roman" w:cs="Times New Roman"/>
          <w:sz w:val="24"/>
          <w:szCs w:val="24"/>
        </w:rPr>
        <w:t>Дисертационната работа</w:t>
      </w:r>
      <w:r w:rsidR="0096493B">
        <w:rPr>
          <w:rFonts w:ascii="Times New Roman" w:hAnsi="Times New Roman" w:cs="Times New Roman"/>
          <w:sz w:val="24"/>
          <w:szCs w:val="24"/>
        </w:rPr>
        <w:t xml:space="preserve"> </w:t>
      </w:r>
      <w:r w:rsidRPr="0096493B">
        <w:rPr>
          <w:rFonts w:ascii="Times New Roman" w:hAnsi="Times New Roman" w:cs="Times New Roman"/>
          <w:sz w:val="24"/>
          <w:szCs w:val="24"/>
        </w:rPr>
        <w:t xml:space="preserve">съдържа </w:t>
      </w:r>
      <w:r w:rsidR="00602A10">
        <w:rPr>
          <w:rFonts w:ascii="Times New Roman" w:hAnsi="Times New Roman" w:cs="Times New Roman"/>
          <w:sz w:val="24"/>
          <w:szCs w:val="24"/>
        </w:rPr>
        <w:t>156</w:t>
      </w:r>
      <w:r w:rsidRPr="0096493B">
        <w:rPr>
          <w:rFonts w:ascii="Times New Roman" w:hAnsi="Times New Roman" w:cs="Times New Roman"/>
          <w:sz w:val="24"/>
          <w:szCs w:val="24"/>
        </w:rPr>
        <w:t xml:space="preserve"> страници, включително</w:t>
      </w:r>
      <w:r w:rsidR="008C7F1F">
        <w:rPr>
          <w:rFonts w:ascii="Times New Roman" w:hAnsi="Times New Roman" w:cs="Times New Roman"/>
          <w:sz w:val="24"/>
          <w:szCs w:val="24"/>
        </w:rPr>
        <w:t xml:space="preserve"> 74 </w:t>
      </w:r>
      <w:r w:rsidRPr="0096493B">
        <w:rPr>
          <w:rFonts w:ascii="Times New Roman" w:hAnsi="Times New Roman" w:cs="Times New Roman"/>
          <w:sz w:val="24"/>
          <w:szCs w:val="24"/>
        </w:rPr>
        <w:t>фигури,</w:t>
      </w:r>
      <w:r w:rsidR="0093072D">
        <w:rPr>
          <w:rFonts w:ascii="Times New Roman" w:hAnsi="Times New Roman" w:cs="Times New Roman"/>
          <w:sz w:val="24"/>
          <w:szCs w:val="24"/>
        </w:rPr>
        <w:t xml:space="preserve"> 8 </w:t>
      </w:r>
      <w:r w:rsidRPr="0096493B">
        <w:rPr>
          <w:rFonts w:ascii="Times New Roman" w:hAnsi="Times New Roman" w:cs="Times New Roman"/>
          <w:sz w:val="24"/>
          <w:szCs w:val="24"/>
        </w:rPr>
        <w:t xml:space="preserve">таблици, оформени в </w:t>
      </w:r>
      <w:r w:rsidR="00602A10">
        <w:rPr>
          <w:rFonts w:ascii="Times New Roman" w:hAnsi="Times New Roman" w:cs="Times New Roman"/>
          <w:sz w:val="24"/>
          <w:szCs w:val="24"/>
        </w:rPr>
        <w:t>четири</w:t>
      </w:r>
      <w:r w:rsidRPr="0096493B">
        <w:rPr>
          <w:rFonts w:ascii="Times New Roman" w:hAnsi="Times New Roman" w:cs="Times New Roman"/>
          <w:sz w:val="24"/>
          <w:szCs w:val="24"/>
        </w:rPr>
        <w:t xml:space="preserve"> глави, </w:t>
      </w:r>
      <w:r w:rsidR="0096493B">
        <w:rPr>
          <w:rFonts w:ascii="Times New Roman" w:hAnsi="Times New Roman" w:cs="Times New Roman"/>
          <w:sz w:val="24"/>
          <w:szCs w:val="24"/>
        </w:rPr>
        <w:t>заключение</w:t>
      </w:r>
      <w:r w:rsidRPr="0096493B">
        <w:rPr>
          <w:rFonts w:ascii="Times New Roman" w:hAnsi="Times New Roman" w:cs="Times New Roman"/>
          <w:sz w:val="24"/>
          <w:szCs w:val="24"/>
        </w:rPr>
        <w:t xml:space="preserve"> и списък на </w:t>
      </w:r>
      <w:r w:rsidR="00630EAF">
        <w:rPr>
          <w:rFonts w:ascii="Times New Roman" w:hAnsi="Times New Roman" w:cs="Times New Roman"/>
          <w:sz w:val="24"/>
          <w:szCs w:val="24"/>
        </w:rPr>
        <w:t>цитирана</w:t>
      </w:r>
      <w:r w:rsidRPr="0096493B">
        <w:rPr>
          <w:rFonts w:ascii="Times New Roman" w:hAnsi="Times New Roman" w:cs="Times New Roman"/>
          <w:sz w:val="24"/>
          <w:szCs w:val="24"/>
        </w:rPr>
        <w:t xml:space="preserve"> литература от </w:t>
      </w:r>
      <w:r w:rsidR="00630EAF">
        <w:rPr>
          <w:rFonts w:ascii="Times New Roman" w:hAnsi="Times New Roman" w:cs="Times New Roman"/>
          <w:sz w:val="24"/>
          <w:szCs w:val="24"/>
        </w:rPr>
        <w:t>164</w:t>
      </w:r>
      <w:r w:rsidRPr="0096493B">
        <w:rPr>
          <w:rFonts w:ascii="Times New Roman" w:hAnsi="Times New Roman" w:cs="Times New Roman"/>
          <w:sz w:val="24"/>
          <w:szCs w:val="24"/>
        </w:rPr>
        <w:t xml:space="preserve"> заглавия, от които </w:t>
      </w:r>
      <w:r w:rsidR="00630EAF">
        <w:rPr>
          <w:rFonts w:ascii="Times New Roman" w:hAnsi="Times New Roman" w:cs="Times New Roman"/>
          <w:sz w:val="24"/>
          <w:szCs w:val="24"/>
        </w:rPr>
        <w:t>77</w:t>
      </w:r>
      <w:r w:rsidRPr="0096493B">
        <w:rPr>
          <w:rFonts w:ascii="Times New Roman" w:hAnsi="Times New Roman" w:cs="Times New Roman"/>
          <w:sz w:val="24"/>
          <w:szCs w:val="24"/>
        </w:rPr>
        <w:t xml:space="preserve"> на</w:t>
      </w:r>
      <w:r w:rsidR="00602A10">
        <w:rPr>
          <w:rFonts w:ascii="Times New Roman" w:hAnsi="Times New Roman" w:cs="Times New Roman"/>
          <w:sz w:val="24"/>
          <w:szCs w:val="24"/>
        </w:rPr>
        <w:t xml:space="preserve"> </w:t>
      </w:r>
      <w:r w:rsidRPr="0096493B">
        <w:rPr>
          <w:rFonts w:ascii="Times New Roman" w:hAnsi="Times New Roman" w:cs="Times New Roman"/>
          <w:sz w:val="24"/>
          <w:szCs w:val="24"/>
        </w:rPr>
        <w:t xml:space="preserve">кирилица и </w:t>
      </w:r>
      <w:r w:rsidR="00A27430">
        <w:rPr>
          <w:rFonts w:ascii="Times New Roman" w:hAnsi="Times New Roman" w:cs="Times New Roman"/>
          <w:sz w:val="24"/>
          <w:szCs w:val="24"/>
        </w:rPr>
        <w:t xml:space="preserve">87 </w:t>
      </w:r>
      <w:r w:rsidRPr="0096493B">
        <w:rPr>
          <w:rFonts w:ascii="Times New Roman" w:hAnsi="Times New Roman" w:cs="Times New Roman"/>
          <w:sz w:val="24"/>
          <w:szCs w:val="24"/>
        </w:rPr>
        <w:t>на латиница.</w:t>
      </w:r>
    </w:p>
    <w:p w14:paraId="2F260E7F"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6206D80E"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3B9B7A96"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r w:rsidRPr="0096493B">
        <w:rPr>
          <w:rFonts w:ascii="Times New Roman" w:hAnsi="Times New Roman" w:cs="Times New Roman"/>
          <w:sz w:val="24"/>
          <w:szCs w:val="24"/>
        </w:rPr>
        <w:tab/>
      </w:r>
    </w:p>
    <w:p w14:paraId="56BA9CBD"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501BED1B"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5A63F49B"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47ABC94E"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24569DDD"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65DF31C2" w14:textId="7E1B6EF0" w:rsidR="00A27F54" w:rsidRPr="0096493B" w:rsidRDefault="00A27F54" w:rsidP="00602A10">
      <w:pPr>
        <w:pStyle w:val="BodyTextIndent"/>
        <w:spacing w:after="0" w:line="240" w:lineRule="auto"/>
        <w:ind w:left="0" w:firstLine="709"/>
        <w:jc w:val="both"/>
        <w:rPr>
          <w:rFonts w:ascii="Times New Roman" w:hAnsi="Times New Roman" w:cs="Times New Roman"/>
          <w:sz w:val="24"/>
          <w:szCs w:val="24"/>
        </w:rPr>
      </w:pPr>
      <w:r w:rsidRPr="0096493B">
        <w:rPr>
          <w:rFonts w:ascii="Times New Roman" w:hAnsi="Times New Roman" w:cs="Times New Roman"/>
          <w:sz w:val="24"/>
          <w:szCs w:val="24"/>
        </w:rPr>
        <w:t xml:space="preserve">Защитата на дисертационната работа ще се проведе  на </w:t>
      </w:r>
      <w:r w:rsidR="0096493B">
        <w:rPr>
          <w:rFonts w:ascii="Times New Roman" w:hAnsi="Times New Roman" w:cs="Times New Roman"/>
          <w:sz w:val="24"/>
          <w:szCs w:val="24"/>
        </w:rPr>
        <w:t>2</w:t>
      </w:r>
      <w:r w:rsidR="00602FE3">
        <w:rPr>
          <w:rFonts w:ascii="Times New Roman" w:hAnsi="Times New Roman" w:cs="Times New Roman"/>
          <w:sz w:val="24"/>
          <w:szCs w:val="24"/>
        </w:rPr>
        <w:t>4</w:t>
      </w:r>
      <w:r w:rsidRPr="0096493B">
        <w:rPr>
          <w:rFonts w:ascii="Times New Roman" w:hAnsi="Times New Roman" w:cs="Times New Roman"/>
          <w:sz w:val="24"/>
          <w:szCs w:val="24"/>
        </w:rPr>
        <w:t>.</w:t>
      </w:r>
      <w:r w:rsidR="0096493B">
        <w:rPr>
          <w:rFonts w:ascii="Times New Roman" w:hAnsi="Times New Roman" w:cs="Times New Roman"/>
          <w:sz w:val="24"/>
          <w:szCs w:val="24"/>
        </w:rPr>
        <w:t>06</w:t>
      </w:r>
      <w:r w:rsidRPr="0096493B">
        <w:rPr>
          <w:rFonts w:ascii="Times New Roman" w:hAnsi="Times New Roman" w:cs="Times New Roman"/>
          <w:sz w:val="24"/>
          <w:szCs w:val="24"/>
        </w:rPr>
        <w:t>.20</w:t>
      </w:r>
      <w:r w:rsidR="0096493B">
        <w:rPr>
          <w:rFonts w:ascii="Times New Roman" w:hAnsi="Times New Roman" w:cs="Times New Roman"/>
          <w:sz w:val="24"/>
          <w:szCs w:val="24"/>
        </w:rPr>
        <w:t>19</w:t>
      </w:r>
      <w:r w:rsidRPr="0096493B">
        <w:rPr>
          <w:rFonts w:ascii="Times New Roman" w:hAnsi="Times New Roman" w:cs="Times New Roman"/>
          <w:sz w:val="24"/>
          <w:szCs w:val="24"/>
        </w:rPr>
        <w:t xml:space="preserve"> г.</w:t>
      </w:r>
      <w:r w:rsidR="00602A10">
        <w:rPr>
          <w:rFonts w:ascii="Times New Roman" w:hAnsi="Times New Roman" w:cs="Times New Roman"/>
          <w:sz w:val="24"/>
          <w:szCs w:val="24"/>
        </w:rPr>
        <w:t xml:space="preserve"> </w:t>
      </w:r>
      <w:r w:rsidRPr="0096493B">
        <w:rPr>
          <w:rFonts w:ascii="Times New Roman" w:hAnsi="Times New Roman" w:cs="Times New Roman"/>
          <w:sz w:val="24"/>
          <w:szCs w:val="24"/>
        </w:rPr>
        <w:t>от 10,00ч. в  зала №</w:t>
      </w:r>
      <w:r w:rsidR="0096493B">
        <w:rPr>
          <w:rFonts w:ascii="Times New Roman" w:hAnsi="Times New Roman" w:cs="Times New Roman"/>
          <w:sz w:val="24"/>
          <w:szCs w:val="24"/>
        </w:rPr>
        <w:t xml:space="preserve">346 </w:t>
      </w:r>
      <w:r w:rsidRPr="0096493B">
        <w:rPr>
          <w:rFonts w:ascii="Times New Roman" w:hAnsi="Times New Roman" w:cs="Times New Roman"/>
          <w:sz w:val="24"/>
          <w:szCs w:val="24"/>
        </w:rPr>
        <w:t xml:space="preserve">на </w:t>
      </w:r>
      <w:r w:rsidR="0096493B">
        <w:rPr>
          <w:rFonts w:ascii="Times New Roman" w:hAnsi="Times New Roman" w:cs="Times New Roman"/>
          <w:sz w:val="24"/>
          <w:szCs w:val="24"/>
        </w:rPr>
        <w:t>Геологопроучвателния факултет в Минно-геоложки</w:t>
      </w:r>
      <w:r w:rsidRPr="0096493B">
        <w:rPr>
          <w:rFonts w:ascii="Times New Roman" w:hAnsi="Times New Roman" w:cs="Times New Roman"/>
          <w:sz w:val="24"/>
          <w:szCs w:val="24"/>
        </w:rPr>
        <w:t xml:space="preserve"> университет, София на</w:t>
      </w:r>
      <w:r w:rsidR="00602A10">
        <w:rPr>
          <w:rFonts w:ascii="Times New Roman" w:hAnsi="Times New Roman" w:cs="Times New Roman"/>
          <w:sz w:val="24"/>
          <w:szCs w:val="24"/>
        </w:rPr>
        <w:t xml:space="preserve"> </w:t>
      </w:r>
      <w:r w:rsidRPr="0096493B">
        <w:rPr>
          <w:rFonts w:ascii="Times New Roman" w:hAnsi="Times New Roman" w:cs="Times New Roman"/>
          <w:sz w:val="24"/>
          <w:szCs w:val="24"/>
        </w:rPr>
        <w:t>открито заседание на НЖ</w:t>
      </w:r>
      <w:r w:rsidR="0096493B">
        <w:rPr>
          <w:rFonts w:ascii="Times New Roman" w:hAnsi="Times New Roman" w:cs="Times New Roman"/>
          <w:sz w:val="24"/>
          <w:szCs w:val="24"/>
        </w:rPr>
        <w:t xml:space="preserve"> </w:t>
      </w:r>
      <w:r w:rsidRPr="0096493B">
        <w:rPr>
          <w:rFonts w:ascii="Times New Roman" w:hAnsi="Times New Roman" w:cs="Times New Roman"/>
          <w:sz w:val="24"/>
          <w:szCs w:val="24"/>
        </w:rPr>
        <w:t>(Заповед №</w:t>
      </w:r>
      <w:r w:rsidRPr="00602FE3">
        <w:rPr>
          <w:rFonts w:ascii="Times New Roman" w:hAnsi="Times New Roman" w:cs="Times New Roman"/>
          <w:sz w:val="24"/>
          <w:szCs w:val="24"/>
        </w:rPr>
        <w:t>.........../...............................на</w:t>
      </w:r>
      <w:r w:rsidRPr="0096493B">
        <w:rPr>
          <w:rFonts w:ascii="Times New Roman" w:hAnsi="Times New Roman" w:cs="Times New Roman"/>
          <w:sz w:val="24"/>
          <w:szCs w:val="24"/>
        </w:rPr>
        <w:t xml:space="preserve"> Ректора</w:t>
      </w:r>
      <w:r w:rsidR="00602A10">
        <w:rPr>
          <w:rFonts w:ascii="Times New Roman" w:hAnsi="Times New Roman" w:cs="Times New Roman"/>
          <w:sz w:val="24"/>
          <w:szCs w:val="24"/>
        </w:rPr>
        <w:t xml:space="preserve"> </w:t>
      </w:r>
      <w:r w:rsidRPr="0096493B">
        <w:rPr>
          <w:rFonts w:ascii="Times New Roman" w:hAnsi="Times New Roman" w:cs="Times New Roman"/>
          <w:sz w:val="24"/>
          <w:szCs w:val="24"/>
        </w:rPr>
        <w:t xml:space="preserve">на </w:t>
      </w:r>
      <w:r w:rsidR="0096493B">
        <w:rPr>
          <w:rFonts w:ascii="Times New Roman" w:hAnsi="Times New Roman" w:cs="Times New Roman"/>
          <w:sz w:val="24"/>
          <w:szCs w:val="24"/>
        </w:rPr>
        <w:t>МГУ</w:t>
      </w:r>
      <w:r w:rsidR="00602A10">
        <w:rPr>
          <w:rFonts w:ascii="Times New Roman" w:hAnsi="Times New Roman" w:cs="Times New Roman"/>
          <w:sz w:val="24"/>
          <w:szCs w:val="24"/>
        </w:rPr>
        <w:t>)</w:t>
      </w:r>
      <w:r w:rsidRPr="0096493B">
        <w:rPr>
          <w:rFonts w:ascii="Times New Roman" w:hAnsi="Times New Roman" w:cs="Times New Roman"/>
          <w:sz w:val="24"/>
          <w:szCs w:val="24"/>
        </w:rPr>
        <w:t>.</w:t>
      </w:r>
    </w:p>
    <w:p w14:paraId="3E84C754"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06DFB1EB"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4EB93406"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Научно жури:</w:t>
      </w:r>
    </w:p>
    <w:p w14:paraId="320DB81A"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Председател:..................................................</w:t>
      </w:r>
    </w:p>
    <w:p w14:paraId="535C82D4"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Членове:</w:t>
      </w:r>
    </w:p>
    <w:p w14:paraId="1F13E080"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1.</w:t>
      </w:r>
    </w:p>
    <w:p w14:paraId="58984E0A"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2.</w:t>
      </w:r>
    </w:p>
    <w:p w14:paraId="65F6B0AB"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3.</w:t>
      </w:r>
    </w:p>
    <w:p w14:paraId="43E4848F"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4.</w:t>
      </w:r>
    </w:p>
    <w:p w14:paraId="30BE4621" w14:textId="77777777" w:rsidR="00A27F54" w:rsidRPr="0096493B" w:rsidRDefault="00A27F54" w:rsidP="0096493B">
      <w:pPr>
        <w:pStyle w:val="BodyTextIndent"/>
        <w:spacing w:after="0" w:line="240" w:lineRule="auto"/>
        <w:ind w:left="0" w:firstLine="709"/>
        <w:jc w:val="both"/>
        <w:rPr>
          <w:rFonts w:ascii="Times New Roman" w:hAnsi="Times New Roman" w:cs="Times New Roman"/>
          <w:b/>
          <w:sz w:val="24"/>
          <w:szCs w:val="24"/>
        </w:rPr>
      </w:pPr>
      <w:r w:rsidRPr="0096493B">
        <w:rPr>
          <w:rFonts w:ascii="Times New Roman" w:hAnsi="Times New Roman" w:cs="Times New Roman"/>
          <w:b/>
          <w:sz w:val="24"/>
          <w:szCs w:val="24"/>
        </w:rPr>
        <w:t>5.</w:t>
      </w:r>
    </w:p>
    <w:p w14:paraId="0E953436" w14:textId="23235E43" w:rsidR="00A27F54" w:rsidRPr="00602FE3" w:rsidRDefault="00A27F54" w:rsidP="0096493B">
      <w:pPr>
        <w:pStyle w:val="BodyTextIndent"/>
        <w:spacing w:after="0" w:line="240" w:lineRule="auto"/>
        <w:ind w:left="0" w:firstLine="709"/>
        <w:jc w:val="both"/>
        <w:rPr>
          <w:rFonts w:ascii="Times New Roman" w:hAnsi="Times New Roman" w:cs="Times New Roman"/>
          <w:b/>
          <w:sz w:val="24"/>
          <w:szCs w:val="24"/>
          <w:lang w:val="en-US"/>
        </w:rPr>
      </w:pPr>
      <w:r w:rsidRPr="0096493B">
        <w:rPr>
          <w:rFonts w:ascii="Times New Roman" w:hAnsi="Times New Roman" w:cs="Times New Roman"/>
          <w:b/>
          <w:sz w:val="24"/>
          <w:szCs w:val="24"/>
        </w:rPr>
        <w:t>6.</w:t>
      </w:r>
    </w:p>
    <w:p w14:paraId="0D00B564"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6BCDA9BA" w14:textId="77777777" w:rsidR="00DE47EB" w:rsidRDefault="00DE47EB" w:rsidP="0096493B">
      <w:pPr>
        <w:pStyle w:val="BodyTextIndent"/>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РЕЦЕНЗЕНТИ: Проф. дгн Васил Симеонов Балинов и </w:t>
      </w:r>
    </w:p>
    <w:p w14:paraId="6F3B7286" w14:textId="18EF4D9D" w:rsidR="00A27F54" w:rsidRPr="00DE47EB" w:rsidRDefault="00DE47EB" w:rsidP="0096493B">
      <w:pPr>
        <w:pStyle w:val="BodyTextIndent"/>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                            </w:t>
      </w:r>
      <w:bookmarkStart w:id="2" w:name="_GoBack"/>
      <w:bookmarkEnd w:id="2"/>
      <w:r>
        <w:rPr>
          <w:rFonts w:ascii="Times New Roman" w:hAnsi="Times New Roman" w:cs="Times New Roman"/>
          <w:sz w:val="24"/>
          <w:szCs w:val="24"/>
        </w:rPr>
        <w:t>Доц. д-р Христо Бориславов Димитров</w:t>
      </w:r>
    </w:p>
    <w:p w14:paraId="56A57D88" w14:textId="77777777" w:rsidR="00A27F54" w:rsidRPr="0096493B" w:rsidRDefault="00A27F54" w:rsidP="0096493B">
      <w:pPr>
        <w:pStyle w:val="BodyTextIndent"/>
        <w:spacing w:after="0" w:line="240" w:lineRule="auto"/>
        <w:ind w:left="0" w:firstLine="709"/>
        <w:jc w:val="both"/>
        <w:rPr>
          <w:rFonts w:ascii="Times New Roman" w:hAnsi="Times New Roman" w:cs="Times New Roman"/>
          <w:sz w:val="24"/>
          <w:szCs w:val="24"/>
        </w:rPr>
      </w:pPr>
    </w:p>
    <w:p w14:paraId="1734AC97" w14:textId="77777777" w:rsidR="00602A10" w:rsidRDefault="00602A10" w:rsidP="00602A10">
      <w:pPr>
        <w:pStyle w:val="BodyTextIndent"/>
        <w:spacing w:after="0" w:line="240" w:lineRule="auto"/>
        <w:ind w:left="0"/>
        <w:jc w:val="both"/>
        <w:rPr>
          <w:rFonts w:ascii="Times New Roman" w:hAnsi="Times New Roman" w:cs="Times New Roman"/>
          <w:sz w:val="24"/>
          <w:szCs w:val="24"/>
        </w:rPr>
      </w:pPr>
    </w:p>
    <w:p w14:paraId="27955DD5" w14:textId="77777777" w:rsidR="00602A10" w:rsidRDefault="00602A10" w:rsidP="00602A10">
      <w:pPr>
        <w:pStyle w:val="BodyTextIndent"/>
        <w:spacing w:after="0" w:line="240" w:lineRule="auto"/>
        <w:ind w:left="0"/>
        <w:jc w:val="both"/>
        <w:rPr>
          <w:rFonts w:ascii="Times New Roman" w:hAnsi="Times New Roman" w:cs="Times New Roman"/>
          <w:sz w:val="24"/>
          <w:szCs w:val="24"/>
        </w:rPr>
      </w:pPr>
    </w:p>
    <w:p w14:paraId="7CBAFEC3" w14:textId="320EFAC2" w:rsidR="00A27F54" w:rsidRPr="00602FE3" w:rsidRDefault="00A27F54" w:rsidP="00602A10">
      <w:pPr>
        <w:pStyle w:val="BodyTextIndent"/>
        <w:spacing w:after="0" w:line="240" w:lineRule="auto"/>
        <w:ind w:left="0" w:firstLine="709"/>
        <w:jc w:val="both"/>
        <w:rPr>
          <w:rFonts w:ascii="Times New Roman" w:hAnsi="Times New Roman" w:cs="Times New Roman"/>
          <w:sz w:val="24"/>
          <w:szCs w:val="24"/>
        </w:rPr>
      </w:pPr>
      <w:r w:rsidRPr="0096493B">
        <w:rPr>
          <w:rFonts w:ascii="Times New Roman" w:hAnsi="Times New Roman" w:cs="Times New Roman"/>
          <w:sz w:val="24"/>
          <w:szCs w:val="24"/>
        </w:rPr>
        <w:t>Материалите по защитата</w:t>
      </w:r>
      <w:r w:rsidR="00602FE3">
        <w:rPr>
          <w:rFonts w:ascii="Times New Roman" w:hAnsi="Times New Roman" w:cs="Times New Roman"/>
          <w:sz w:val="24"/>
          <w:szCs w:val="24"/>
        </w:rPr>
        <w:t xml:space="preserve"> </w:t>
      </w:r>
      <w:r w:rsidRPr="0096493B">
        <w:rPr>
          <w:rFonts w:ascii="Times New Roman" w:hAnsi="Times New Roman" w:cs="Times New Roman"/>
          <w:sz w:val="24"/>
          <w:szCs w:val="24"/>
        </w:rPr>
        <w:t>(дисертационната</w:t>
      </w:r>
      <w:r w:rsidR="00602FE3">
        <w:rPr>
          <w:rFonts w:ascii="Times New Roman" w:hAnsi="Times New Roman" w:cs="Times New Roman"/>
          <w:sz w:val="24"/>
          <w:szCs w:val="24"/>
        </w:rPr>
        <w:t xml:space="preserve"> </w:t>
      </w:r>
      <w:r w:rsidRPr="0096493B">
        <w:rPr>
          <w:rFonts w:ascii="Times New Roman" w:hAnsi="Times New Roman" w:cs="Times New Roman"/>
          <w:sz w:val="24"/>
          <w:szCs w:val="24"/>
        </w:rPr>
        <w:t>работа</w:t>
      </w:r>
      <w:r w:rsidR="00602FE3">
        <w:rPr>
          <w:rFonts w:ascii="Times New Roman" w:hAnsi="Times New Roman" w:cs="Times New Roman"/>
          <w:sz w:val="24"/>
          <w:szCs w:val="24"/>
        </w:rPr>
        <w:t xml:space="preserve"> </w:t>
      </w:r>
      <w:r w:rsidRPr="0096493B">
        <w:rPr>
          <w:rFonts w:ascii="Times New Roman" w:hAnsi="Times New Roman" w:cs="Times New Roman"/>
          <w:sz w:val="24"/>
          <w:szCs w:val="24"/>
        </w:rPr>
        <w:t>и рецензиите)</w:t>
      </w:r>
      <w:r w:rsidR="00602A10">
        <w:rPr>
          <w:rFonts w:ascii="Times New Roman" w:hAnsi="Times New Roman" w:cs="Times New Roman"/>
          <w:sz w:val="24"/>
          <w:szCs w:val="24"/>
        </w:rPr>
        <w:t xml:space="preserve"> </w:t>
      </w:r>
      <w:r w:rsidRPr="0096493B">
        <w:rPr>
          <w:rFonts w:ascii="Times New Roman" w:hAnsi="Times New Roman" w:cs="Times New Roman"/>
          <w:sz w:val="24"/>
          <w:szCs w:val="24"/>
        </w:rPr>
        <w:t>са на</w:t>
      </w:r>
      <w:r w:rsidR="00602FE3">
        <w:rPr>
          <w:rFonts w:ascii="Times New Roman" w:hAnsi="Times New Roman" w:cs="Times New Roman"/>
          <w:sz w:val="24"/>
          <w:szCs w:val="24"/>
        </w:rPr>
        <w:t xml:space="preserve"> </w:t>
      </w:r>
      <w:r w:rsidRPr="0096493B">
        <w:rPr>
          <w:rFonts w:ascii="Times New Roman" w:hAnsi="Times New Roman" w:cs="Times New Roman"/>
          <w:sz w:val="24"/>
          <w:szCs w:val="24"/>
        </w:rPr>
        <w:t xml:space="preserve">разположение на интересуващите се в библиотеката на </w:t>
      </w:r>
      <w:r w:rsidR="0096493B">
        <w:rPr>
          <w:rFonts w:ascii="Times New Roman" w:hAnsi="Times New Roman" w:cs="Times New Roman"/>
          <w:sz w:val="24"/>
          <w:szCs w:val="24"/>
        </w:rPr>
        <w:t>Минно-геоложки университет „Св. Иван Рилски“</w:t>
      </w:r>
      <w:r w:rsidRPr="0096493B">
        <w:rPr>
          <w:rFonts w:ascii="Times New Roman" w:hAnsi="Times New Roman" w:cs="Times New Roman"/>
          <w:sz w:val="24"/>
          <w:szCs w:val="24"/>
        </w:rPr>
        <w:t xml:space="preserve">, София, </w:t>
      </w:r>
      <w:r w:rsidR="0096493B">
        <w:rPr>
          <w:rFonts w:ascii="Times New Roman" w:hAnsi="Times New Roman" w:cs="Times New Roman"/>
          <w:sz w:val="24"/>
          <w:szCs w:val="24"/>
        </w:rPr>
        <w:t xml:space="preserve">ул. </w:t>
      </w:r>
      <w:r w:rsidR="00602FE3">
        <w:rPr>
          <w:rFonts w:ascii="Times New Roman" w:hAnsi="Times New Roman" w:cs="Times New Roman"/>
          <w:sz w:val="24"/>
          <w:szCs w:val="24"/>
          <w:lang w:val="en-US"/>
        </w:rPr>
        <w:t>“</w:t>
      </w:r>
      <w:r w:rsidR="00602FE3">
        <w:rPr>
          <w:rFonts w:ascii="Times New Roman" w:hAnsi="Times New Roman" w:cs="Times New Roman"/>
          <w:sz w:val="24"/>
          <w:szCs w:val="24"/>
        </w:rPr>
        <w:t>проф. Боян Каменов“, София 1700</w:t>
      </w:r>
    </w:p>
    <w:p w14:paraId="2CCC8749" w14:textId="77777777" w:rsidR="00A27F54" w:rsidRDefault="00A27F54" w:rsidP="00A27F54">
      <w:pPr>
        <w:ind w:right="-735"/>
        <w:jc w:val="both"/>
        <w:rPr>
          <w:lang w:val="ru-RU"/>
        </w:rPr>
      </w:pPr>
    </w:p>
    <w:p w14:paraId="3D6ECC84" w14:textId="77777777" w:rsidR="00A27F54" w:rsidRDefault="00A27F54" w:rsidP="00A27F54">
      <w:pPr>
        <w:ind w:right="-735"/>
        <w:jc w:val="both"/>
        <w:rPr>
          <w:lang w:val="ru-RU"/>
        </w:rPr>
      </w:pPr>
    </w:p>
    <w:p w14:paraId="0212CC49" w14:textId="77777777" w:rsidR="00A27F54" w:rsidRDefault="00A27F54" w:rsidP="006B6EBF">
      <w:pPr>
        <w:spacing w:after="0" w:line="240" w:lineRule="auto"/>
        <w:ind w:firstLine="709"/>
        <w:jc w:val="both"/>
        <w:rPr>
          <w:rFonts w:ascii="Times New Roman" w:hAnsi="Times New Roman" w:cs="Times New Roman"/>
          <w:b/>
          <w:sz w:val="24"/>
          <w:szCs w:val="24"/>
        </w:rPr>
      </w:pPr>
    </w:p>
    <w:p w14:paraId="6024BA59" w14:textId="77777777" w:rsidR="00DA6E8E" w:rsidRDefault="00DA6E8E" w:rsidP="0096493B">
      <w:pPr>
        <w:spacing w:after="0" w:line="276" w:lineRule="auto"/>
        <w:jc w:val="both"/>
        <w:rPr>
          <w:rFonts w:ascii="Times New Roman" w:hAnsi="Times New Roman" w:cs="Times New Roman"/>
          <w:b/>
          <w:sz w:val="24"/>
          <w:szCs w:val="24"/>
        </w:rPr>
        <w:sectPr w:rsidR="00DA6E8E" w:rsidSect="008E2120">
          <w:footerReference w:type="default" r:id="rId10"/>
          <w:footerReference w:type="first" r:id="rId11"/>
          <w:pgSz w:w="11906" w:h="16838" w:code="9"/>
          <w:pgMar w:top="1134" w:right="1134" w:bottom="1134" w:left="1418" w:header="709" w:footer="709" w:gutter="0"/>
          <w:cols w:space="708"/>
          <w:docGrid w:linePitch="360"/>
        </w:sectPr>
      </w:pPr>
    </w:p>
    <w:p w14:paraId="52DF8210" w14:textId="5D3BF4A1" w:rsidR="0096493B" w:rsidRPr="001E2A7A" w:rsidRDefault="0096493B" w:rsidP="0096493B">
      <w:pPr>
        <w:spacing w:after="0" w:line="276" w:lineRule="auto"/>
        <w:jc w:val="both"/>
        <w:rPr>
          <w:rFonts w:ascii="Times New Roman" w:hAnsi="Times New Roman" w:cs="Times New Roman"/>
          <w:b/>
          <w:sz w:val="24"/>
          <w:szCs w:val="24"/>
        </w:rPr>
      </w:pPr>
      <w:r w:rsidRPr="001E2A7A">
        <w:rPr>
          <w:rFonts w:ascii="Times New Roman" w:hAnsi="Times New Roman" w:cs="Times New Roman"/>
          <w:b/>
          <w:sz w:val="24"/>
          <w:szCs w:val="24"/>
        </w:rPr>
        <w:lastRenderedPageBreak/>
        <w:t>СЪДЪРЖАНИЕ</w:t>
      </w:r>
    </w:p>
    <w:p w14:paraId="638D8317" w14:textId="77777777" w:rsidR="0096493B" w:rsidRPr="001E2A7A" w:rsidRDefault="0096493B" w:rsidP="0096493B">
      <w:pPr>
        <w:spacing w:after="0" w:line="276" w:lineRule="auto"/>
        <w:jc w:val="both"/>
        <w:rPr>
          <w:rFonts w:ascii="Times New Roman" w:hAnsi="Times New Roman" w:cs="Times New Roman"/>
          <w:sz w:val="24"/>
          <w:szCs w:val="24"/>
        </w:rPr>
      </w:pPr>
    </w:p>
    <w:p w14:paraId="46EAFD0B" w14:textId="77777777" w:rsidR="0096493B" w:rsidRPr="001E2A7A" w:rsidRDefault="0096493B" w:rsidP="0096493B">
      <w:pPr>
        <w:spacing w:after="0" w:line="276" w:lineRule="auto"/>
        <w:ind w:firstLine="709"/>
        <w:jc w:val="both"/>
        <w:rPr>
          <w:rFonts w:ascii="Times New Roman" w:hAnsi="Times New Roman" w:cs="Times New Roman"/>
          <w:sz w:val="24"/>
          <w:szCs w:val="24"/>
        </w:rPr>
      </w:pPr>
    </w:p>
    <w:p w14:paraId="1B766EE5" w14:textId="3B36B94B" w:rsidR="000B6B8D" w:rsidRDefault="0096493B">
      <w:pPr>
        <w:pStyle w:val="TOC1"/>
        <w:tabs>
          <w:tab w:val="right" w:leader="dot" w:pos="9344"/>
        </w:tabs>
        <w:rPr>
          <w:rFonts w:asciiTheme="minorHAnsi" w:eastAsiaTheme="minorEastAsia" w:hAnsiTheme="minorHAnsi" w:cstheme="minorBidi"/>
          <w:noProof/>
          <w:sz w:val="22"/>
          <w:szCs w:val="22"/>
          <w:lang w:val="bg-BG" w:eastAsia="bg-BG"/>
        </w:rPr>
      </w:pPr>
      <w:r w:rsidRPr="001E2A7A">
        <w:rPr>
          <w:lang w:val="bg-BG"/>
        </w:rPr>
        <w:fldChar w:fldCharType="begin"/>
      </w:r>
      <w:r w:rsidRPr="001E2A7A">
        <w:rPr>
          <w:lang w:val="bg-BG"/>
        </w:rPr>
        <w:instrText xml:space="preserve"> TOC \o "1-3" \h \z \u </w:instrText>
      </w:r>
      <w:r w:rsidRPr="001E2A7A">
        <w:rPr>
          <w:lang w:val="bg-BG"/>
        </w:rPr>
        <w:fldChar w:fldCharType="separate"/>
      </w:r>
      <w:hyperlink w:anchor="_Toc7820628" w:history="1">
        <w:r w:rsidR="000B6B8D" w:rsidRPr="00427CC2">
          <w:rPr>
            <w:rStyle w:val="Hyperlink"/>
            <w:noProof/>
            <w:lang w:val="bg-BG"/>
          </w:rPr>
          <w:t>Въведение</w:t>
        </w:r>
        <w:r w:rsidR="000B6B8D">
          <w:rPr>
            <w:noProof/>
            <w:webHidden/>
          </w:rPr>
          <w:tab/>
        </w:r>
        <w:r w:rsidR="000B6B8D">
          <w:rPr>
            <w:noProof/>
            <w:webHidden/>
          </w:rPr>
          <w:fldChar w:fldCharType="begin"/>
        </w:r>
        <w:r w:rsidR="000B6B8D">
          <w:rPr>
            <w:noProof/>
            <w:webHidden/>
          </w:rPr>
          <w:instrText xml:space="preserve"> PAGEREF _Toc7820628 \h </w:instrText>
        </w:r>
        <w:r w:rsidR="000B6B8D">
          <w:rPr>
            <w:noProof/>
            <w:webHidden/>
          </w:rPr>
        </w:r>
        <w:r w:rsidR="000B6B8D">
          <w:rPr>
            <w:noProof/>
            <w:webHidden/>
          </w:rPr>
          <w:fldChar w:fldCharType="separate"/>
        </w:r>
        <w:r w:rsidR="00702DCC">
          <w:rPr>
            <w:noProof/>
            <w:webHidden/>
          </w:rPr>
          <w:t>4</w:t>
        </w:r>
        <w:r w:rsidR="000B6B8D">
          <w:rPr>
            <w:noProof/>
            <w:webHidden/>
          </w:rPr>
          <w:fldChar w:fldCharType="end"/>
        </w:r>
      </w:hyperlink>
    </w:p>
    <w:p w14:paraId="2988FA72" w14:textId="5F56271F"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29" w:history="1">
        <w:r w:rsidR="000B6B8D" w:rsidRPr="00427CC2">
          <w:rPr>
            <w:rStyle w:val="Hyperlink"/>
            <w:noProof/>
            <w:lang w:val="bg-BG"/>
          </w:rPr>
          <w:t>Глава 1. Геология на югоизточната част на Горнотракийската низина</w:t>
        </w:r>
        <w:r w:rsidR="000B6B8D">
          <w:rPr>
            <w:noProof/>
            <w:webHidden/>
          </w:rPr>
          <w:tab/>
        </w:r>
        <w:r w:rsidR="000B6B8D">
          <w:rPr>
            <w:noProof/>
            <w:webHidden/>
          </w:rPr>
          <w:fldChar w:fldCharType="begin"/>
        </w:r>
        <w:r w:rsidR="000B6B8D">
          <w:rPr>
            <w:noProof/>
            <w:webHidden/>
          </w:rPr>
          <w:instrText xml:space="preserve"> PAGEREF _Toc7820629 \h </w:instrText>
        </w:r>
        <w:r w:rsidR="000B6B8D">
          <w:rPr>
            <w:noProof/>
            <w:webHidden/>
          </w:rPr>
        </w:r>
        <w:r w:rsidR="000B6B8D">
          <w:rPr>
            <w:noProof/>
            <w:webHidden/>
          </w:rPr>
          <w:fldChar w:fldCharType="separate"/>
        </w:r>
        <w:r w:rsidR="00702DCC">
          <w:rPr>
            <w:noProof/>
            <w:webHidden/>
          </w:rPr>
          <w:t>6</w:t>
        </w:r>
        <w:r w:rsidR="000B6B8D">
          <w:rPr>
            <w:noProof/>
            <w:webHidden/>
          </w:rPr>
          <w:fldChar w:fldCharType="end"/>
        </w:r>
      </w:hyperlink>
    </w:p>
    <w:p w14:paraId="06FCA42F" w14:textId="18874FAE" w:rsidR="000B6B8D" w:rsidRDefault="00690422">
      <w:pPr>
        <w:pStyle w:val="TOC1"/>
        <w:tabs>
          <w:tab w:val="left" w:pos="660"/>
          <w:tab w:val="right" w:leader="dot" w:pos="9344"/>
        </w:tabs>
        <w:rPr>
          <w:rFonts w:asciiTheme="minorHAnsi" w:eastAsiaTheme="minorEastAsia" w:hAnsiTheme="minorHAnsi" w:cstheme="minorBidi"/>
          <w:noProof/>
          <w:sz w:val="22"/>
          <w:szCs w:val="22"/>
          <w:lang w:val="bg-BG" w:eastAsia="bg-BG"/>
        </w:rPr>
      </w:pPr>
      <w:hyperlink w:anchor="_Toc7820630" w:history="1">
        <w:r w:rsidR="000B6B8D" w:rsidRPr="00427CC2">
          <w:rPr>
            <w:rStyle w:val="Hyperlink"/>
            <w:noProof/>
            <w:lang w:val="bg-BG"/>
          </w:rPr>
          <w:t>1.1.</w:t>
        </w:r>
        <w:r w:rsidR="000B6B8D">
          <w:rPr>
            <w:rFonts w:asciiTheme="minorHAnsi" w:eastAsiaTheme="minorEastAsia" w:hAnsiTheme="minorHAnsi" w:cstheme="minorBidi"/>
            <w:noProof/>
            <w:sz w:val="22"/>
            <w:szCs w:val="22"/>
            <w:lang w:val="bg-BG" w:eastAsia="bg-BG"/>
          </w:rPr>
          <w:tab/>
        </w:r>
        <w:r w:rsidR="000B6B8D" w:rsidRPr="00427CC2">
          <w:rPr>
            <w:rStyle w:val="Hyperlink"/>
            <w:noProof/>
            <w:lang w:val="bg-BG"/>
          </w:rPr>
          <w:t>Геоложка изученост на района</w:t>
        </w:r>
        <w:r w:rsidR="000B6B8D">
          <w:rPr>
            <w:noProof/>
            <w:webHidden/>
          </w:rPr>
          <w:tab/>
        </w:r>
        <w:r w:rsidR="000B6B8D">
          <w:rPr>
            <w:noProof/>
            <w:webHidden/>
          </w:rPr>
          <w:fldChar w:fldCharType="begin"/>
        </w:r>
        <w:r w:rsidR="000B6B8D">
          <w:rPr>
            <w:noProof/>
            <w:webHidden/>
          </w:rPr>
          <w:instrText xml:space="preserve"> PAGEREF _Toc7820630 \h </w:instrText>
        </w:r>
        <w:r w:rsidR="000B6B8D">
          <w:rPr>
            <w:noProof/>
            <w:webHidden/>
          </w:rPr>
        </w:r>
        <w:r w:rsidR="000B6B8D">
          <w:rPr>
            <w:noProof/>
            <w:webHidden/>
          </w:rPr>
          <w:fldChar w:fldCharType="separate"/>
        </w:r>
        <w:r w:rsidR="00702DCC">
          <w:rPr>
            <w:noProof/>
            <w:webHidden/>
          </w:rPr>
          <w:t>6</w:t>
        </w:r>
        <w:r w:rsidR="000B6B8D">
          <w:rPr>
            <w:noProof/>
            <w:webHidden/>
          </w:rPr>
          <w:fldChar w:fldCharType="end"/>
        </w:r>
      </w:hyperlink>
    </w:p>
    <w:p w14:paraId="25335E77" w14:textId="5308BCE9" w:rsidR="000B6B8D" w:rsidRDefault="00690422">
      <w:pPr>
        <w:pStyle w:val="TOC1"/>
        <w:tabs>
          <w:tab w:val="left" w:pos="660"/>
          <w:tab w:val="right" w:leader="dot" w:pos="9344"/>
        </w:tabs>
        <w:rPr>
          <w:rFonts w:asciiTheme="minorHAnsi" w:eastAsiaTheme="minorEastAsia" w:hAnsiTheme="minorHAnsi" w:cstheme="minorBidi"/>
          <w:noProof/>
          <w:sz w:val="22"/>
          <w:szCs w:val="22"/>
          <w:lang w:val="bg-BG" w:eastAsia="bg-BG"/>
        </w:rPr>
      </w:pPr>
      <w:hyperlink w:anchor="_Toc7820631" w:history="1">
        <w:r w:rsidR="000B6B8D" w:rsidRPr="00427CC2">
          <w:rPr>
            <w:rStyle w:val="Hyperlink"/>
            <w:noProof/>
            <w:lang w:val="bg-BG"/>
          </w:rPr>
          <w:t>1.2.</w:t>
        </w:r>
        <w:r w:rsidR="000B6B8D">
          <w:rPr>
            <w:rFonts w:asciiTheme="minorHAnsi" w:eastAsiaTheme="minorEastAsia" w:hAnsiTheme="minorHAnsi" w:cstheme="minorBidi"/>
            <w:noProof/>
            <w:sz w:val="22"/>
            <w:szCs w:val="22"/>
            <w:lang w:val="bg-BG" w:eastAsia="bg-BG"/>
          </w:rPr>
          <w:tab/>
        </w:r>
        <w:r w:rsidR="000B6B8D" w:rsidRPr="00427CC2">
          <w:rPr>
            <w:rStyle w:val="Hyperlink"/>
            <w:noProof/>
            <w:lang w:val="bg-BG"/>
          </w:rPr>
          <w:t>Основни схващания за геотектонската позиция и строеж</w:t>
        </w:r>
        <w:r w:rsidR="000B6B8D">
          <w:rPr>
            <w:noProof/>
            <w:webHidden/>
          </w:rPr>
          <w:tab/>
        </w:r>
        <w:r w:rsidR="000B6B8D">
          <w:rPr>
            <w:noProof/>
            <w:webHidden/>
          </w:rPr>
          <w:fldChar w:fldCharType="begin"/>
        </w:r>
        <w:r w:rsidR="000B6B8D">
          <w:rPr>
            <w:noProof/>
            <w:webHidden/>
          </w:rPr>
          <w:instrText xml:space="preserve"> PAGEREF _Toc7820631 \h </w:instrText>
        </w:r>
        <w:r w:rsidR="000B6B8D">
          <w:rPr>
            <w:noProof/>
            <w:webHidden/>
          </w:rPr>
        </w:r>
        <w:r w:rsidR="000B6B8D">
          <w:rPr>
            <w:noProof/>
            <w:webHidden/>
          </w:rPr>
          <w:fldChar w:fldCharType="separate"/>
        </w:r>
        <w:r w:rsidR="00702DCC">
          <w:rPr>
            <w:noProof/>
            <w:webHidden/>
          </w:rPr>
          <w:t>7</w:t>
        </w:r>
        <w:r w:rsidR="000B6B8D">
          <w:rPr>
            <w:noProof/>
            <w:webHidden/>
          </w:rPr>
          <w:fldChar w:fldCharType="end"/>
        </w:r>
      </w:hyperlink>
    </w:p>
    <w:p w14:paraId="3EBBC855" w14:textId="7AD49B3E" w:rsidR="000B6B8D" w:rsidRDefault="00690422">
      <w:pPr>
        <w:pStyle w:val="TOC1"/>
        <w:tabs>
          <w:tab w:val="left" w:pos="660"/>
          <w:tab w:val="right" w:leader="dot" w:pos="9344"/>
        </w:tabs>
        <w:rPr>
          <w:rFonts w:asciiTheme="minorHAnsi" w:eastAsiaTheme="minorEastAsia" w:hAnsiTheme="minorHAnsi" w:cstheme="minorBidi"/>
          <w:noProof/>
          <w:sz w:val="22"/>
          <w:szCs w:val="22"/>
          <w:lang w:val="bg-BG" w:eastAsia="bg-BG"/>
        </w:rPr>
      </w:pPr>
      <w:hyperlink w:anchor="_Toc7820632" w:history="1">
        <w:r w:rsidR="000B6B8D" w:rsidRPr="00427CC2">
          <w:rPr>
            <w:rStyle w:val="Hyperlink"/>
            <w:noProof/>
            <w:lang w:val="bg-BG"/>
          </w:rPr>
          <w:t>1.3.</w:t>
        </w:r>
        <w:r w:rsidR="000B6B8D">
          <w:rPr>
            <w:rFonts w:asciiTheme="minorHAnsi" w:eastAsiaTheme="minorEastAsia" w:hAnsiTheme="minorHAnsi" w:cstheme="minorBidi"/>
            <w:noProof/>
            <w:sz w:val="22"/>
            <w:szCs w:val="22"/>
            <w:lang w:val="bg-BG" w:eastAsia="bg-BG"/>
          </w:rPr>
          <w:tab/>
        </w:r>
        <w:r w:rsidR="000B6B8D" w:rsidRPr="00427CC2">
          <w:rPr>
            <w:rStyle w:val="Hyperlink"/>
            <w:noProof/>
            <w:lang w:val="bg-BG"/>
          </w:rPr>
          <w:t>Стратиграфска характеристика</w:t>
        </w:r>
        <w:r w:rsidR="000B6B8D">
          <w:rPr>
            <w:noProof/>
            <w:webHidden/>
          </w:rPr>
          <w:tab/>
        </w:r>
        <w:r w:rsidR="000B6B8D">
          <w:rPr>
            <w:noProof/>
            <w:webHidden/>
          </w:rPr>
          <w:fldChar w:fldCharType="begin"/>
        </w:r>
        <w:r w:rsidR="000B6B8D">
          <w:rPr>
            <w:noProof/>
            <w:webHidden/>
          </w:rPr>
          <w:instrText xml:space="preserve"> PAGEREF _Toc7820632 \h </w:instrText>
        </w:r>
        <w:r w:rsidR="000B6B8D">
          <w:rPr>
            <w:noProof/>
            <w:webHidden/>
          </w:rPr>
        </w:r>
        <w:r w:rsidR="000B6B8D">
          <w:rPr>
            <w:noProof/>
            <w:webHidden/>
          </w:rPr>
          <w:fldChar w:fldCharType="separate"/>
        </w:r>
        <w:r w:rsidR="00702DCC">
          <w:rPr>
            <w:noProof/>
            <w:webHidden/>
          </w:rPr>
          <w:t>8</w:t>
        </w:r>
        <w:r w:rsidR="000B6B8D">
          <w:rPr>
            <w:noProof/>
            <w:webHidden/>
          </w:rPr>
          <w:fldChar w:fldCharType="end"/>
        </w:r>
      </w:hyperlink>
    </w:p>
    <w:p w14:paraId="45013B32" w14:textId="4C277713" w:rsidR="000B6B8D" w:rsidRDefault="00690422">
      <w:pPr>
        <w:pStyle w:val="TOC1"/>
        <w:tabs>
          <w:tab w:val="left" w:pos="660"/>
          <w:tab w:val="right" w:leader="dot" w:pos="9344"/>
        </w:tabs>
        <w:rPr>
          <w:rFonts w:asciiTheme="minorHAnsi" w:eastAsiaTheme="minorEastAsia" w:hAnsiTheme="minorHAnsi" w:cstheme="minorBidi"/>
          <w:noProof/>
          <w:sz w:val="22"/>
          <w:szCs w:val="22"/>
          <w:lang w:val="bg-BG" w:eastAsia="bg-BG"/>
        </w:rPr>
      </w:pPr>
      <w:hyperlink w:anchor="_Toc7820633" w:history="1">
        <w:r w:rsidR="000B6B8D" w:rsidRPr="00427CC2">
          <w:rPr>
            <w:rStyle w:val="Hyperlink"/>
            <w:noProof/>
            <w:lang w:val="bg-BG"/>
          </w:rPr>
          <w:t>1.4.</w:t>
        </w:r>
        <w:r w:rsidR="000B6B8D">
          <w:rPr>
            <w:rFonts w:asciiTheme="minorHAnsi" w:eastAsiaTheme="minorEastAsia" w:hAnsiTheme="minorHAnsi" w:cstheme="minorBidi"/>
            <w:noProof/>
            <w:sz w:val="22"/>
            <w:szCs w:val="22"/>
            <w:lang w:val="bg-BG" w:eastAsia="bg-BG"/>
          </w:rPr>
          <w:tab/>
        </w:r>
        <w:r w:rsidR="000B6B8D" w:rsidRPr="00427CC2">
          <w:rPr>
            <w:rStyle w:val="Hyperlink"/>
            <w:noProof/>
            <w:lang w:val="bg-BG"/>
          </w:rPr>
          <w:t>Хидрогеоложка характеристика</w:t>
        </w:r>
        <w:r w:rsidR="000B6B8D">
          <w:rPr>
            <w:noProof/>
            <w:webHidden/>
          </w:rPr>
          <w:tab/>
        </w:r>
        <w:r w:rsidR="000B6B8D">
          <w:rPr>
            <w:noProof/>
            <w:webHidden/>
          </w:rPr>
          <w:fldChar w:fldCharType="begin"/>
        </w:r>
        <w:r w:rsidR="000B6B8D">
          <w:rPr>
            <w:noProof/>
            <w:webHidden/>
          </w:rPr>
          <w:instrText xml:space="preserve"> PAGEREF _Toc7820633 \h </w:instrText>
        </w:r>
        <w:r w:rsidR="000B6B8D">
          <w:rPr>
            <w:noProof/>
            <w:webHidden/>
          </w:rPr>
        </w:r>
        <w:r w:rsidR="000B6B8D">
          <w:rPr>
            <w:noProof/>
            <w:webHidden/>
          </w:rPr>
          <w:fldChar w:fldCharType="separate"/>
        </w:r>
        <w:r w:rsidR="00702DCC">
          <w:rPr>
            <w:noProof/>
            <w:webHidden/>
          </w:rPr>
          <w:t>11</w:t>
        </w:r>
        <w:r w:rsidR="000B6B8D">
          <w:rPr>
            <w:noProof/>
            <w:webHidden/>
          </w:rPr>
          <w:fldChar w:fldCharType="end"/>
        </w:r>
      </w:hyperlink>
    </w:p>
    <w:p w14:paraId="5B48D098" w14:textId="7C53F5DB" w:rsidR="000B6B8D" w:rsidRDefault="00690422">
      <w:pPr>
        <w:pStyle w:val="TOC1"/>
        <w:tabs>
          <w:tab w:val="left" w:pos="660"/>
          <w:tab w:val="right" w:leader="dot" w:pos="9344"/>
        </w:tabs>
        <w:rPr>
          <w:rFonts w:asciiTheme="minorHAnsi" w:eastAsiaTheme="minorEastAsia" w:hAnsiTheme="minorHAnsi" w:cstheme="minorBidi"/>
          <w:noProof/>
          <w:sz w:val="22"/>
          <w:szCs w:val="22"/>
          <w:lang w:val="bg-BG" w:eastAsia="bg-BG"/>
        </w:rPr>
      </w:pPr>
      <w:hyperlink w:anchor="_Toc7820634" w:history="1">
        <w:r w:rsidR="000B6B8D" w:rsidRPr="00427CC2">
          <w:rPr>
            <w:rStyle w:val="Hyperlink"/>
            <w:noProof/>
            <w:lang w:val="bg-BG"/>
          </w:rPr>
          <w:t>1.5.</w:t>
        </w:r>
        <w:r w:rsidR="000B6B8D">
          <w:rPr>
            <w:rFonts w:asciiTheme="minorHAnsi" w:eastAsiaTheme="minorEastAsia" w:hAnsiTheme="minorHAnsi" w:cstheme="minorBidi"/>
            <w:noProof/>
            <w:sz w:val="22"/>
            <w:szCs w:val="22"/>
            <w:lang w:val="bg-BG" w:eastAsia="bg-BG"/>
          </w:rPr>
          <w:tab/>
        </w:r>
        <w:r w:rsidR="000B6B8D" w:rsidRPr="00427CC2">
          <w:rPr>
            <w:rStyle w:val="Hyperlink"/>
            <w:noProof/>
            <w:lang w:val="bg-BG"/>
          </w:rPr>
          <w:t>Нефтогазоносност</w:t>
        </w:r>
        <w:r w:rsidR="000B6B8D">
          <w:rPr>
            <w:noProof/>
            <w:webHidden/>
          </w:rPr>
          <w:tab/>
        </w:r>
        <w:r w:rsidR="000B6B8D">
          <w:rPr>
            <w:noProof/>
            <w:webHidden/>
          </w:rPr>
          <w:fldChar w:fldCharType="begin"/>
        </w:r>
        <w:r w:rsidR="000B6B8D">
          <w:rPr>
            <w:noProof/>
            <w:webHidden/>
          </w:rPr>
          <w:instrText xml:space="preserve"> PAGEREF _Toc7820634 \h </w:instrText>
        </w:r>
        <w:r w:rsidR="000B6B8D">
          <w:rPr>
            <w:noProof/>
            <w:webHidden/>
          </w:rPr>
        </w:r>
        <w:r w:rsidR="000B6B8D">
          <w:rPr>
            <w:noProof/>
            <w:webHidden/>
          </w:rPr>
          <w:fldChar w:fldCharType="separate"/>
        </w:r>
        <w:r w:rsidR="00702DCC">
          <w:rPr>
            <w:noProof/>
            <w:webHidden/>
          </w:rPr>
          <w:t>12</w:t>
        </w:r>
        <w:r w:rsidR="000B6B8D">
          <w:rPr>
            <w:noProof/>
            <w:webHidden/>
          </w:rPr>
          <w:fldChar w:fldCharType="end"/>
        </w:r>
      </w:hyperlink>
    </w:p>
    <w:p w14:paraId="1377327C" w14:textId="29B8D602"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35" w:history="1">
        <w:r w:rsidR="000B6B8D" w:rsidRPr="00427CC2">
          <w:rPr>
            <w:rStyle w:val="Hyperlink"/>
            <w:noProof/>
            <w:lang w:val="bg-BG"/>
          </w:rPr>
          <w:t>Глава 2. Съвременни методологични подходи при оценка на нефтогазоносната перспективност</w:t>
        </w:r>
        <w:r w:rsidR="000B6B8D">
          <w:rPr>
            <w:noProof/>
            <w:webHidden/>
          </w:rPr>
          <w:tab/>
        </w:r>
        <w:r w:rsidR="000B6B8D">
          <w:rPr>
            <w:noProof/>
            <w:webHidden/>
          </w:rPr>
          <w:fldChar w:fldCharType="begin"/>
        </w:r>
        <w:r w:rsidR="000B6B8D">
          <w:rPr>
            <w:noProof/>
            <w:webHidden/>
          </w:rPr>
          <w:instrText xml:space="preserve"> PAGEREF _Toc7820635 \h </w:instrText>
        </w:r>
        <w:r w:rsidR="000B6B8D">
          <w:rPr>
            <w:noProof/>
            <w:webHidden/>
          </w:rPr>
        </w:r>
        <w:r w:rsidR="000B6B8D">
          <w:rPr>
            <w:noProof/>
            <w:webHidden/>
          </w:rPr>
          <w:fldChar w:fldCharType="separate"/>
        </w:r>
        <w:r w:rsidR="00702DCC">
          <w:rPr>
            <w:noProof/>
            <w:webHidden/>
          </w:rPr>
          <w:t>13</w:t>
        </w:r>
        <w:r w:rsidR="000B6B8D">
          <w:rPr>
            <w:noProof/>
            <w:webHidden/>
          </w:rPr>
          <w:fldChar w:fldCharType="end"/>
        </w:r>
      </w:hyperlink>
    </w:p>
    <w:p w14:paraId="5ED87BAA" w14:textId="43948CE4"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36" w:history="1">
        <w:r w:rsidR="000B6B8D" w:rsidRPr="00427CC2">
          <w:rPr>
            <w:rStyle w:val="Hyperlink"/>
            <w:noProof/>
            <w:lang w:val="bg-BG"/>
          </w:rPr>
          <w:t>2.1. Методология на изследователския процес и геоложки предпоставки за нефтогазоносност</w:t>
        </w:r>
        <w:r w:rsidR="000B6B8D">
          <w:rPr>
            <w:noProof/>
            <w:webHidden/>
          </w:rPr>
          <w:tab/>
        </w:r>
        <w:r w:rsidR="000B6B8D">
          <w:rPr>
            <w:noProof/>
            <w:webHidden/>
          </w:rPr>
          <w:fldChar w:fldCharType="begin"/>
        </w:r>
        <w:r w:rsidR="000B6B8D">
          <w:rPr>
            <w:noProof/>
            <w:webHidden/>
          </w:rPr>
          <w:instrText xml:space="preserve"> PAGEREF _Toc7820636 \h </w:instrText>
        </w:r>
        <w:r w:rsidR="000B6B8D">
          <w:rPr>
            <w:noProof/>
            <w:webHidden/>
          </w:rPr>
        </w:r>
        <w:r w:rsidR="000B6B8D">
          <w:rPr>
            <w:noProof/>
            <w:webHidden/>
          </w:rPr>
          <w:fldChar w:fldCharType="separate"/>
        </w:r>
        <w:r w:rsidR="00702DCC">
          <w:rPr>
            <w:noProof/>
            <w:webHidden/>
          </w:rPr>
          <w:t>13</w:t>
        </w:r>
        <w:r w:rsidR="000B6B8D">
          <w:rPr>
            <w:noProof/>
            <w:webHidden/>
          </w:rPr>
          <w:fldChar w:fldCharType="end"/>
        </w:r>
      </w:hyperlink>
    </w:p>
    <w:p w14:paraId="320D0093" w14:textId="272996C4"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37" w:history="1">
        <w:r w:rsidR="000B6B8D" w:rsidRPr="00427CC2">
          <w:rPr>
            <w:rStyle w:val="Hyperlink"/>
            <w:noProof/>
            <w:lang w:val="bg-BG"/>
          </w:rPr>
          <w:t>2.2. Приложимост на органичната геохимия при оценка на въглеводородния потенциал</w:t>
        </w:r>
        <w:r w:rsidR="000B6B8D">
          <w:rPr>
            <w:noProof/>
            <w:webHidden/>
          </w:rPr>
          <w:tab/>
        </w:r>
        <w:r w:rsidR="000B6B8D">
          <w:rPr>
            <w:noProof/>
            <w:webHidden/>
          </w:rPr>
          <w:fldChar w:fldCharType="begin"/>
        </w:r>
        <w:r w:rsidR="000B6B8D">
          <w:rPr>
            <w:noProof/>
            <w:webHidden/>
          </w:rPr>
          <w:instrText xml:space="preserve"> PAGEREF _Toc7820637 \h </w:instrText>
        </w:r>
        <w:r w:rsidR="000B6B8D">
          <w:rPr>
            <w:noProof/>
            <w:webHidden/>
          </w:rPr>
        </w:r>
        <w:r w:rsidR="000B6B8D">
          <w:rPr>
            <w:noProof/>
            <w:webHidden/>
          </w:rPr>
          <w:fldChar w:fldCharType="separate"/>
        </w:r>
        <w:r w:rsidR="00702DCC">
          <w:rPr>
            <w:noProof/>
            <w:webHidden/>
          </w:rPr>
          <w:t>14</w:t>
        </w:r>
        <w:r w:rsidR="000B6B8D">
          <w:rPr>
            <w:noProof/>
            <w:webHidden/>
          </w:rPr>
          <w:fldChar w:fldCharType="end"/>
        </w:r>
      </w:hyperlink>
    </w:p>
    <w:p w14:paraId="37DBDCBF" w14:textId="1896B152"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38" w:history="1">
        <w:r w:rsidR="000B6B8D" w:rsidRPr="00427CC2">
          <w:rPr>
            <w:rStyle w:val="Hyperlink"/>
            <w:noProof/>
            <w:lang w:val="bg-BG"/>
          </w:rPr>
          <w:t>Глава 3. Методика на изследователските работи</w:t>
        </w:r>
        <w:r w:rsidR="000B6B8D">
          <w:rPr>
            <w:noProof/>
            <w:webHidden/>
          </w:rPr>
          <w:tab/>
        </w:r>
        <w:r w:rsidR="000B6B8D">
          <w:rPr>
            <w:noProof/>
            <w:webHidden/>
          </w:rPr>
          <w:fldChar w:fldCharType="begin"/>
        </w:r>
        <w:r w:rsidR="000B6B8D">
          <w:rPr>
            <w:noProof/>
            <w:webHidden/>
          </w:rPr>
          <w:instrText xml:space="preserve"> PAGEREF _Toc7820638 \h </w:instrText>
        </w:r>
        <w:r w:rsidR="000B6B8D">
          <w:rPr>
            <w:noProof/>
            <w:webHidden/>
          </w:rPr>
        </w:r>
        <w:r w:rsidR="000B6B8D">
          <w:rPr>
            <w:noProof/>
            <w:webHidden/>
          </w:rPr>
          <w:fldChar w:fldCharType="separate"/>
        </w:r>
        <w:r w:rsidR="00702DCC">
          <w:rPr>
            <w:noProof/>
            <w:webHidden/>
          </w:rPr>
          <w:t>14</w:t>
        </w:r>
        <w:r w:rsidR="000B6B8D">
          <w:rPr>
            <w:noProof/>
            <w:webHidden/>
          </w:rPr>
          <w:fldChar w:fldCharType="end"/>
        </w:r>
      </w:hyperlink>
    </w:p>
    <w:p w14:paraId="08B060F5" w14:textId="49493243"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39" w:history="1">
        <w:r w:rsidR="000B6B8D" w:rsidRPr="00427CC2">
          <w:rPr>
            <w:rStyle w:val="Hyperlink"/>
            <w:noProof/>
            <w:lang w:val="bg-BG"/>
          </w:rPr>
          <w:t>3.1. Теренни изследвания</w:t>
        </w:r>
        <w:r w:rsidR="000B6B8D">
          <w:rPr>
            <w:noProof/>
            <w:webHidden/>
          </w:rPr>
          <w:tab/>
        </w:r>
        <w:r w:rsidR="000B6B8D">
          <w:rPr>
            <w:noProof/>
            <w:webHidden/>
          </w:rPr>
          <w:fldChar w:fldCharType="begin"/>
        </w:r>
        <w:r w:rsidR="000B6B8D">
          <w:rPr>
            <w:noProof/>
            <w:webHidden/>
          </w:rPr>
          <w:instrText xml:space="preserve"> PAGEREF _Toc7820639 \h </w:instrText>
        </w:r>
        <w:r w:rsidR="000B6B8D">
          <w:rPr>
            <w:noProof/>
            <w:webHidden/>
          </w:rPr>
        </w:r>
        <w:r w:rsidR="000B6B8D">
          <w:rPr>
            <w:noProof/>
            <w:webHidden/>
          </w:rPr>
          <w:fldChar w:fldCharType="separate"/>
        </w:r>
        <w:r w:rsidR="00702DCC">
          <w:rPr>
            <w:noProof/>
            <w:webHidden/>
          </w:rPr>
          <w:t>14</w:t>
        </w:r>
        <w:r w:rsidR="000B6B8D">
          <w:rPr>
            <w:noProof/>
            <w:webHidden/>
          </w:rPr>
          <w:fldChar w:fldCharType="end"/>
        </w:r>
      </w:hyperlink>
    </w:p>
    <w:p w14:paraId="71845B1C" w14:textId="394E7B84"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0" w:history="1">
        <w:r w:rsidR="000B6B8D" w:rsidRPr="00427CC2">
          <w:rPr>
            <w:rStyle w:val="Hyperlink"/>
            <w:noProof/>
            <w:lang w:val="bg-BG"/>
          </w:rPr>
          <w:t>3.2. Лабораторни изследвания</w:t>
        </w:r>
        <w:r w:rsidR="000B6B8D">
          <w:rPr>
            <w:noProof/>
            <w:webHidden/>
          </w:rPr>
          <w:tab/>
        </w:r>
        <w:r w:rsidR="000B6B8D">
          <w:rPr>
            <w:noProof/>
            <w:webHidden/>
          </w:rPr>
          <w:fldChar w:fldCharType="begin"/>
        </w:r>
        <w:r w:rsidR="000B6B8D">
          <w:rPr>
            <w:noProof/>
            <w:webHidden/>
          </w:rPr>
          <w:instrText xml:space="preserve"> PAGEREF _Toc7820640 \h </w:instrText>
        </w:r>
        <w:r w:rsidR="000B6B8D">
          <w:rPr>
            <w:noProof/>
            <w:webHidden/>
          </w:rPr>
        </w:r>
        <w:r w:rsidR="000B6B8D">
          <w:rPr>
            <w:noProof/>
            <w:webHidden/>
          </w:rPr>
          <w:fldChar w:fldCharType="separate"/>
        </w:r>
        <w:r w:rsidR="00702DCC">
          <w:rPr>
            <w:noProof/>
            <w:webHidden/>
          </w:rPr>
          <w:t>15</w:t>
        </w:r>
        <w:r w:rsidR="000B6B8D">
          <w:rPr>
            <w:noProof/>
            <w:webHidden/>
          </w:rPr>
          <w:fldChar w:fldCharType="end"/>
        </w:r>
      </w:hyperlink>
    </w:p>
    <w:p w14:paraId="7DA845A4" w14:textId="7FCCCAC5"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1" w:history="1">
        <w:r w:rsidR="000B6B8D" w:rsidRPr="00427CC2">
          <w:rPr>
            <w:rStyle w:val="Hyperlink"/>
            <w:noProof/>
            <w:lang w:val="bg-BG"/>
          </w:rPr>
          <w:t>3.3. Моделни изследвания</w:t>
        </w:r>
        <w:r w:rsidR="000B6B8D">
          <w:rPr>
            <w:noProof/>
            <w:webHidden/>
          </w:rPr>
          <w:tab/>
        </w:r>
        <w:r w:rsidR="000B6B8D">
          <w:rPr>
            <w:noProof/>
            <w:webHidden/>
          </w:rPr>
          <w:fldChar w:fldCharType="begin"/>
        </w:r>
        <w:r w:rsidR="000B6B8D">
          <w:rPr>
            <w:noProof/>
            <w:webHidden/>
          </w:rPr>
          <w:instrText xml:space="preserve"> PAGEREF _Toc7820641 \h </w:instrText>
        </w:r>
        <w:r w:rsidR="000B6B8D">
          <w:rPr>
            <w:noProof/>
            <w:webHidden/>
          </w:rPr>
        </w:r>
        <w:r w:rsidR="000B6B8D">
          <w:rPr>
            <w:noProof/>
            <w:webHidden/>
          </w:rPr>
          <w:fldChar w:fldCharType="separate"/>
        </w:r>
        <w:r w:rsidR="00702DCC">
          <w:rPr>
            <w:noProof/>
            <w:webHidden/>
          </w:rPr>
          <w:t>15</w:t>
        </w:r>
        <w:r w:rsidR="000B6B8D">
          <w:rPr>
            <w:noProof/>
            <w:webHidden/>
          </w:rPr>
          <w:fldChar w:fldCharType="end"/>
        </w:r>
      </w:hyperlink>
    </w:p>
    <w:p w14:paraId="3B84AA2D" w14:textId="0A6C49B1"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2" w:history="1">
        <w:r w:rsidR="000B6B8D" w:rsidRPr="00427CC2">
          <w:rPr>
            <w:rStyle w:val="Hyperlink"/>
            <w:noProof/>
            <w:lang w:val="bg-BG"/>
          </w:rPr>
          <w:t>Глава 4. Интерпретация, анализ и оценка на басейновото пространство. Оценка на нефтогазоносната перспективност</w:t>
        </w:r>
        <w:r w:rsidR="000B6B8D">
          <w:rPr>
            <w:noProof/>
            <w:webHidden/>
          </w:rPr>
          <w:tab/>
        </w:r>
        <w:r w:rsidR="000B6B8D">
          <w:rPr>
            <w:noProof/>
            <w:webHidden/>
          </w:rPr>
          <w:fldChar w:fldCharType="begin"/>
        </w:r>
        <w:r w:rsidR="000B6B8D">
          <w:rPr>
            <w:noProof/>
            <w:webHidden/>
          </w:rPr>
          <w:instrText xml:space="preserve"> PAGEREF _Toc7820642 \h </w:instrText>
        </w:r>
        <w:r w:rsidR="000B6B8D">
          <w:rPr>
            <w:noProof/>
            <w:webHidden/>
          </w:rPr>
        </w:r>
        <w:r w:rsidR="000B6B8D">
          <w:rPr>
            <w:noProof/>
            <w:webHidden/>
          </w:rPr>
          <w:fldChar w:fldCharType="separate"/>
        </w:r>
        <w:r w:rsidR="00702DCC">
          <w:rPr>
            <w:noProof/>
            <w:webHidden/>
          </w:rPr>
          <w:t>16</w:t>
        </w:r>
        <w:r w:rsidR="000B6B8D">
          <w:rPr>
            <w:noProof/>
            <w:webHidden/>
          </w:rPr>
          <w:fldChar w:fldCharType="end"/>
        </w:r>
      </w:hyperlink>
    </w:p>
    <w:p w14:paraId="6B815517" w14:textId="61D934D4"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3" w:history="1">
        <w:r w:rsidR="000B6B8D" w:rsidRPr="00427CC2">
          <w:rPr>
            <w:rStyle w:val="Hyperlink"/>
            <w:noProof/>
            <w:lang w:val="bg-BG"/>
          </w:rPr>
          <w:t>4.1. Характеристика на басейновото запълване и история на геоложкото развитие на района</w:t>
        </w:r>
        <w:r w:rsidR="000B6B8D">
          <w:rPr>
            <w:noProof/>
            <w:webHidden/>
          </w:rPr>
          <w:tab/>
        </w:r>
        <w:r w:rsidR="000B6B8D">
          <w:rPr>
            <w:noProof/>
            <w:webHidden/>
          </w:rPr>
          <w:fldChar w:fldCharType="begin"/>
        </w:r>
        <w:r w:rsidR="000B6B8D">
          <w:rPr>
            <w:noProof/>
            <w:webHidden/>
          </w:rPr>
          <w:instrText xml:space="preserve"> PAGEREF _Toc7820643 \h </w:instrText>
        </w:r>
        <w:r w:rsidR="000B6B8D">
          <w:rPr>
            <w:noProof/>
            <w:webHidden/>
          </w:rPr>
        </w:r>
        <w:r w:rsidR="000B6B8D">
          <w:rPr>
            <w:noProof/>
            <w:webHidden/>
          </w:rPr>
          <w:fldChar w:fldCharType="separate"/>
        </w:r>
        <w:r w:rsidR="00702DCC">
          <w:rPr>
            <w:noProof/>
            <w:webHidden/>
          </w:rPr>
          <w:t>16</w:t>
        </w:r>
        <w:r w:rsidR="000B6B8D">
          <w:rPr>
            <w:noProof/>
            <w:webHidden/>
          </w:rPr>
          <w:fldChar w:fldCharType="end"/>
        </w:r>
      </w:hyperlink>
    </w:p>
    <w:p w14:paraId="5BAA3DE7" w14:textId="14DBDC33"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4" w:history="1">
        <w:r w:rsidR="000B6B8D" w:rsidRPr="00427CC2">
          <w:rPr>
            <w:rStyle w:val="Hyperlink"/>
            <w:noProof/>
            <w:lang w:val="bg-BG"/>
          </w:rPr>
          <w:t>4.2. Характеристика на структурно-тектонските особености. 3D структурен модел на терциерните наслаги</w:t>
        </w:r>
        <w:r w:rsidR="000B6B8D">
          <w:rPr>
            <w:noProof/>
            <w:webHidden/>
          </w:rPr>
          <w:tab/>
        </w:r>
        <w:r w:rsidR="000B6B8D">
          <w:rPr>
            <w:noProof/>
            <w:webHidden/>
          </w:rPr>
          <w:fldChar w:fldCharType="begin"/>
        </w:r>
        <w:r w:rsidR="000B6B8D">
          <w:rPr>
            <w:noProof/>
            <w:webHidden/>
          </w:rPr>
          <w:instrText xml:space="preserve"> PAGEREF _Toc7820644 \h </w:instrText>
        </w:r>
        <w:r w:rsidR="000B6B8D">
          <w:rPr>
            <w:noProof/>
            <w:webHidden/>
          </w:rPr>
        </w:r>
        <w:r w:rsidR="000B6B8D">
          <w:rPr>
            <w:noProof/>
            <w:webHidden/>
          </w:rPr>
          <w:fldChar w:fldCharType="separate"/>
        </w:r>
        <w:r w:rsidR="00702DCC">
          <w:rPr>
            <w:noProof/>
            <w:webHidden/>
          </w:rPr>
          <w:t>24</w:t>
        </w:r>
        <w:r w:rsidR="000B6B8D">
          <w:rPr>
            <w:noProof/>
            <w:webHidden/>
          </w:rPr>
          <w:fldChar w:fldCharType="end"/>
        </w:r>
      </w:hyperlink>
    </w:p>
    <w:p w14:paraId="2D15AC26" w14:textId="4D4A6380"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5" w:history="1">
        <w:r w:rsidR="000B6B8D" w:rsidRPr="00427CC2">
          <w:rPr>
            <w:rStyle w:val="Hyperlink"/>
            <w:noProof/>
            <w:lang w:val="bg-BG"/>
          </w:rPr>
          <w:t>4.3. Природни резервоари - характеристика на колекторните и изолиращите наслаги. Природни капани</w:t>
        </w:r>
        <w:r w:rsidR="000B6B8D">
          <w:rPr>
            <w:noProof/>
            <w:webHidden/>
          </w:rPr>
          <w:tab/>
        </w:r>
        <w:r w:rsidR="000B6B8D">
          <w:rPr>
            <w:noProof/>
            <w:webHidden/>
          </w:rPr>
          <w:fldChar w:fldCharType="begin"/>
        </w:r>
        <w:r w:rsidR="000B6B8D">
          <w:rPr>
            <w:noProof/>
            <w:webHidden/>
          </w:rPr>
          <w:instrText xml:space="preserve"> PAGEREF _Toc7820645 \h </w:instrText>
        </w:r>
        <w:r w:rsidR="000B6B8D">
          <w:rPr>
            <w:noProof/>
            <w:webHidden/>
          </w:rPr>
        </w:r>
        <w:r w:rsidR="000B6B8D">
          <w:rPr>
            <w:noProof/>
            <w:webHidden/>
          </w:rPr>
          <w:fldChar w:fldCharType="separate"/>
        </w:r>
        <w:r w:rsidR="00702DCC">
          <w:rPr>
            <w:noProof/>
            <w:webHidden/>
          </w:rPr>
          <w:t>26</w:t>
        </w:r>
        <w:r w:rsidR="000B6B8D">
          <w:rPr>
            <w:noProof/>
            <w:webHidden/>
          </w:rPr>
          <w:fldChar w:fldCharType="end"/>
        </w:r>
      </w:hyperlink>
    </w:p>
    <w:p w14:paraId="3379F07E" w14:textId="2DD60501"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6" w:history="1">
        <w:r w:rsidR="000B6B8D" w:rsidRPr="00427CC2">
          <w:rPr>
            <w:rStyle w:val="Hyperlink"/>
            <w:noProof/>
            <w:lang w:val="bg-BG"/>
          </w:rPr>
          <w:t>4.4. Анализ и оценка на хидрогеоложкия фактор</w:t>
        </w:r>
        <w:r w:rsidR="000B6B8D">
          <w:rPr>
            <w:noProof/>
            <w:webHidden/>
          </w:rPr>
          <w:tab/>
        </w:r>
        <w:r w:rsidR="000B6B8D">
          <w:rPr>
            <w:noProof/>
            <w:webHidden/>
          </w:rPr>
          <w:fldChar w:fldCharType="begin"/>
        </w:r>
        <w:r w:rsidR="000B6B8D">
          <w:rPr>
            <w:noProof/>
            <w:webHidden/>
          </w:rPr>
          <w:instrText xml:space="preserve"> PAGEREF _Toc7820646 \h </w:instrText>
        </w:r>
        <w:r w:rsidR="000B6B8D">
          <w:rPr>
            <w:noProof/>
            <w:webHidden/>
          </w:rPr>
        </w:r>
        <w:r w:rsidR="000B6B8D">
          <w:rPr>
            <w:noProof/>
            <w:webHidden/>
          </w:rPr>
          <w:fldChar w:fldCharType="separate"/>
        </w:r>
        <w:r w:rsidR="00702DCC">
          <w:rPr>
            <w:noProof/>
            <w:webHidden/>
          </w:rPr>
          <w:t>31</w:t>
        </w:r>
        <w:r w:rsidR="000B6B8D">
          <w:rPr>
            <w:noProof/>
            <w:webHidden/>
          </w:rPr>
          <w:fldChar w:fldCharType="end"/>
        </w:r>
      </w:hyperlink>
    </w:p>
    <w:p w14:paraId="680BDE93" w14:textId="1415E5C2"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7" w:history="1">
        <w:r w:rsidR="000B6B8D" w:rsidRPr="00427CC2">
          <w:rPr>
            <w:rStyle w:val="Hyperlink"/>
            <w:noProof/>
            <w:lang w:val="bg-BG"/>
          </w:rPr>
          <w:t>4.5. Оценка на въглеводородо-генерационния потенциал на скалите и характеристика на степента на зрялост на ОВ</w:t>
        </w:r>
        <w:r w:rsidR="000B6B8D">
          <w:rPr>
            <w:noProof/>
            <w:webHidden/>
          </w:rPr>
          <w:tab/>
        </w:r>
        <w:r w:rsidR="000B6B8D">
          <w:rPr>
            <w:noProof/>
            <w:webHidden/>
          </w:rPr>
          <w:fldChar w:fldCharType="begin"/>
        </w:r>
        <w:r w:rsidR="000B6B8D">
          <w:rPr>
            <w:noProof/>
            <w:webHidden/>
          </w:rPr>
          <w:instrText xml:space="preserve"> PAGEREF _Toc7820647 \h </w:instrText>
        </w:r>
        <w:r w:rsidR="000B6B8D">
          <w:rPr>
            <w:noProof/>
            <w:webHidden/>
          </w:rPr>
        </w:r>
        <w:r w:rsidR="000B6B8D">
          <w:rPr>
            <w:noProof/>
            <w:webHidden/>
          </w:rPr>
          <w:fldChar w:fldCharType="separate"/>
        </w:r>
        <w:r w:rsidR="00702DCC">
          <w:rPr>
            <w:noProof/>
            <w:webHidden/>
          </w:rPr>
          <w:t>32</w:t>
        </w:r>
        <w:r w:rsidR="000B6B8D">
          <w:rPr>
            <w:noProof/>
            <w:webHidden/>
          </w:rPr>
          <w:fldChar w:fldCharType="end"/>
        </w:r>
      </w:hyperlink>
    </w:p>
    <w:p w14:paraId="2A668E36" w14:textId="7933A569"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8" w:history="1">
        <w:r w:rsidR="000B6B8D" w:rsidRPr="00427CC2">
          <w:rPr>
            <w:rStyle w:val="Hyperlink"/>
            <w:noProof/>
            <w:lang w:val="bg-BG"/>
          </w:rPr>
          <w:t>4.6. Реконструкция на историята на потъване и геотермичната история на района на изследване</w:t>
        </w:r>
        <w:r w:rsidR="000B6B8D">
          <w:rPr>
            <w:noProof/>
            <w:webHidden/>
          </w:rPr>
          <w:tab/>
        </w:r>
        <w:r w:rsidR="000B6B8D">
          <w:rPr>
            <w:noProof/>
            <w:webHidden/>
          </w:rPr>
          <w:fldChar w:fldCharType="begin"/>
        </w:r>
        <w:r w:rsidR="000B6B8D">
          <w:rPr>
            <w:noProof/>
            <w:webHidden/>
          </w:rPr>
          <w:instrText xml:space="preserve"> PAGEREF _Toc7820648 \h </w:instrText>
        </w:r>
        <w:r w:rsidR="000B6B8D">
          <w:rPr>
            <w:noProof/>
            <w:webHidden/>
          </w:rPr>
        </w:r>
        <w:r w:rsidR="000B6B8D">
          <w:rPr>
            <w:noProof/>
            <w:webHidden/>
          </w:rPr>
          <w:fldChar w:fldCharType="separate"/>
        </w:r>
        <w:r w:rsidR="00702DCC">
          <w:rPr>
            <w:noProof/>
            <w:webHidden/>
          </w:rPr>
          <w:t>40</w:t>
        </w:r>
        <w:r w:rsidR="000B6B8D">
          <w:rPr>
            <w:noProof/>
            <w:webHidden/>
          </w:rPr>
          <w:fldChar w:fldCharType="end"/>
        </w:r>
      </w:hyperlink>
    </w:p>
    <w:p w14:paraId="3B6A7B2B" w14:textId="1BC4D89E"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49" w:history="1">
        <w:r w:rsidR="000B6B8D" w:rsidRPr="00427CC2">
          <w:rPr>
            <w:rStyle w:val="Hyperlink"/>
            <w:noProof/>
            <w:lang w:val="bg-BG"/>
          </w:rPr>
          <w:t>4.7. Сравнителна оценка на ВВ потенциал в различни части на изучавания район.</w:t>
        </w:r>
        <w:r w:rsidR="000B6B8D">
          <w:rPr>
            <w:noProof/>
            <w:webHidden/>
          </w:rPr>
          <w:tab/>
        </w:r>
        <w:r w:rsidR="000B6B8D">
          <w:rPr>
            <w:noProof/>
            <w:webHidden/>
          </w:rPr>
          <w:fldChar w:fldCharType="begin"/>
        </w:r>
        <w:r w:rsidR="000B6B8D">
          <w:rPr>
            <w:noProof/>
            <w:webHidden/>
          </w:rPr>
          <w:instrText xml:space="preserve"> PAGEREF _Toc7820649 \h </w:instrText>
        </w:r>
        <w:r w:rsidR="000B6B8D">
          <w:rPr>
            <w:noProof/>
            <w:webHidden/>
          </w:rPr>
        </w:r>
        <w:r w:rsidR="000B6B8D">
          <w:rPr>
            <w:noProof/>
            <w:webHidden/>
          </w:rPr>
          <w:fldChar w:fldCharType="separate"/>
        </w:r>
        <w:r w:rsidR="00702DCC">
          <w:rPr>
            <w:noProof/>
            <w:webHidden/>
          </w:rPr>
          <w:t>44</w:t>
        </w:r>
        <w:r w:rsidR="000B6B8D">
          <w:rPr>
            <w:noProof/>
            <w:webHidden/>
          </w:rPr>
          <w:fldChar w:fldCharType="end"/>
        </w:r>
      </w:hyperlink>
    </w:p>
    <w:p w14:paraId="7F03FA62" w14:textId="2ACF8B54"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50" w:history="1">
        <w:r w:rsidR="000B6B8D" w:rsidRPr="00427CC2">
          <w:rPr>
            <w:rStyle w:val="Hyperlink"/>
            <w:noProof/>
            <w:lang w:val="bg-BG"/>
          </w:rPr>
          <w:t>Заключение</w:t>
        </w:r>
        <w:r w:rsidR="000B6B8D">
          <w:rPr>
            <w:noProof/>
            <w:webHidden/>
          </w:rPr>
          <w:tab/>
        </w:r>
        <w:r w:rsidR="000B6B8D">
          <w:rPr>
            <w:noProof/>
            <w:webHidden/>
          </w:rPr>
          <w:fldChar w:fldCharType="begin"/>
        </w:r>
        <w:r w:rsidR="000B6B8D">
          <w:rPr>
            <w:noProof/>
            <w:webHidden/>
          </w:rPr>
          <w:instrText xml:space="preserve"> PAGEREF _Toc7820650 \h </w:instrText>
        </w:r>
        <w:r w:rsidR="000B6B8D">
          <w:rPr>
            <w:noProof/>
            <w:webHidden/>
          </w:rPr>
        </w:r>
        <w:r w:rsidR="000B6B8D">
          <w:rPr>
            <w:noProof/>
            <w:webHidden/>
          </w:rPr>
          <w:fldChar w:fldCharType="separate"/>
        </w:r>
        <w:r w:rsidR="00702DCC">
          <w:rPr>
            <w:noProof/>
            <w:webHidden/>
          </w:rPr>
          <w:t>45</w:t>
        </w:r>
        <w:r w:rsidR="000B6B8D">
          <w:rPr>
            <w:noProof/>
            <w:webHidden/>
          </w:rPr>
          <w:fldChar w:fldCharType="end"/>
        </w:r>
      </w:hyperlink>
    </w:p>
    <w:p w14:paraId="56A972AB" w14:textId="41CE12CC" w:rsidR="000B6B8D" w:rsidRDefault="00690422">
      <w:pPr>
        <w:pStyle w:val="TOC1"/>
        <w:tabs>
          <w:tab w:val="right" w:leader="dot" w:pos="9344"/>
        </w:tabs>
        <w:rPr>
          <w:rFonts w:asciiTheme="minorHAnsi" w:eastAsiaTheme="minorEastAsia" w:hAnsiTheme="minorHAnsi" w:cstheme="minorBidi"/>
          <w:noProof/>
          <w:sz w:val="22"/>
          <w:szCs w:val="22"/>
          <w:lang w:val="bg-BG" w:eastAsia="bg-BG"/>
        </w:rPr>
      </w:pPr>
      <w:hyperlink w:anchor="_Toc7820651" w:history="1">
        <w:r w:rsidR="000B6B8D" w:rsidRPr="00427CC2">
          <w:rPr>
            <w:rStyle w:val="Hyperlink"/>
            <w:noProof/>
            <w:lang w:val="bg-BG"/>
          </w:rPr>
          <w:t>Основни приноси</w:t>
        </w:r>
        <w:r w:rsidR="000B6B8D">
          <w:rPr>
            <w:noProof/>
            <w:webHidden/>
          </w:rPr>
          <w:tab/>
        </w:r>
        <w:r w:rsidR="000B6B8D">
          <w:rPr>
            <w:noProof/>
            <w:webHidden/>
          </w:rPr>
          <w:fldChar w:fldCharType="begin"/>
        </w:r>
        <w:r w:rsidR="000B6B8D">
          <w:rPr>
            <w:noProof/>
            <w:webHidden/>
          </w:rPr>
          <w:instrText xml:space="preserve"> PAGEREF _Toc7820651 \h </w:instrText>
        </w:r>
        <w:r w:rsidR="000B6B8D">
          <w:rPr>
            <w:noProof/>
            <w:webHidden/>
          </w:rPr>
        </w:r>
        <w:r w:rsidR="000B6B8D">
          <w:rPr>
            <w:noProof/>
            <w:webHidden/>
          </w:rPr>
          <w:fldChar w:fldCharType="separate"/>
        </w:r>
        <w:r w:rsidR="00702DCC">
          <w:rPr>
            <w:noProof/>
            <w:webHidden/>
          </w:rPr>
          <w:t>48</w:t>
        </w:r>
        <w:r w:rsidR="000B6B8D">
          <w:rPr>
            <w:noProof/>
            <w:webHidden/>
          </w:rPr>
          <w:fldChar w:fldCharType="end"/>
        </w:r>
      </w:hyperlink>
    </w:p>
    <w:p w14:paraId="27D95C1F" w14:textId="5182A165" w:rsidR="00C62456" w:rsidRPr="00A1696A" w:rsidRDefault="0096493B" w:rsidP="0096493B">
      <w:pPr>
        <w:spacing w:after="0" w:line="240" w:lineRule="auto"/>
        <w:jc w:val="both"/>
        <w:rPr>
          <w:rFonts w:ascii="Times New Roman" w:hAnsi="Times New Roman" w:cs="Times New Roman"/>
          <w:b/>
          <w:sz w:val="24"/>
          <w:szCs w:val="24"/>
        </w:rPr>
      </w:pPr>
      <w:r w:rsidRPr="001E2A7A">
        <w:rPr>
          <w:rFonts w:ascii="Times New Roman" w:hAnsi="Times New Roman" w:cs="Times New Roman"/>
          <w:sz w:val="24"/>
          <w:szCs w:val="24"/>
        </w:rPr>
        <w:fldChar w:fldCharType="end"/>
      </w:r>
    </w:p>
    <w:bookmarkEnd w:id="1"/>
    <w:p w14:paraId="0DAB891E" w14:textId="77777777" w:rsidR="00EC3B17" w:rsidRPr="00A1696A" w:rsidRDefault="00EC3B17" w:rsidP="006B6EBF">
      <w:pPr>
        <w:pStyle w:val="ListParagraph"/>
        <w:spacing w:after="0" w:line="240" w:lineRule="auto"/>
        <w:ind w:left="0"/>
        <w:jc w:val="both"/>
        <w:rPr>
          <w:rFonts w:ascii="Times New Roman" w:hAnsi="Times New Roman" w:cs="Times New Roman"/>
          <w:sz w:val="24"/>
          <w:szCs w:val="24"/>
        </w:rPr>
      </w:pPr>
    </w:p>
    <w:p w14:paraId="16321D2F" w14:textId="77777777" w:rsidR="007B1E83" w:rsidRPr="00A1696A" w:rsidRDefault="007B1E83" w:rsidP="007B1E83"/>
    <w:p w14:paraId="737C8D44" w14:textId="77777777" w:rsidR="007B1E83" w:rsidRPr="00A1696A" w:rsidRDefault="007B1E83" w:rsidP="007B1E83"/>
    <w:p w14:paraId="354F95AC" w14:textId="77777777" w:rsidR="007B1E83" w:rsidRPr="00A1696A" w:rsidRDefault="007B1E83" w:rsidP="007B1E83">
      <w:pPr>
        <w:jc w:val="right"/>
        <w:rPr>
          <w:rFonts w:ascii="Times New Roman" w:hAnsi="Times New Roman" w:cs="Times New Roman"/>
          <w:sz w:val="24"/>
          <w:szCs w:val="24"/>
        </w:rPr>
      </w:pPr>
    </w:p>
    <w:p w14:paraId="7EFC824E" w14:textId="77777777" w:rsidR="007B1E83" w:rsidRPr="00A1696A" w:rsidRDefault="007B1E83" w:rsidP="007B1E83">
      <w:pPr>
        <w:rPr>
          <w:rFonts w:ascii="Times New Roman" w:hAnsi="Times New Roman" w:cs="Times New Roman"/>
          <w:sz w:val="24"/>
          <w:szCs w:val="24"/>
        </w:rPr>
      </w:pPr>
    </w:p>
    <w:p w14:paraId="036EBA12" w14:textId="053FE338" w:rsidR="007B1E83" w:rsidRPr="00A1696A" w:rsidRDefault="007B1E83" w:rsidP="007B1E83">
      <w:pPr>
        <w:sectPr w:rsidR="007B1E83" w:rsidRPr="00A1696A" w:rsidSect="002D3360">
          <w:pgSz w:w="11906" w:h="16838"/>
          <w:pgMar w:top="1134" w:right="1134" w:bottom="1134" w:left="1418" w:header="709" w:footer="709" w:gutter="0"/>
          <w:cols w:space="708"/>
          <w:docGrid w:linePitch="360"/>
        </w:sectPr>
      </w:pPr>
    </w:p>
    <w:p w14:paraId="426ED593" w14:textId="77777777" w:rsidR="00BC436B" w:rsidRPr="00A1696A" w:rsidRDefault="00BC436B" w:rsidP="006B6EBF">
      <w:pPr>
        <w:pStyle w:val="Style1"/>
        <w:jc w:val="both"/>
        <w:rPr>
          <w:lang w:val="bg-BG"/>
        </w:rPr>
      </w:pPr>
      <w:bookmarkStart w:id="3" w:name="_Toc7820628"/>
      <w:bookmarkStart w:id="4" w:name="_Hlk7777902"/>
      <w:bookmarkStart w:id="5" w:name="_Hlk7514299"/>
      <w:r w:rsidRPr="00A1696A">
        <w:rPr>
          <w:lang w:val="bg-BG"/>
        </w:rPr>
        <w:lastRenderedPageBreak/>
        <w:t>Въведение</w:t>
      </w:r>
      <w:bookmarkEnd w:id="3"/>
    </w:p>
    <w:p w14:paraId="6E345C71" w14:textId="3B8EB10E" w:rsidR="008F3FAE" w:rsidRDefault="001D21F3" w:rsidP="008F3FAE">
      <w:pPr>
        <w:pStyle w:val="NormalWeb"/>
        <w:spacing w:before="0" w:beforeAutospacing="0" w:after="0" w:afterAutospacing="0"/>
        <w:ind w:firstLine="709"/>
        <w:jc w:val="both"/>
      </w:pPr>
      <w:bookmarkStart w:id="6" w:name="_Hlk7777820"/>
      <w:r w:rsidRPr="00A1696A">
        <w:rPr>
          <w:b/>
          <w:i/>
        </w:rPr>
        <w:t>Актуалност на проблема</w:t>
      </w:r>
      <w:r w:rsidR="00DA5D81" w:rsidRPr="00A1696A">
        <w:rPr>
          <w:b/>
          <w:i/>
        </w:rPr>
        <w:t xml:space="preserve">. </w:t>
      </w:r>
      <w:bookmarkStart w:id="7" w:name="_Hlk7777173"/>
      <w:bookmarkStart w:id="8" w:name="_Hlk7775442"/>
      <w:bookmarkEnd w:id="6"/>
      <w:r w:rsidR="00CC2395">
        <w:t xml:space="preserve">Ролята на </w:t>
      </w:r>
      <w:r w:rsidR="0089792F">
        <w:t>въглеводородните</w:t>
      </w:r>
      <w:r w:rsidR="00CC2395">
        <w:t xml:space="preserve"> ресурси в съвременното и перспективното развитие на световната и националната икономики непрекъснато нараства. </w:t>
      </w:r>
      <w:bookmarkStart w:id="9" w:name="_Hlk7777188"/>
      <w:bookmarkEnd w:id="7"/>
      <w:r w:rsidR="00CC2395">
        <w:t>Нарастват и темповете на геоло</w:t>
      </w:r>
      <w:r w:rsidR="0089792F">
        <w:t>го</w:t>
      </w:r>
      <w:r w:rsidR="00CC2395">
        <w:t>-проу</w:t>
      </w:r>
      <w:r w:rsidR="000743EC">
        <w:t>ч</w:t>
      </w:r>
      <w:r w:rsidR="00CC2395">
        <w:t>вателните работи</w:t>
      </w:r>
      <w:r w:rsidR="004E1FF3">
        <w:t>, както в световен мащаб, така в</w:t>
      </w:r>
      <w:r w:rsidR="00CC2395">
        <w:t xml:space="preserve"> не по-малка степен и </w:t>
      </w:r>
      <w:r w:rsidR="004E1FF3">
        <w:t>в</w:t>
      </w:r>
      <w:r w:rsidR="00CC2395">
        <w:t xml:space="preserve"> нашата страна.</w:t>
      </w:r>
      <w:bookmarkEnd w:id="8"/>
      <w:bookmarkEnd w:id="9"/>
      <w:r w:rsidR="0089792F">
        <w:t xml:space="preserve"> </w:t>
      </w:r>
      <w:bookmarkStart w:id="10" w:name="_Hlk7777203"/>
      <w:r w:rsidR="004E1FF3">
        <w:t xml:space="preserve">В резултат на провежданите, след средата на </w:t>
      </w:r>
      <w:r w:rsidR="004E1FF3" w:rsidRPr="001E2A7A">
        <w:t>XX-ти век</w:t>
      </w:r>
      <w:r w:rsidR="004E1FF3">
        <w:t>,</w:t>
      </w:r>
      <w:r w:rsidR="004E1FF3" w:rsidRPr="001E2A7A">
        <w:t xml:space="preserve"> </w:t>
      </w:r>
      <w:r w:rsidR="004E1FF3">
        <w:t xml:space="preserve">системни </w:t>
      </w:r>
      <w:r w:rsidR="004E1FF3" w:rsidRPr="001E2A7A">
        <w:t xml:space="preserve">търсещо-проучвателни дейности </w:t>
      </w:r>
      <w:r w:rsidR="004E1FF3">
        <w:t xml:space="preserve">на територията на </w:t>
      </w:r>
      <w:r w:rsidR="004E1FF3" w:rsidRPr="001E2A7A">
        <w:t>Северна България</w:t>
      </w:r>
      <w:r w:rsidR="004E1FF3">
        <w:t xml:space="preserve"> са открити над 30 разномащабни въглеводородните акумулации от конвенционален тип.</w:t>
      </w:r>
      <w:r w:rsidR="008F3FAE">
        <w:t xml:space="preserve"> </w:t>
      </w:r>
      <w:r w:rsidR="004E1FF3">
        <w:t xml:space="preserve"> </w:t>
      </w:r>
      <w:bookmarkStart w:id="11" w:name="_Hlk7776352"/>
      <w:bookmarkEnd w:id="10"/>
      <w:r w:rsidR="008F3FAE">
        <w:t xml:space="preserve">От края на миналия век до наши дни </w:t>
      </w:r>
      <w:r w:rsidR="008F3FAE" w:rsidRPr="001E2A7A">
        <w:t>засилен интерес има към проучването за нефт и газ в българската акватория на Черно море</w:t>
      </w:r>
      <w:r w:rsidR="008F3FAE">
        <w:t xml:space="preserve">. </w:t>
      </w:r>
      <w:r w:rsidR="004E1FF3">
        <w:t xml:space="preserve">Това е </w:t>
      </w:r>
      <w:r w:rsidR="009C11FD" w:rsidRPr="00A1696A">
        <w:t>предпоставка за издаването на множество фондови и научни материали, засягащи широк кръг от въпроси за нефтогазоносността на територията.</w:t>
      </w:r>
      <w:r w:rsidR="005F4C63" w:rsidRPr="00A1696A">
        <w:t xml:space="preserve"> </w:t>
      </w:r>
      <w:bookmarkStart w:id="12" w:name="_Hlk7776523"/>
      <w:bookmarkEnd w:id="11"/>
    </w:p>
    <w:p w14:paraId="1939C089" w14:textId="353485A0" w:rsidR="009C11FD" w:rsidRPr="00A36405" w:rsidRDefault="009C11FD" w:rsidP="008F3FAE">
      <w:pPr>
        <w:pStyle w:val="NormalWeb"/>
        <w:spacing w:before="0" w:beforeAutospacing="0" w:after="0" w:afterAutospacing="0"/>
        <w:ind w:firstLine="709"/>
        <w:jc w:val="both"/>
      </w:pPr>
      <w:r w:rsidRPr="00A1696A">
        <w:t xml:space="preserve">По друг начин стои въпросът с Югоизточна България. От гледна точка на нефтогазоносната ѝ перспективност до настоящия момент изучеността на тази част от страната ни е оскъдна. Тя се основава на епизодично проведени геолого-геофизични и сондажни дейности, единични изследователски проекти и публикувани материали, които разглеждат в регионален и/или силно ограничен план основни аспекти  от нефтогазоносността на района. </w:t>
      </w:r>
      <w:bookmarkStart w:id="13" w:name="_Hlk7776679"/>
      <w:bookmarkEnd w:id="12"/>
      <w:r w:rsidRPr="00A1696A">
        <w:t xml:space="preserve">В тектонско отношение районът на Югоизточна България обхваща и се явява продължение на големи структурни единици, които излизат извън пределите на административните граници на страната. </w:t>
      </w:r>
      <w:bookmarkStart w:id="14" w:name="_Hlk7777094"/>
      <w:bookmarkEnd w:id="13"/>
      <w:r w:rsidRPr="00A1696A">
        <w:t>На територията на съседна Турция е дефинирана обширната Тракийска депресия, която в резултат на продължителни целенасочени геолого-геофизични и сондажни дейности е оценена като петролна система със значителен потенциал. Нейните окрайни северозападни участъци попадат на територията на Р. България, в югоизточната част на Горнотракийската низина.</w:t>
      </w:r>
      <w:bookmarkEnd w:id="14"/>
      <w:r w:rsidRPr="00A1696A">
        <w:t xml:space="preserve"> </w:t>
      </w:r>
    </w:p>
    <w:p w14:paraId="63CCBE0E" w14:textId="63362E00" w:rsidR="00953D08" w:rsidRPr="00A1696A" w:rsidRDefault="009C11FD" w:rsidP="006B6EBF">
      <w:pPr>
        <w:pStyle w:val="NormalWeb"/>
        <w:spacing w:before="0" w:beforeAutospacing="0" w:after="0" w:afterAutospacing="0"/>
        <w:ind w:firstLine="709"/>
        <w:jc w:val="both"/>
      </w:pPr>
      <w:bookmarkStart w:id="15" w:name="_Hlk7777707"/>
      <w:r w:rsidRPr="00A1696A">
        <w:t xml:space="preserve">Предвид </w:t>
      </w:r>
      <w:r w:rsidR="00953D08" w:rsidRPr="00A1696A">
        <w:t>тези</w:t>
      </w:r>
      <w:r w:rsidRPr="00A1696A">
        <w:t xml:space="preserve"> обстоятелства възниква необходимостта от осъществяването на теренни и изследователски работи, които да оценят перспективността на територията, като възможен обект за бъдещи инвестиционни намерения. </w:t>
      </w:r>
      <w:r w:rsidR="00953D08" w:rsidRPr="00A1696A">
        <w:t>Изложените до тук факти са основна предпоставка за избирането на район на изследване в настоящата дисертационна работа. Както в голяма част от бързоразвиващите се сфери, така и в нефтогазовата промишленост, работата на петролната индустрия и на академичната общност вървят ръка за ръка. Позовавайки се на този факт, методиката и темата на този дисертационен труд са подбрани така, че напълно да съответстват на моите научни интереси и бъдещи професионални планове на развитие.</w:t>
      </w:r>
      <w:bookmarkEnd w:id="15"/>
    </w:p>
    <w:p w14:paraId="293CC8D6" w14:textId="14D89470" w:rsidR="009C11FD" w:rsidRPr="00A1696A" w:rsidRDefault="00BF5BBD" w:rsidP="006B6EBF">
      <w:pPr>
        <w:pStyle w:val="NormalWeb"/>
        <w:spacing w:before="0" w:beforeAutospacing="0" w:after="0" w:afterAutospacing="0"/>
        <w:ind w:firstLine="709"/>
        <w:jc w:val="both"/>
      </w:pPr>
      <w:bookmarkStart w:id="16" w:name="_Hlk7778842"/>
      <w:bookmarkEnd w:id="4"/>
      <w:r w:rsidRPr="00A1696A">
        <w:rPr>
          <w:b/>
          <w:i/>
        </w:rPr>
        <w:t xml:space="preserve">Цел и задачи на дисертационния труд. </w:t>
      </w:r>
      <w:r w:rsidR="009C11FD" w:rsidRPr="00A1696A">
        <w:t xml:space="preserve">В съответствие с гореизложеното са формулирани </w:t>
      </w:r>
      <w:bookmarkStart w:id="17" w:name="_Hlk7778001"/>
      <w:r w:rsidR="009C11FD" w:rsidRPr="00A1696A">
        <w:t>цел</w:t>
      </w:r>
      <w:r w:rsidR="000743EC">
        <w:t>та</w:t>
      </w:r>
      <w:r w:rsidR="009C11FD" w:rsidRPr="00A1696A">
        <w:t xml:space="preserve"> и задачи</w:t>
      </w:r>
      <w:r w:rsidR="000743EC">
        <w:t>те</w:t>
      </w:r>
      <w:r w:rsidR="009C11FD" w:rsidRPr="00A1696A">
        <w:t xml:space="preserve"> </w:t>
      </w:r>
      <w:bookmarkEnd w:id="17"/>
      <w:r w:rsidR="009C11FD" w:rsidRPr="00A1696A">
        <w:t>на настоящата разработка.</w:t>
      </w:r>
    </w:p>
    <w:p w14:paraId="15F3DDCF" w14:textId="06B4615F" w:rsidR="006D1AF7" w:rsidRPr="00A1696A" w:rsidRDefault="002B62B5" w:rsidP="006B6EBF">
      <w:pPr>
        <w:pStyle w:val="NormalWeb"/>
        <w:numPr>
          <w:ilvl w:val="0"/>
          <w:numId w:val="2"/>
        </w:numPr>
        <w:spacing w:before="0" w:beforeAutospacing="0" w:after="0" w:afterAutospacing="0"/>
        <w:jc w:val="both"/>
      </w:pPr>
      <w:r w:rsidRPr="00A1696A">
        <w:t>Ц</w:t>
      </w:r>
      <w:r w:rsidR="006D1AF7" w:rsidRPr="00A1696A">
        <w:t>ел</w:t>
      </w:r>
      <w:r w:rsidR="00081CD0" w:rsidRPr="00A1696A">
        <w:t xml:space="preserve"> на </w:t>
      </w:r>
      <w:r w:rsidR="00FD4A25" w:rsidRPr="00A1696A">
        <w:t>дисертационния труд</w:t>
      </w:r>
      <w:r w:rsidR="006D1AF7" w:rsidRPr="00A1696A">
        <w:t xml:space="preserve">: </w:t>
      </w:r>
    </w:p>
    <w:p w14:paraId="47910053" w14:textId="476FFD30" w:rsidR="006D1AF7" w:rsidRPr="00A1696A" w:rsidRDefault="006D1AF7" w:rsidP="006B6EBF">
      <w:pPr>
        <w:pStyle w:val="NormalWeb"/>
        <w:spacing w:before="0" w:beforeAutospacing="0" w:after="0" w:afterAutospacing="0"/>
        <w:ind w:left="720"/>
        <w:jc w:val="both"/>
      </w:pPr>
      <w:r w:rsidRPr="00A1696A">
        <w:t xml:space="preserve">Изучаване, анализ и </w:t>
      </w:r>
      <w:bookmarkStart w:id="18" w:name="_Hlk21676"/>
      <w:r w:rsidRPr="00A1696A">
        <w:t>оценка на нефтогазоносната перспективност на югоизточната част на Горнотракийската низина</w:t>
      </w:r>
      <w:bookmarkEnd w:id="18"/>
      <w:r w:rsidRPr="00A1696A">
        <w:t>.</w:t>
      </w:r>
    </w:p>
    <w:p w14:paraId="583ABC3F" w14:textId="676E3FDC" w:rsidR="0035590E" w:rsidRPr="00A1696A" w:rsidRDefault="00081CD0" w:rsidP="006B6EBF">
      <w:pPr>
        <w:pStyle w:val="NormalWeb"/>
        <w:numPr>
          <w:ilvl w:val="0"/>
          <w:numId w:val="2"/>
        </w:numPr>
        <w:spacing w:before="0" w:beforeAutospacing="0" w:after="0" w:afterAutospacing="0"/>
        <w:jc w:val="both"/>
      </w:pPr>
      <w:r w:rsidRPr="00A1696A">
        <w:t>З</w:t>
      </w:r>
      <w:r w:rsidR="0035590E" w:rsidRPr="00A1696A">
        <w:t>адачи</w:t>
      </w:r>
      <w:r w:rsidRPr="00A1696A">
        <w:t xml:space="preserve"> </w:t>
      </w:r>
      <w:r w:rsidR="00E874E2" w:rsidRPr="00A1696A">
        <w:t xml:space="preserve">за постигане на целта </w:t>
      </w:r>
      <w:r w:rsidRPr="00A1696A">
        <w:t xml:space="preserve">на </w:t>
      </w:r>
      <w:r w:rsidR="00FD4A25" w:rsidRPr="00A1696A">
        <w:t>дисертационния труд</w:t>
      </w:r>
      <w:r w:rsidR="0035590E" w:rsidRPr="00A1696A">
        <w:t>:</w:t>
      </w:r>
    </w:p>
    <w:p w14:paraId="6054930D" w14:textId="55E7A663" w:rsidR="0035590E" w:rsidRPr="00A1696A" w:rsidRDefault="0035590E" w:rsidP="006B6EBF">
      <w:pPr>
        <w:pStyle w:val="NormalWeb"/>
        <w:numPr>
          <w:ilvl w:val="0"/>
          <w:numId w:val="1"/>
        </w:numPr>
        <w:spacing w:before="0" w:beforeAutospacing="0" w:after="0" w:afterAutospacing="0"/>
        <w:jc w:val="both"/>
      </w:pPr>
      <w:r w:rsidRPr="00A1696A">
        <w:t>Детайлно запознаване с изучеността на изследвания район</w:t>
      </w:r>
      <w:r w:rsidRPr="00A1696A">
        <w:rPr>
          <w:color w:val="000000"/>
        </w:rPr>
        <w:t xml:space="preserve"> и интерпретация на наличните геоложки, геохимични, геофизични, сондажно-геофизични и сондажни данни с цел детайлизиране на геоложкия строеж </w:t>
      </w:r>
      <w:r w:rsidRPr="00A1696A">
        <w:t xml:space="preserve">на югоизточната част на Горнотракийската низина; </w:t>
      </w:r>
    </w:p>
    <w:p w14:paraId="3EAB57FD" w14:textId="75391C9F" w:rsidR="002102B4" w:rsidRPr="00A1696A" w:rsidRDefault="002102B4" w:rsidP="006B6EBF">
      <w:pPr>
        <w:pStyle w:val="NormalWeb"/>
        <w:numPr>
          <w:ilvl w:val="0"/>
          <w:numId w:val="1"/>
        </w:numPr>
        <w:spacing w:before="0" w:beforeAutospacing="0" w:after="0" w:afterAutospacing="0"/>
        <w:jc w:val="both"/>
      </w:pPr>
      <w:r w:rsidRPr="00A1696A">
        <w:t>Избор и обосновка на комплекс от съвременни методи за оценка на нефтогазоносността на района, нефтогазогенериращия потенциал на скалите, строежа на геоложкото пространство и неговата геометрия;</w:t>
      </w:r>
    </w:p>
    <w:p w14:paraId="279A5595" w14:textId="5416C133" w:rsidR="0035590E" w:rsidRPr="00A1696A" w:rsidRDefault="0035590E" w:rsidP="006B6EBF">
      <w:pPr>
        <w:pStyle w:val="NormalWeb"/>
        <w:numPr>
          <w:ilvl w:val="0"/>
          <w:numId w:val="1"/>
        </w:numPr>
        <w:spacing w:before="0" w:beforeAutospacing="0" w:after="0" w:afterAutospacing="0"/>
        <w:jc w:val="both"/>
      </w:pPr>
      <w:r w:rsidRPr="00A1696A">
        <w:t xml:space="preserve">Анализ на басейновото запълване и литолого-стратиграфска характеристика на терциерните наслаги, с цел изясняване на геоложкото пространство и </w:t>
      </w:r>
      <w:r w:rsidR="00097621" w:rsidRPr="00A1696A">
        <w:rPr>
          <w:color w:val="000000"/>
        </w:rPr>
        <w:t>възстановяване на геоложката история</w:t>
      </w:r>
      <w:r w:rsidR="00097621" w:rsidRPr="00A1696A">
        <w:t xml:space="preserve"> на формиране на седиментната последователност</w:t>
      </w:r>
      <w:r w:rsidRPr="00A1696A">
        <w:t>, и впоследствие дефиниране на основните елементи от потенциална петролна система в областта на изследване;</w:t>
      </w:r>
    </w:p>
    <w:p w14:paraId="66D1F245" w14:textId="06EA241C" w:rsidR="0035590E" w:rsidRPr="00A1696A" w:rsidRDefault="0035590E" w:rsidP="006B6EBF">
      <w:pPr>
        <w:pStyle w:val="NormalWeb"/>
        <w:numPr>
          <w:ilvl w:val="0"/>
          <w:numId w:val="1"/>
        </w:numPr>
        <w:spacing w:before="0" w:beforeAutospacing="0" w:after="0" w:afterAutospacing="0"/>
        <w:jc w:val="both"/>
      </w:pPr>
      <w:r w:rsidRPr="00A1696A">
        <w:t>Идентифициране</w:t>
      </w:r>
      <w:r w:rsidR="002E7D91" w:rsidRPr="00A1696A">
        <w:t xml:space="preserve"> и проследяване</w:t>
      </w:r>
      <w:r w:rsidRPr="00A1696A">
        <w:t xml:space="preserve"> </w:t>
      </w:r>
      <w:r w:rsidR="002102B4" w:rsidRPr="00A1696A">
        <w:t xml:space="preserve">в геоложкото пространство </w:t>
      </w:r>
      <w:r w:rsidRPr="00A1696A">
        <w:t xml:space="preserve">на основните структурно-тектонски елементи и литолого-стратиграфски единици с цел създаване на </w:t>
      </w:r>
      <w:r w:rsidR="00FD4A25" w:rsidRPr="00A1696A">
        <w:t>цифров</w:t>
      </w:r>
      <w:r w:rsidRPr="00A1696A">
        <w:t xml:space="preserve"> 3D (триизмерен) геоложки модел, който да позволи проследяване на сложните </w:t>
      </w:r>
      <w:r w:rsidRPr="00A1696A">
        <w:lastRenderedPageBreak/>
        <w:t xml:space="preserve">пространствени и структурно-тектонски взаимоотношения на основните стратиграфски граници и литоложки </w:t>
      </w:r>
      <w:r w:rsidR="002B2F9D" w:rsidRPr="00A1696A">
        <w:t>единици</w:t>
      </w:r>
      <w:r w:rsidRPr="00A1696A">
        <w:t>;</w:t>
      </w:r>
    </w:p>
    <w:p w14:paraId="1F48234D" w14:textId="79F7345A" w:rsidR="0035590E" w:rsidRPr="000743EC" w:rsidRDefault="0035590E" w:rsidP="006B6EBF">
      <w:pPr>
        <w:pStyle w:val="NormalWeb"/>
        <w:numPr>
          <w:ilvl w:val="0"/>
          <w:numId w:val="1"/>
        </w:numPr>
        <w:spacing w:before="0" w:beforeAutospacing="0" w:after="0" w:afterAutospacing="0"/>
        <w:jc w:val="both"/>
      </w:pPr>
      <w:r w:rsidRPr="000743EC">
        <w:rPr>
          <w:color w:val="000000"/>
        </w:rPr>
        <w:t xml:space="preserve">Детайлизиране на структурно-тектонските особености на района с цел характеризиране на геоложката архитектура и геометрия при развитието на басейна и установяване на </w:t>
      </w:r>
      <w:r w:rsidR="006D1AF7" w:rsidRPr="000743EC">
        <w:rPr>
          <w:color w:val="000000"/>
        </w:rPr>
        <w:t>влиянието</w:t>
      </w:r>
      <w:r w:rsidRPr="000743EC">
        <w:rPr>
          <w:color w:val="000000"/>
        </w:rPr>
        <w:t xml:space="preserve"> им </w:t>
      </w:r>
      <w:r w:rsidR="006D1AF7" w:rsidRPr="000743EC">
        <w:t>върху</w:t>
      </w:r>
      <w:r w:rsidRPr="000743EC">
        <w:t xml:space="preserve"> процесите на генерация, акумулация и запазване на </w:t>
      </w:r>
      <w:r w:rsidR="00170C9D" w:rsidRPr="000743EC">
        <w:rPr>
          <w:u w:val="single"/>
        </w:rPr>
        <w:t>в</w:t>
      </w:r>
      <w:r w:rsidR="00170C9D" w:rsidRPr="000743EC">
        <w:t>ъгле</w:t>
      </w:r>
      <w:r w:rsidR="00170C9D" w:rsidRPr="000743EC">
        <w:rPr>
          <w:u w:val="single"/>
        </w:rPr>
        <w:t>в</w:t>
      </w:r>
      <w:r w:rsidR="00170C9D" w:rsidRPr="000743EC">
        <w:t>одородните (</w:t>
      </w:r>
      <w:r w:rsidRPr="000743EC">
        <w:t>ВВ</w:t>
      </w:r>
      <w:r w:rsidR="00170C9D" w:rsidRPr="000743EC">
        <w:t>)</w:t>
      </w:r>
      <w:r w:rsidRPr="000743EC">
        <w:t xml:space="preserve"> залежи;</w:t>
      </w:r>
    </w:p>
    <w:p w14:paraId="363BB962" w14:textId="1E6285A1" w:rsidR="00F579E9" w:rsidRPr="00A1696A" w:rsidRDefault="00F579E9" w:rsidP="006B6EBF">
      <w:pPr>
        <w:pStyle w:val="NormalWeb"/>
        <w:numPr>
          <w:ilvl w:val="0"/>
          <w:numId w:val="1"/>
        </w:numPr>
        <w:spacing w:before="0" w:beforeAutospacing="0" w:after="0" w:afterAutospacing="0"/>
        <w:jc w:val="both"/>
      </w:pPr>
      <w:bookmarkStart w:id="19" w:name="_Hlk7778441"/>
      <w:r w:rsidRPr="00A1696A">
        <w:t xml:space="preserve">Интерпретация и анализ на сондажно-геофизичните и лабораторните </w:t>
      </w:r>
      <w:r w:rsidR="000743EC">
        <w:t xml:space="preserve">петрофизични </w:t>
      </w:r>
      <w:r w:rsidRPr="00A1696A">
        <w:t xml:space="preserve">изследвания на сондажни ядки с цел оценка и характеристика на </w:t>
      </w:r>
      <w:r w:rsidR="002B2F9D" w:rsidRPr="00A1696A">
        <w:t>проницаеми</w:t>
      </w:r>
      <w:r w:rsidRPr="00A1696A">
        <w:t xml:space="preserve"> и </w:t>
      </w:r>
      <w:r w:rsidR="002B2F9D" w:rsidRPr="00A1696A">
        <w:t>труднопроницаеми пластове (тела, задруги) и съчетанието им</w:t>
      </w:r>
      <w:r w:rsidRPr="00A1696A">
        <w:t xml:space="preserve"> в природни резервоари</w:t>
      </w:r>
      <w:bookmarkEnd w:id="19"/>
      <w:r w:rsidRPr="00A1696A">
        <w:t>;</w:t>
      </w:r>
    </w:p>
    <w:p w14:paraId="2D7EF978" w14:textId="3E1A8F41" w:rsidR="0035590E" w:rsidRPr="00A1696A" w:rsidRDefault="002B2F9D" w:rsidP="006B6EBF">
      <w:pPr>
        <w:pStyle w:val="NormalWeb"/>
        <w:numPr>
          <w:ilvl w:val="0"/>
          <w:numId w:val="1"/>
        </w:numPr>
        <w:spacing w:before="0" w:beforeAutospacing="0" w:after="0" w:afterAutospacing="0"/>
        <w:jc w:val="both"/>
      </w:pPr>
      <w:bookmarkStart w:id="20" w:name="_Hlk7778534"/>
      <w:r w:rsidRPr="00A1696A">
        <w:t>О</w:t>
      </w:r>
      <w:r w:rsidR="0035590E" w:rsidRPr="00A1696A">
        <w:t>ценка и анализ на количествените</w:t>
      </w:r>
      <w:r w:rsidR="001E32DC">
        <w:t xml:space="preserve"> и</w:t>
      </w:r>
      <w:r w:rsidR="0035590E" w:rsidRPr="00A1696A">
        <w:t xml:space="preserve"> качествените</w:t>
      </w:r>
      <w:r w:rsidR="001E32DC">
        <w:t xml:space="preserve"> </w:t>
      </w:r>
      <w:r w:rsidR="0035590E" w:rsidRPr="00A1696A">
        <w:t xml:space="preserve">параметри на органичното вещество в терциерните седименти от изследваните разрези с цел характеризиране на въглеводородо-генериращия им потенциал </w:t>
      </w:r>
      <w:r w:rsidR="002102B4" w:rsidRPr="00A1696A">
        <w:t>при</w:t>
      </w:r>
      <w:r w:rsidR="0035590E" w:rsidRPr="00A1696A">
        <w:t xml:space="preserve"> прилагането на комплекс от съвременни геохимични методи</w:t>
      </w:r>
      <w:bookmarkEnd w:id="20"/>
      <w:r w:rsidR="0035590E" w:rsidRPr="00A1696A">
        <w:t xml:space="preserve">; </w:t>
      </w:r>
    </w:p>
    <w:p w14:paraId="7B3548C8" w14:textId="705D0068" w:rsidR="0035590E" w:rsidRPr="00A1696A" w:rsidRDefault="0035590E" w:rsidP="006B6EBF">
      <w:pPr>
        <w:pStyle w:val="NormalWeb"/>
        <w:numPr>
          <w:ilvl w:val="0"/>
          <w:numId w:val="1"/>
        </w:numPr>
        <w:spacing w:before="0" w:beforeAutospacing="0" w:after="0" w:afterAutospacing="0"/>
        <w:jc w:val="both"/>
      </w:pPr>
      <w:r w:rsidRPr="00A1696A">
        <w:t>Възстановяване и моделиране на историята на потъване и геотермичната история на изследвания седиментен басейн с цел моделиране и симулиране на процесите на генерация и миграция на въглеводородите от потенциалн</w:t>
      </w:r>
      <w:r w:rsidR="002B2F9D" w:rsidRPr="00A1696A">
        <w:t>о</w:t>
      </w:r>
      <w:r w:rsidRPr="00A1696A">
        <w:t xml:space="preserve"> генериращи</w:t>
      </w:r>
      <w:r w:rsidR="001E32DC">
        <w:t>те</w:t>
      </w:r>
      <w:r w:rsidRPr="00A1696A">
        <w:t xml:space="preserve"> комплекси;</w:t>
      </w:r>
    </w:p>
    <w:p w14:paraId="2463D76F" w14:textId="4F1D198A" w:rsidR="0035590E" w:rsidRPr="00A1696A" w:rsidRDefault="0035590E" w:rsidP="006B6EBF">
      <w:pPr>
        <w:pStyle w:val="NormalWeb"/>
        <w:numPr>
          <w:ilvl w:val="0"/>
          <w:numId w:val="1"/>
        </w:numPr>
        <w:spacing w:before="0" w:beforeAutospacing="0" w:after="0" w:afterAutospacing="0"/>
        <w:jc w:val="both"/>
      </w:pPr>
      <w:r w:rsidRPr="00A1696A">
        <w:rPr>
          <w:color w:val="000000"/>
        </w:rPr>
        <w:t xml:space="preserve">Предварителни прогнозни оценки на перспективността на територията, от гледна точка нейния нефтогазоносен потенциал като обект за </w:t>
      </w:r>
      <w:r w:rsidR="002102B4" w:rsidRPr="00A1696A">
        <w:rPr>
          <w:color w:val="000000"/>
        </w:rPr>
        <w:t>бъдещи</w:t>
      </w:r>
      <w:r w:rsidRPr="00A1696A">
        <w:rPr>
          <w:color w:val="000000"/>
        </w:rPr>
        <w:t xml:space="preserve"> изследователски </w:t>
      </w:r>
      <w:r w:rsidR="002102B4" w:rsidRPr="00A1696A">
        <w:rPr>
          <w:color w:val="000000"/>
        </w:rPr>
        <w:t xml:space="preserve">и търсещо-проучвателни </w:t>
      </w:r>
      <w:r w:rsidRPr="00A1696A">
        <w:rPr>
          <w:color w:val="000000"/>
        </w:rPr>
        <w:t>работи.</w:t>
      </w:r>
    </w:p>
    <w:p w14:paraId="2E6E123F" w14:textId="61F79373" w:rsidR="00BC436B" w:rsidRPr="00A1696A" w:rsidRDefault="00045C99" w:rsidP="00F658C4">
      <w:pPr>
        <w:pStyle w:val="NormalWeb"/>
        <w:spacing w:before="0" w:beforeAutospacing="0" w:after="0" w:afterAutospacing="0"/>
        <w:ind w:firstLine="709"/>
        <w:jc w:val="both"/>
        <w:rPr>
          <w:b/>
          <w:i/>
        </w:rPr>
      </w:pPr>
      <w:bookmarkStart w:id="21" w:name="_Hlk7778774"/>
      <w:bookmarkEnd w:id="16"/>
      <w:r w:rsidRPr="00A1696A">
        <w:rPr>
          <w:b/>
          <w:i/>
          <w:color w:val="000000"/>
        </w:rPr>
        <w:t>Метод</w:t>
      </w:r>
      <w:r w:rsidR="001E32DC">
        <w:rPr>
          <w:b/>
          <w:i/>
          <w:color w:val="000000"/>
        </w:rPr>
        <w:t>ични</w:t>
      </w:r>
      <w:r w:rsidRPr="00A1696A">
        <w:rPr>
          <w:b/>
          <w:i/>
          <w:color w:val="000000"/>
        </w:rPr>
        <w:t xml:space="preserve"> п</w:t>
      </w:r>
      <w:r w:rsidR="00BC436B" w:rsidRPr="00A1696A">
        <w:rPr>
          <w:b/>
          <w:i/>
          <w:color w:val="000000"/>
        </w:rPr>
        <w:t>одходи за решаването на задачите</w:t>
      </w:r>
      <w:r w:rsidR="00DA5D81" w:rsidRPr="00A1696A">
        <w:rPr>
          <w:b/>
          <w:i/>
        </w:rPr>
        <w:t xml:space="preserve">. </w:t>
      </w:r>
      <w:bookmarkStart w:id="22" w:name="_Hlk7365413"/>
      <w:r w:rsidR="00BC436B" w:rsidRPr="00A1696A">
        <w:t xml:space="preserve">За решаването на поставените задачи са обработени и анализирани </w:t>
      </w:r>
      <w:r w:rsidR="00FD4A25" w:rsidRPr="00A1696A">
        <w:t xml:space="preserve">наличните </w:t>
      </w:r>
      <w:r w:rsidR="00BC436B" w:rsidRPr="00A1696A">
        <w:t xml:space="preserve">веществени, аналитични и публикувани данни, от територията на Югоизточна България и териториалното продължение на тектонските елементи в Турция. </w:t>
      </w:r>
      <w:r w:rsidR="004A26D0" w:rsidRPr="00A1696A">
        <w:t xml:space="preserve">Лабораторните изследванията на 27 бр. проби (от разкрития и сондажна ядка) са проведени посредством RockEval пиролизна техника в Campina, Румъния, където имах възможност отблизо да се запозная с изследователския процес. </w:t>
      </w:r>
      <w:r w:rsidR="00BC436B" w:rsidRPr="00A1696A">
        <w:t xml:space="preserve">Лабораторните и аналитичните изследвания на органичното вещество </w:t>
      </w:r>
      <w:r w:rsidR="00D12797" w:rsidRPr="00A1696A">
        <w:t xml:space="preserve">на 12 бр. проби </w:t>
      </w:r>
      <w:r w:rsidR="00BC436B" w:rsidRPr="00A1696A">
        <w:t xml:space="preserve">са </w:t>
      </w:r>
      <w:r w:rsidR="004A26D0" w:rsidRPr="00A1696A">
        <w:t>извършени</w:t>
      </w:r>
      <w:r w:rsidR="00BC436B" w:rsidRPr="00A1696A">
        <w:t xml:space="preserve"> в Института по органична химия</w:t>
      </w:r>
      <w:r w:rsidR="00BC6F4A" w:rsidRPr="00A1696A">
        <w:t xml:space="preserve"> с център по фитохимия</w:t>
      </w:r>
      <w:r w:rsidR="00C232F1" w:rsidRPr="00A1696A">
        <w:t xml:space="preserve"> (ИОХЦФ)</w:t>
      </w:r>
      <w:r w:rsidR="00BC436B" w:rsidRPr="00A1696A">
        <w:t xml:space="preserve"> към БАН с използване на най-съвременна апаратура. </w:t>
      </w:r>
      <w:bookmarkEnd w:id="22"/>
      <w:r w:rsidR="00BC436B" w:rsidRPr="00A1696A">
        <w:t>За детайлната характеристика на структурно-тектонските особености на района и моделиране на басейновото пространство са използвани данни</w:t>
      </w:r>
      <w:r w:rsidR="00F658C4" w:rsidRPr="00A1696A">
        <w:t>те</w:t>
      </w:r>
      <w:r w:rsidR="00BC436B" w:rsidRPr="00A1696A">
        <w:t xml:space="preserve"> от полевите, геолого-геофизичните и сондажни</w:t>
      </w:r>
      <w:r w:rsidR="009911D9" w:rsidRPr="00A1696A">
        <w:t>те</w:t>
      </w:r>
      <w:r w:rsidR="00BC436B" w:rsidRPr="00A1696A">
        <w:t xml:space="preserve"> изследвания. Посредством </w:t>
      </w:r>
      <w:r w:rsidR="002102B4" w:rsidRPr="00A1696A">
        <w:t>набор от показатели</w:t>
      </w:r>
      <w:r w:rsidR="00BC436B" w:rsidRPr="00A1696A">
        <w:t xml:space="preserve"> са дефинирани природните резервоарни системи в изследвания разрез и оценена надеждността на колекторните и изолиращите наслаги.</w:t>
      </w:r>
      <w:r w:rsidR="00F658C4" w:rsidRPr="007679A9">
        <w:t xml:space="preserve"> </w:t>
      </w:r>
      <w:r w:rsidR="00BC6F4A" w:rsidRPr="00A1696A">
        <w:t>Въз основа</w:t>
      </w:r>
      <w:r w:rsidR="00BC436B" w:rsidRPr="00A1696A">
        <w:t xml:space="preserve"> на теренни наблюдения и интерпретация на геофизични изследвания са проследени тектонските нарушения и литолого-стратиграфските единици в пространството и е създаден детайлен 3D структурен модел на по-голямата част от района на изследване. Моделните построения, анализи и повишаване на уменията ми в тази насока са осъществени благодарение на възможността да посетя образователен </w:t>
      </w:r>
      <w:bookmarkStart w:id="23" w:name="_Hlk940071"/>
      <w:r w:rsidR="00BC436B" w:rsidRPr="00A1696A">
        <w:t xml:space="preserve">и </w:t>
      </w:r>
      <w:r w:rsidR="009A0E75" w:rsidRPr="00A1696A">
        <w:t>повишаващ квалификацията курс</w:t>
      </w:r>
      <w:r w:rsidR="00BC436B" w:rsidRPr="00A1696A">
        <w:t xml:space="preserve"> </w:t>
      </w:r>
      <w:bookmarkEnd w:id="23"/>
      <w:r w:rsidR="00BC436B" w:rsidRPr="00A1696A">
        <w:t>на Schlumberger.</w:t>
      </w:r>
      <w:r w:rsidR="00F658C4" w:rsidRPr="00A1696A">
        <w:t xml:space="preserve"> </w:t>
      </w:r>
      <w:r w:rsidR="00BC436B" w:rsidRPr="00A1696A">
        <w:t>Реконструкцията на историята на потъване и геотермичната история на изследвания район послужи за дефиниране на една обща представа за формиране на седиментния басейн и определяне на термичната зрялост на терциерните седименти</w:t>
      </w:r>
      <w:r w:rsidR="00F658C4" w:rsidRPr="00A1696A">
        <w:t xml:space="preserve">. </w:t>
      </w:r>
      <w:r w:rsidR="00BC436B" w:rsidRPr="00A1696A">
        <w:t xml:space="preserve">Комплексната характеристика на получените резултати от изследванията и анализите </w:t>
      </w:r>
      <w:r w:rsidR="00451A86" w:rsidRPr="00A1696A">
        <w:t>послужи за</w:t>
      </w:r>
      <w:r w:rsidR="00BC436B" w:rsidRPr="00A1696A">
        <w:t xml:space="preserve"> основа </w:t>
      </w:r>
      <w:r w:rsidR="003A6D54" w:rsidRPr="00A1696A">
        <w:t>н</w:t>
      </w:r>
      <w:r w:rsidR="00BC436B" w:rsidRPr="00A1696A">
        <w:t xml:space="preserve">а </w:t>
      </w:r>
      <w:r w:rsidR="001E32DC">
        <w:t>актуална</w:t>
      </w:r>
      <w:r w:rsidR="00BC436B" w:rsidRPr="00A1696A">
        <w:t xml:space="preserve"> по-детайлна оценка на въглеводородния потенциал на югоизточната част на Горнотракийската низина.</w:t>
      </w:r>
      <w:r w:rsidR="00451A86" w:rsidRPr="00A1696A">
        <w:t xml:space="preserve"> </w:t>
      </w:r>
      <w:bookmarkStart w:id="24" w:name="_Hlk7366926"/>
      <w:r w:rsidR="00451A86" w:rsidRPr="00A1696A">
        <w:t xml:space="preserve">Тези заключителни анализи, оформянето на целия текст </w:t>
      </w:r>
      <w:r w:rsidR="00F658C4" w:rsidRPr="00A1696A">
        <w:t xml:space="preserve">и </w:t>
      </w:r>
      <w:r w:rsidR="00451A86" w:rsidRPr="00A1696A">
        <w:t>фигури от дисертационния труд са осъществени в МГУ „Св. Ив. Рилски“.</w:t>
      </w:r>
      <w:bookmarkEnd w:id="21"/>
      <w:bookmarkEnd w:id="24"/>
    </w:p>
    <w:p w14:paraId="61E48B38" w14:textId="3555597B" w:rsidR="00316B55" w:rsidRPr="00A1696A" w:rsidRDefault="00316B55" w:rsidP="006B6EBF">
      <w:pPr>
        <w:pStyle w:val="NormalWeb"/>
        <w:spacing w:before="0" w:beforeAutospacing="0" w:after="0" w:afterAutospacing="0"/>
        <w:ind w:firstLine="709"/>
        <w:jc w:val="both"/>
        <w:rPr>
          <w:b/>
          <w:i/>
        </w:rPr>
      </w:pPr>
      <w:bookmarkStart w:id="25" w:name="_Hlk7779200"/>
      <w:r w:rsidRPr="00A1696A">
        <w:rPr>
          <w:b/>
          <w:i/>
        </w:rPr>
        <w:t>Основни резултати</w:t>
      </w:r>
    </w:p>
    <w:p w14:paraId="00958421" w14:textId="5CF065F7" w:rsidR="00E27E51" w:rsidRDefault="00E27E51" w:rsidP="001D3ADD">
      <w:pPr>
        <w:pStyle w:val="NormalWeb"/>
        <w:numPr>
          <w:ilvl w:val="0"/>
          <w:numId w:val="12"/>
        </w:numPr>
        <w:spacing w:before="0" w:beforeAutospacing="0" w:after="0" w:afterAutospacing="0"/>
        <w:jc w:val="both"/>
      </w:pPr>
      <w:r>
        <w:t>Извършена е детайлна характеристика на геоложкия строеж</w:t>
      </w:r>
      <w:r>
        <w:rPr>
          <w:lang w:val="en-US"/>
        </w:rPr>
        <w:t xml:space="preserve">, </w:t>
      </w:r>
      <w:r>
        <w:t>като са набелязани общи геоложки белези между изучавания район и турската част на Тракийския басейн;</w:t>
      </w:r>
    </w:p>
    <w:p w14:paraId="0D849983" w14:textId="11E445EB" w:rsidR="00E27E51" w:rsidRDefault="00E27E51" w:rsidP="001D3ADD">
      <w:pPr>
        <w:pStyle w:val="NormalWeb"/>
        <w:numPr>
          <w:ilvl w:val="0"/>
          <w:numId w:val="12"/>
        </w:numPr>
        <w:spacing w:before="0" w:beforeAutospacing="0" w:after="0" w:afterAutospacing="0"/>
        <w:jc w:val="both"/>
      </w:pPr>
      <w:r>
        <w:t>Избран и приложен е подходящ методологичен подход за оценка на нефтогазоносността;</w:t>
      </w:r>
    </w:p>
    <w:p w14:paraId="7E555E96" w14:textId="26A8A6F8" w:rsidR="001B52FE" w:rsidRPr="00A1696A" w:rsidRDefault="0068031F" w:rsidP="001D3ADD">
      <w:pPr>
        <w:pStyle w:val="NormalWeb"/>
        <w:numPr>
          <w:ilvl w:val="0"/>
          <w:numId w:val="12"/>
        </w:numPr>
        <w:spacing w:before="0" w:beforeAutospacing="0" w:after="0" w:afterAutospacing="0"/>
        <w:jc w:val="both"/>
      </w:pPr>
      <w:r w:rsidRPr="00A1696A">
        <w:t>Съ</w:t>
      </w:r>
      <w:r w:rsidR="001416AF">
        <w:t>з</w:t>
      </w:r>
      <w:r w:rsidRPr="00A1696A">
        <w:t xml:space="preserve">дадени са 2D модели на палеогеографска реконструкция на </w:t>
      </w:r>
      <w:r w:rsidR="0013788E" w:rsidRPr="00A1696A">
        <w:t xml:space="preserve">изучаваната част от </w:t>
      </w:r>
      <w:r w:rsidRPr="00A1696A">
        <w:t xml:space="preserve">басейна </w:t>
      </w:r>
      <w:r w:rsidR="00F658C4" w:rsidRPr="00A1696A">
        <w:t>през</w:t>
      </w:r>
      <w:r w:rsidRPr="00A1696A">
        <w:t xml:space="preserve"> </w:t>
      </w:r>
      <w:r w:rsidR="00E27E51">
        <w:t>терциерния период</w:t>
      </w:r>
      <w:r w:rsidRPr="00A1696A">
        <w:t xml:space="preserve">, които позволяват да се проследи </w:t>
      </w:r>
      <w:r w:rsidR="0013788E" w:rsidRPr="00A1696A">
        <w:t>геоложкото развитие на седиментния басей</w:t>
      </w:r>
      <w:r w:rsidR="00F658C4" w:rsidRPr="00A1696A">
        <w:t>н</w:t>
      </w:r>
      <w:r w:rsidR="0013788E" w:rsidRPr="00A1696A">
        <w:t xml:space="preserve"> и етапите на формиране на басейновата система;</w:t>
      </w:r>
    </w:p>
    <w:p w14:paraId="0BD3963F" w14:textId="2EE091C1" w:rsidR="0013788E" w:rsidRPr="00A1696A" w:rsidRDefault="0013788E" w:rsidP="001D3ADD">
      <w:pPr>
        <w:pStyle w:val="NormalWeb"/>
        <w:numPr>
          <w:ilvl w:val="0"/>
          <w:numId w:val="12"/>
        </w:numPr>
        <w:spacing w:before="0" w:beforeAutospacing="0" w:after="0" w:afterAutospacing="0"/>
        <w:jc w:val="both"/>
      </w:pPr>
      <w:r w:rsidRPr="00A1696A">
        <w:lastRenderedPageBreak/>
        <w:t xml:space="preserve">Изграден е 3D структурен/геоложки модел на голяма част от района, който допринася за по-детайлна характеристика на структурните и тектонските особености. 3D модела позволява проследяване на </w:t>
      </w:r>
      <w:bookmarkStart w:id="26" w:name="_Hlk7514550"/>
      <w:r w:rsidRPr="00A1696A">
        <w:t>сложните вертикални и латерални пространствени и структурно-тектонски</w:t>
      </w:r>
      <w:bookmarkEnd w:id="26"/>
      <w:r w:rsidRPr="00A1696A">
        <w:t xml:space="preserve"> взаимоотношения на седиментни</w:t>
      </w:r>
      <w:r w:rsidR="00F658C4" w:rsidRPr="00A1696A">
        <w:t>те</w:t>
      </w:r>
      <w:r w:rsidRPr="00A1696A">
        <w:t xml:space="preserve"> скални комплекси;</w:t>
      </w:r>
    </w:p>
    <w:p w14:paraId="5C93EAA2" w14:textId="566EB106" w:rsidR="0013788E" w:rsidRPr="00A1696A" w:rsidRDefault="00A80E94" w:rsidP="001D3ADD">
      <w:pPr>
        <w:pStyle w:val="NormalWeb"/>
        <w:numPr>
          <w:ilvl w:val="0"/>
          <w:numId w:val="12"/>
        </w:numPr>
        <w:spacing w:before="0" w:beforeAutospacing="0" w:after="0" w:afterAutospacing="0"/>
        <w:jc w:val="both"/>
      </w:pPr>
      <w:r w:rsidRPr="00A1696A">
        <w:t xml:space="preserve">Характеризирани и оценени са четири </w:t>
      </w:r>
      <w:r w:rsidR="00A12218" w:rsidRPr="001416AF">
        <w:t>типа</w:t>
      </w:r>
      <w:r w:rsidRPr="00A1696A">
        <w:t xml:space="preserve"> потенциални природни резервоари</w:t>
      </w:r>
      <w:r w:rsidR="001416AF">
        <w:t>,</w:t>
      </w:r>
      <w:r w:rsidRPr="00A1696A">
        <w:t xml:space="preserve"> привързани към терциерния разрез на разглеждания район;</w:t>
      </w:r>
    </w:p>
    <w:p w14:paraId="21484FF8" w14:textId="61E40A99" w:rsidR="00A80E94" w:rsidRPr="00A1696A" w:rsidRDefault="00F658C4" w:rsidP="001D3ADD">
      <w:pPr>
        <w:pStyle w:val="NormalWeb"/>
        <w:numPr>
          <w:ilvl w:val="0"/>
          <w:numId w:val="12"/>
        </w:numPr>
        <w:spacing w:before="0" w:beforeAutospacing="0" w:after="0" w:afterAutospacing="0"/>
        <w:jc w:val="both"/>
      </w:pPr>
      <w:r w:rsidRPr="00A1696A">
        <w:t>И</w:t>
      </w:r>
      <w:r w:rsidR="00A80E94" w:rsidRPr="00A1696A">
        <w:t xml:space="preserve">звършени </w:t>
      </w:r>
      <w:r w:rsidRPr="00A1696A">
        <w:t xml:space="preserve">са </w:t>
      </w:r>
      <w:r w:rsidR="00A80E94" w:rsidRPr="00A1696A">
        <w:t>анализ и оценка на въглеводородо-генериращия потенциал на терциерните седименти;</w:t>
      </w:r>
    </w:p>
    <w:p w14:paraId="1BC919D1" w14:textId="585040E5" w:rsidR="00A80E94" w:rsidRPr="00A1696A" w:rsidRDefault="00A80E94" w:rsidP="001D3ADD">
      <w:pPr>
        <w:pStyle w:val="NormalWeb"/>
        <w:numPr>
          <w:ilvl w:val="0"/>
          <w:numId w:val="12"/>
        </w:numPr>
        <w:spacing w:before="0" w:beforeAutospacing="0" w:after="0" w:afterAutospacing="0"/>
        <w:jc w:val="both"/>
      </w:pPr>
      <w:r w:rsidRPr="00A1696A">
        <w:t xml:space="preserve">Извършено е 1D петролно-системно моделиране, </w:t>
      </w:r>
      <w:r w:rsidR="0007513E">
        <w:t xml:space="preserve">въз основа на </w:t>
      </w:r>
      <w:r w:rsidRPr="00A1696A">
        <w:t>ко</w:t>
      </w:r>
      <w:r w:rsidR="00991AE0" w:rsidRPr="00A1696A">
        <w:t>е</w:t>
      </w:r>
      <w:r w:rsidRPr="00A1696A">
        <w:t xml:space="preserve">то се </w:t>
      </w:r>
      <w:r w:rsidR="0007513E">
        <w:t>направи</w:t>
      </w:r>
      <w:r w:rsidRPr="00A1696A">
        <w:t xml:space="preserve"> реконструкция на историята на потъване на басейна и </w:t>
      </w:r>
      <w:r w:rsidR="00A12218" w:rsidRPr="00A1696A">
        <w:t>на геотермичната история на голяма част от района на изследване. Моделът позволи да се направи оценка на термичната зрялост на потенциалн</w:t>
      </w:r>
      <w:r w:rsidR="00BB0EFB" w:rsidRPr="00A1696A">
        <w:t>о</w:t>
      </w:r>
      <w:r w:rsidR="00A12218" w:rsidRPr="00A1696A">
        <w:t xml:space="preserve"> генериращи</w:t>
      </w:r>
      <w:r w:rsidR="00BB0EFB" w:rsidRPr="00A1696A">
        <w:t>те</w:t>
      </w:r>
      <w:r w:rsidR="00A12218" w:rsidRPr="00A1696A">
        <w:t xml:space="preserve"> наслаги</w:t>
      </w:r>
      <w:r w:rsidR="00991AE0" w:rsidRPr="00A1696A">
        <w:t>;</w:t>
      </w:r>
    </w:p>
    <w:p w14:paraId="3985931B" w14:textId="017BD39C" w:rsidR="00A12218" w:rsidRPr="00A1696A" w:rsidRDefault="00A12218" w:rsidP="001D3ADD">
      <w:pPr>
        <w:pStyle w:val="NormalWeb"/>
        <w:numPr>
          <w:ilvl w:val="0"/>
          <w:numId w:val="12"/>
        </w:numPr>
        <w:spacing w:before="0" w:beforeAutospacing="0" w:after="0" w:afterAutospacing="0"/>
        <w:jc w:val="both"/>
      </w:pPr>
      <w:r w:rsidRPr="00A1696A">
        <w:t>Въз основа на резултатите от проведените интерпретации и анализи на данните</w:t>
      </w:r>
      <w:r w:rsidR="001416AF">
        <w:t>,</w:t>
      </w:r>
      <w:r w:rsidRPr="00A1696A">
        <w:t xml:space="preserve"> </w:t>
      </w:r>
      <w:r w:rsidR="001A5C52" w:rsidRPr="00A1696A">
        <w:t xml:space="preserve">в района на изследване </w:t>
      </w:r>
      <w:r w:rsidRPr="00A1696A">
        <w:t xml:space="preserve">се правят </w:t>
      </w:r>
      <w:r w:rsidR="001416AF">
        <w:t xml:space="preserve">актуални и обобщаващи </w:t>
      </w:r>
      <w:r w:rsidRPr="00A1696A">
        <w:t xml:space="preserve">изводи и </w:t>
      </w:r>
      <w:r w:rsidR="007E2EC8" w:rsidRPr="00A1696A">
        <w:t xml:space="preserve">предварителна </w:t>
      </w:r>
      <w:r w:rsidRPr="00A1696A">
        <w:t>оценка на нефтогазоносния потенциал</w:t>
      </w:r>
      <w:r w:rsidR="001A5C52" w:rsidRPr="00A1696A">
        <w:t xml:space="preserve"> на терциерните наслаги. </w:t>
      </w:r>
    </w:p>
    <w:bookmarkEnd w:id="5"/>
    <w:bookmarkEnd w:id="25"/>
    <w:p w14:paraId="647E3190" w14:textId="77777777" w:rsidR="00BC436B" w:rsidRPr="00A1696A" w:rsidRDefault="00BC436B" w:rsidP="006B6EBF">
      <w:pPr>
        <w:pStyle w:val="NormalWeb"/>
        <w:spacing w:before="0" w:beforeAutospacing="0" w:after="0" w:afterAutospacing="0"/>
        <w:ind w:firstLine="709"/>
        <w:jc w:val="both"/>
        <w:rPr>
          <w:b/>
          <w:i/>
        </w:rPr>
      </w:pPr>
      <w:r w:rsidRPr="00A1696A">
        <w:rPr>
          <w:b/>
          <w:i/>
        </w:rPr>
        <w:t>Благодарности</w:t>
      </w:r>
    </w:p>
    <w:p w14:paraId="58404EDB" w14:textId="3D5D45F5" w:rsidR="00BC436B" w:rsidRPr="00A1696A" w:rsidRDefault="00BC436B" w:rsidP="006B6EBF">
      <w:pPr>
        <w:pStyle w:val="NormalWeb"/>
        <w:spacing w:before="0" w:beforeAutospacing="0" w:after="0" w:afterAutospacing="0"/>
        <w:ind w:firstLine="709"/>
        <w:jc w:val="both"/>
      </w:pPr>
      <w:bookmarkStart w:id="27" w:name="_Hlk7779300"/>
      <w:r w:rsidRPr="00A1696A">
        <w:t>Бих искала да изкажа своите благодарности на научния ми ръководител доц. д-р Ефросима Занева</w:t>
      </w:r>
      <w:r w:rsidR="00234290" w:rsidRPr="00A1696A">
        <w:t>-</w:t>
      </w:r>
      <w:r w:rsidRPr="00A1696A">
        <w:t xml:space="preserve">Добранова за неизчерпаемото търпение и помощ, която ми оказа по темата, конструкцията на дисертацията, насоките на изследване и тяхното техническо реализиране. Благодаря също и на научния ми консултант от </w:t>
      </w:r>
      <w:r w:rsidR="00C232F1" w:rsidRPr="00A1696A">
        <w:t xml:space="preserve">ИОХЦФ към </w:t>
      </w:r>
      <w:r w:rsidRPr="00A1696A">
        <w:t xml:space="preserve">БАН проф. </w:t>
      </w:r>
      <w:r w:rsidR="002102B4" w:rsidRPr="00A1696A">
        <w:t>д-р</w:t>
      </w:r>
      <w:r w:rsidRPr="00A1696A">
        <w:t xml:space="preserve"> Мая Стефанова за безценните съвети и насоки при анализиране на резултатите от геохимичните изследвания, както и осъществения научен принос. Благодаря </w:t>
      </w:r>
      <w:r w:rsidR="00C232F1" w:rsidRPr="00A1696A">
        <w:t>ѝ</w:t>
      </w:r>
      <w:r w:rsidRPr="00A1696A">
        <w:t xml:space="preserve"> също за предоставената възможност да почерпя от знанията и опита </w:t>
      </w:r>
      <w:r w:rsidR="00C232F1" w:rsidRPr="00A1696A">
        <w:t>ѝ</w:t>
      </w:r>
      <w:r w:rsidRPr="00A1696A">
        <w:t xml:space="preserve"> в сферата на геохимията. Благодаря на ръководството и колегите от Овергаз за предоставената ми възможност да бъда част от проекти и екипи, свързани с търсещо-проучвателна дейност за нефт и газ, което спомогна за професионалното отношение при изготвянето на дисертацията. Изказвам благодарността си към всички колеги от катедра „Геология и проучване на полезните изкопаеми“ към МГУ „Св. Иван Рилски“ за ценните съвети</w:t>
      </w:r>
      <w:r w:rsidR="001A5C52" w:rsidRPr="00A1696A">
        <w:t xml:space="preserve"> и препоръки</w:t>
      </w:r>
      <w:r w:rsidRPr="00A1696A">
        <w:t xml:space="preserve"> при реализирането на настоящия дисертационен труд и специално на ръководителя проф. д-р Йордан Кортенски за насоките и подкрепата.</w:t>
      </w:r>
      <w:bookmarkEnd w:id="27"/>
    </w:p>
    <w:p w14:paraId="7A062AA6" w14:textId="7C3E88A7" w:rsidR="000C2E74" w:rsidRPr="00A1696A" w:rsidRDefault="000C2E74" w:rsidP="006B6EBF">
      <w:pPr>
        <w:pStyle w:val="NormalWeb"/>
        <w:spacing w:before="0" w:beforeAutospacing="0" w:after="0" w:afterAutospacing="0"/>
        <w:ind w:firstLine="709"/>
        <w:jc w:val="both"/>
      </w:pPr>
    </w:p>
    <w:p w14:paraId="4094E54D" w14:textId="36ADB78D" w:rsidR="00316B55" w:rsidRPr="00A1696A" w:rsidRDefault="00316B55" w:rsidP="006B6EBF">
      <w:pPr>
        <w:pStyle w:val="Style1"/>
        <w:ind w:left="0" w:firstLine="709"/>
        <w:jc w:val="both"/>
        <w:rPr>
          <w:lang w:val="bg-BG"/>
        </w:rPr>
      </w:pPr>
      <w:bookmarkStart w:id="28" w:name="_Toc7820629"/>
      <w:bookmarkStart w:id="29" w:name="_Toc408822352"/>
      <w:bookmarkStart w:id="30" w:name="_Hlk7783143"/>
      <w:r w:rsidRPr="00A1696A">
        <w:rPr>
          <w:lang w:val="bg-BG"/>
        </w:rPr>
        <w:t xml:space="preserve">Глава 1. </w:t>
      </w:r>
      <w:r w:rsidR="00DF1467" w:rsidRPr="00A1696A">
        <w:rPr>
          <w:lang w:val="bg-BG"/>
        </w:rPr>
        <w:t>Г</w:t>
      </w:r>
      <w:r w:rsidRPr="00A1696A">
        <w:rPr>
          <w:lang w:val="bg-BG"/>
        </w:rPr>
        <w:t>еология на югоизточната част на Горнотракийската низина</w:t>
      </w:r>
      <w:bookmarkEnd w:id="28"/>
      <w:r w:rsidRPr="00A1696A">
        <w:rPr>
          <w:lang w:val="bg-BG"/>
        </w:rPr>
        <w:t xml:space="preserve"> </w:t>
      </w:r>
    </w:p>
    <w:p w14:paraId="17FB3A4A" w14:textId="544E0D7F" w:rsidR="00B62BDA" w:rsidRPr="00B62BDA" w:rsidRDefault="00316B55" w:rsidP="001D3ADD">
      <w:pPr>
        <w:pStyle w:val="Style1"/>
        <w:numPr>
          <w:ilvl w:val="1"/>
          <w:numId w:val="13"/>
        </w:numPr>
        <w:jc w:val="both"/>
        <w:rPr>
          <w:lang w:val="bg-BG"/>
        </w:rPr>
      </w:pPr>
      <w:bookmarkStart w:id="31" w:name="_Toc408822351"/>
      <w:bookmarkStart w:id="32" w:name="_Toc7820630"/>
      <w:r w:rsidRPr="00B62BDA">
        <w:rPr>
          <w:lang w:val="bg-BG"/>
        </w:rPr>
        <w:t>Геоложка изученост на района</w:t>
      </w:r>
      <w:bookmarkEnd w:id="31"/>
      <w:bookmarkEnd w:id="32"/>
      <w:r w:rsidR="00DA5D81" w:rsidRPr="00A1696A">
        <w:rPr>
          <w:lang w:val="bg-BG"/>
        </w:rPr>
        <w:t xml:space="preserve"> </w:t>
      </w:r>
    </w:p>
    <w:p w14:paraId="46365D18" w14:textId="2B57BC3A" w:rsidR="00316B55" w:rsidRPr="007679A9" w:rsidRDefault="00316B55" w:rsidP="0007513E">
      <w:pPr>
        <w:pStyle w:val="NormalWeb"/>
        <w:spacing w:before="0" w:beforeAutospacing="0" w:after="0" w:afterAutospacing="0"/>
        <w:ind w:firstLine="709"/>
        <w:jc w:val="both"/>
      </w:pPr>
      <w:r w:rsidRPr="007679A9">
        <w:t xml:space="preserve">Първите сведения за геологията на района на изследване </w:t>
      </w:r>
      <w:r w:rsidR="007441C2" w:rsidRPr="007679A9">
        <w:t>са получени</w:t>
      </w:r>
      <w:r w:rsidRPr="007679A9">
        <w:t xml:space="preserve"> на основата на пр</w:t>
      </w:r>
      <w:r w:rsidR="0007513E">
        <w:t>о</w:t>
      </w:r>
      <w:r w:rsidRPr="007679A9">
        <w:t>ведената маршрутна снимка в средата на XIX в. (Boue, 1840). След 1945 г. Бонев и др. (1956ф), Недялкова и др. (1957ф), Боянов и др. (1958ф, 1962ф, 1980ф, 1990, 1992ф)</w:t>
      </w:r>
      <w:r w:rsidR="008358B6">
        <w:t>,</w:t>
      </w:r>
      <w:r w:rsidRPr="007679A9">
        <w:t xml:space="preserve"> </w:t>
      </w:r>
      <w:r w:rsidR="008358B6" w:rsidRPr="007679A9">
        <w:t>Карагюлева и др.  (19</w:t>
      </w:r>
      <w:r w:rsidR="008358B6">
        <w:t>65</w:t>
      </w:r>
      <w:r w:rsidR="008358B6" w:rsidRPr="007679A9">
        <w:t>ф),</w:t>
      </w:r>
      <w:r w:rsidR="008358B6">
        <w:t xml:space="preserve"> </w:t>
      </w:r>
      <w:r w:rsidRPr="007679A9">
        <w:t>Минчев и др. (1965ф), Шиляфов и др. (1970ф, 1973ф, 1975ф) и др. провеждат геоложко картиране в М 1:100 000, а на отделни места от територията и около нея и в М 1:50 000 и 1:25 000. Получената информация за геоложкия строеж на района е противоречива и непълна, поради незначителния обем от сондажи (предимно на малка дълбочина), както и поради отсъствието на единно мнение на отделните автори по отношение разпространението и възрастта на различните скални комплекси.</w:t>
      </w:r>
      <w:r w:rsidR="009072B8" w:rsidRPr="007679A9">
        <w:t xml:space="preserve"> </w:t>
      </w:r>
      <w:r w:rsidRPr="007679A9">
        <w:t xml:space="preserve">През миналия век са проведени и полеви </w:t>
      </w:r>
      <w:r w:rsidR="00516AD1" w:rsidRPr="007679A9">
        <w:t xml:space="preserve">магнитометрични и гравиметрични </w:t>
      </w:r>
      <w:r w:rsidRPr="007679A9">
        <w:t>изследвания</w:t>
      </w:r>
      <w:r w:rsidR="00516AD1" w:rsidRPr="007679A9">
        <w:t>, а</w:t>
      </w:r>
      <w:r w:rsidRPr="007679A9">
        <w:t xml:space="preserve"> </w:t>
      </w:r>
      <w:r w:rsidR="00516AD1" w:rsidRPr="007679A9">
        <w:t>п</w:t>
      </w:r>
      <w:r w:rsidRPr="007679A9">
        <w:t>рез 2001 г. е завършена реобработката и е съставена единна за страната гравиметрична карта в мащаб 1:100 000</w:t>
      </w:r>
      <w:r w:rsidR="00516AD1" w:rsidRPr="007679A9">
        <w:t xml:space="preserve"> (</w:t>
      </w:r>
      <w:r w:rsidRPr="007679A9">
        <w:t>картни листа Свиленград и Хасково</w:t>
      </w:r>
      <w:r w:rsidR="00516AD1" w:rsidRPr="007679A9">
        <w:t>)</w:t>
      </w:r>
      <w:r w:rsidRPr="007679A9">
        <w:t>.</w:t>
      </w:r>
      <w:r w:rsidR="00D06A02" w:rsidRPr="007679A9">
        <w:t xml:space="preserve"> </w:t>
      </w:r>
      <w:r w:rsidRPr="007679A9">
        <w:t xml:space="preserve">В резултат на тези регионални геоложки и геофизични изследвания се изяснява общия геоложки строеж на изследвания район, наличието на множество разломни зони, формиращи мрежа от негативни (депресии, понижения, грабени) и позитивни (издигания, хорстове) структури. </w:t>
      </w:r>
    </w:p>
    <w:p w14:paraId="23399FFB" w14:textId="2BA4453F" w:rsidR="00316B55" w:rsidRPr="00A1696A" w:rsidRDefault="00316B55" w:rsidP="007679A9">
      <w:pPr>
        <w:pStyle w:val="NormalWeb"/>
        <w:spacing w:before="0" w:beforeAutospacing="0" w:after="0" w:afterAutospacing="0"/>
        <w:ind w:firstLine="709"/>
        <w:jc w:val="both"/>
      </w:pPr>
      <w:r w:rsidRPr="00A1696A">
        <w:t xml:space="preserve">В началото на 70-те години в </w:t>
      </w:r>
      <w:r w:rsidR="007E2EC8" w:rsidRPr="00A1696A">
        <w:t xml:space="preserve">съседна </w:t>
      </w:r>
      <w:r w:rsidRPr="00A1696A">
        <w:t>Турция</w:t>
      </w:r>
      <w:r w:rsidR="005021FE" w:rsidRPr="00A1696A">
        <w:t xml:space="preserve"> </w:t>
      </w:r>
      <w:r w:rsidRPr="00A1696A">
        <w:t xml:space="preserve">са открити няколко газови находища със значителни промишлени запаси. </w:t>
      </w:r>
      <w:r w:rsidR="00D06A02" w:rsidRPr="00A1696A">
        <w:t>Т</w:t>
      </w:r>
      <w:r w:rsidRPr="00A1696A">
        <w:t xml:space="preserve">ова е послужило като основание за провеждане на сеизмопроучвателни дейности през 1973-1975 г. </w:t>
      </w:r>
      <w:r w:rsidR="00D06A02" w:rsidRPr="00A1696A">
        <w:t>и в пределите на България</w:t>
      </w:r>
      <w:r w:rsidR="005021FE" w:rsidRPr="00A1696A">
        <w:t xml:space="preserve">, в </w:t>
      </w:r>
      <w:r w:rsidR="0007513E">
        <w:t xml:space="preserve">югоизточната част на изследвания </w:t>
      </w:r>
      <w:r w:rsidR="005021FE" w:rsidRPr="00A1696A">
        <w:t>района</w:t>
      </w:r>
      <w:r w:rsidR="0007513E">
        <w:t xml:space="preserve"> </w:t>
      </w:r>
      <w:r w:rsidR="00D06A02" w:rsidRPr="00A1696A">
        <w:t xml:space="preserve">– два регионални </w:t>
      </w:r>
      <w:r w:rsidRPr="00A1696A">
        <w:t>сеизмични профили по Метода на пречупените вълни</w:t>
      </w:r>
      <w:r w:rsidR="00D06A02" w:rsidRPr="00A1696A">
        <w:t xml:space="preserve"> и </w:t>
      </w:r>
      <w:r w:rsidR="005021FE" w:rsidRPr="00A1696A">
        <w:t xml:space="preserve">12 бр. профили с обем от около 80 km по </w:t>
      </w:r>
      <w:r w:rsidRPr="00A1696A">
        <w:t xml:space="preserve">Метода на отразените вълни. От получените </w:t>
      </w:r>
      <w:r w:rsidRPr="00A1696A">
        <w:lastRenderedPageBreak/>
        <w:t>данни, северно от гр. Свиленград е оконтурен мини-грабен с дебелина на седиментния комплекс около 1700 m, наречен Чернодъбски (Цветанов и др., 1976ф). В най-издигнатото южно крило на грабен</w:t>
      </w:r>
      <w:r w:rsidR="00516AD1" w:rsidRPr="00A1696A">
        <w:t>а</w:t>
      </w:r>
      <w:r w:rsidRPr="00A1696A">
        <w:t xml:space="preserve"> през 1973-74 г. е прокаран параметричния сондаж Р-1 Свиленград (до 1754 m) </w:t>
      </w:r>
      <w:r w:rsidR="00516AD1" w:rsidRPr="00A1696A">
        <w:t>–</w:t>
      </w:r>
      <w:r w:rsidRPr="00A1696A">
        <w:t xml:space="preserve"> </w:t>
      </w:r>
      <w:r w:rsidR="00516AD1" w:rsidRPr="00A1696A">
        <w:t>близо до</w:t>
      </w:r>
      <w:r w:rsidRPr="00A1696A">
        <w:t xml:space="preserve"> гр. Свиленград. Следва прокарване на още три структурни сондажа с дълбочина 400-450 m (</w:t>
      </w:r>
      <w:r w:rsidR="005021FE" w:rsidRPr="00A1696A">
        <w:t>Янков,1976ф, Николова, 1977ф, Коюмджиева, 1976ф</w:t>
      </w:r>
      <w:r w:rsidRPr="00A1696A">
        <w:t xml:space="preserve">). Всичко това  е предпоставка и е в основата за изготвяне на </w:t>
      </w:r>
      <w:r w:rsidR="00516AD1" w:rsidRPr="00A1696A">
        <w:t xml:space="preserve">няколко </w:t>
      </w:r>
      <w:r w:rsidRPr="00A1696A">
        <w:t>научни материали (публикувани и фондови), отр</w:t>
      </w:r>
      <w:r w:rsidR="0007513E">
        <w:t>а</w:t>
      </w:r>
      <w:r w:rsidRPr="00A1696A">
        <w:t xml:space="preserve">зяващи различни аспекти от геоложката характеристика на този участък от територията на България. </w:t>
      </w:r>
    </w:p>
    <w:p w14:paraId="74BB1588" w14:textId="75B7C964" w:rsidR="00316B55" w:rsidRPr="00A1696A" w:rsidRDefault="00316B55" w:rsidP="007679A9">
      <w:pPr>
        <w:pStyle w:val="NormalWeb"/>
        <w:spacing w:before="0" w:beforeAutospacing="0" w:after="0" w:afterAutospacing="0"/>
        <w:ind w:firstLine="709"/>
        <w:jc w:val="both"/>
      </w:pPr>
      <w:r w:rsidRPr="00A1696A">
        <w:t>В периода 2011</w:t>
      </w:r>
      <w:r w:rsidR="00516AD1" w:rsidRPr="00A1696A">
        <w:t>-</w:t>
      </w:r>
      <w:r w:rsidRPr="00A1696A">
        <w:t>2016 г., в района на изследване са проведени търсещо-проучвателни дейности за нефт и газ, изразяващи се в провеждане на геолого-структурно картиране в размер на 380 km</w:t>
      </w:r>
      <w:r w:rsidRPr="007541A3">
        <w:rPr>
          <w:vertAlign w:val="superscript"/>
        </w:rPr>
        <w:t>2</w:t>
      </w:r>
      <w:r w:rsidRPr="00A1696A">
        <w:t>, 2D и 3D сеизмични проучвания в размер съответно на 614 km и 50 km</w:t>
      </w:r>
      <w:r w:rsidRPr="007541A3">
        <w:rPr>
          <w:vertAlign w:val="superscript"/>
        </w:rPr>
        <w:t>2</w:t>
      </w:r>
      <w:r w:rsidRPr="00A1696A">
        <w:t xml:space="preserve">, геохимични и хидрохимични изследвания и търсещо сондиране в размер на 2000 m. </w:t>
      </w:r>
    </w:p>
    <w:p w14:paraId="08078FF2" w14:textId="37DCDA29" w:rsidR="00B62BDA" w:rsidRPr="00B62BDA" w:rsidRDefault="00316B55" w:rsidP="001D3ADD">
      <w:pPr>
        <w:pStyle w:val="Style1"/>
        <w:numPr>
          <w:ilvl w:val="1"/>
          <w:numId w:val="13"/>
        </w:numPr>
        <w:jc w:val="both"/>
        <w:rPr>
          <w:lang w:val="bg-BG"/>
        </w:rPr>
      </w:pPr>
      <w:bookmarkStart w:id="33" w:name="_Toc7820631"/>
      <w:r w:rsidRPr="00B62BDA">
        <w:rPr>
          <w:lang w:val="bg-BG"/>
        </w:rPr>
        <w:t>Основни схващания за геотектонската позиция и строеж</w:t>
      </w:r>
      <w:bookmarkEnd w:id="29"/>
      <w:bookmarkEnd w:id="33"/>
    </w:p>
    <w:p w14:paraId="646AA897" w14:textId="53E6A426" w:rsidR="00316B55" w:rsidRPr="00A1696A" w:rsidRDefault="00316B55" w:rsidP="007541A3">
      <w:pPr>
        <w:pStyle w:val="NormalWeb"/>
        <w:spacing w:before="0" w:beforeAutospacing="0" w:after="0" w:afterAutospacing="0"/>
        <w:ind w:firstLine="709"/>
        <w:jc w:val="both"/>
      </w:pPr>
      <w:r w:rsidRPr="00B62BDA">
        <w:t>Съществуват</w:t>
      </w:r>
      <w:r w:rsidRPr="007679A9">
        <w:t xml:space="preserve"> различни схващания за тектонската принадлежност на изследвания район към една или друга тектонска единица</w:t>
      </w:r>
      <w:r w:rsidR="00F61A4B" w:rsidRPr="007679A9">
        <w:t xml:space="preserve"> (</w:t>
      </w:r>
      <w:r w:rsidRPr="007679A9">
        <w:t>Яранов</w:t>
      </w:r>
      <w:r w:rsidR="00F61A4B" w:rsidRPr="007679A9">
        <w:t xml:space="preserve">, </w:t>
      </w:r>
      <w:r w:rsidRPr="007679A9">
        <w:t>1960; Бояджиев и др.</w:t>
      </w:r>
      <w:r w:rsidR="00F61A4B" w:rsidRPr="007679A9">
        <w:t xml:space="preserve">, </w:t>
      </w:r>
      <w:r w:rsidRPr="007679A9">
        <w:t>1971; Боянов</w:t>
      </w:r>
      <w:r w:rsidR="00923364" w:rsidRPr="007679A9">
        <w:t xml:space="preserve">, </w:t>
      </w:r>
      <w:r w:rsidRPr="007679A9">
        <w:t>1971, 1984; Савов</w:t>
      </w:r>
      <w:r w:rsidR="00923364" w:rsidRPr="007679A9">
        <w:t xml:space="preserve">, </w:t>
      </w:r>
      <w:r w:rsidRPr="007679A9">
        <w:t>1972; Кожухаров</w:t>
      </w:r>
      <w:r w:rsidR="00923364" w:rsidRPr="007679A9">
        <w:t xml:space="preserve"> и др., </w:t>
      </w:r>
      <w:r w:rsidRPr="007679A9">
        <w:t>1995; Boyanov and Goranov</w:t>
      </w:r>
      <w:r w:rsidR="00923364" w:rsidRPr="007679A9">
        <w:t xml:space="preserve">, </w:t>
      </w:r>
      <w:r w:rsidRPr="007679A9">
        <w:t>2001; Dabovski et al.</w:t>
      </w:r>
      <w:r w:rsidR="00923364" w:rsidRPr="007679A9">
        <w:t xml:space="preserve">, </w:t>
      </w:r>
      <w:r w:rsidRPr="007679A9">
        <w:t>2002</w:t>
      </w:r>
      <w:r w:rsidR="00923364" w:rsidRPr="007679A9">
        <w:t xml:space="preserve">, </w:t>
      </w:r>
      <w:r w:rsidRPr="007679A9">
        <w:t xml:space="preserve"> </w:t>
      </w:r>
      <w:r w:rsidR="00923364" w:rsidRPr="007679A9">
        <w:t xml:space="preserve">Загорчев и др., 2009 </w:t>
      </w:r>
      <w:r w:rsidRPr="007679A9">
        <w:t xml:space="preserve">и </w:t>
      </w:r>
      <w:r w:rsidR="007B1A4B" w:rsidRPr="007679A9">
        <w:t>т.н</w:t>
      </w:r>
      <w:r w:rsidR="00EE4DA2" w:rsidRPr="007679A9">
        <w:t>.)</w:t>
      </w:r>
      <w:r w:rsidRPr="007679A9">
        <w:t>.</w:t>
      </w:r>
      <w:r w:rsidR="00EE4DA2" w:rsidRPr="007679A9">
        <w:t xml:space="preserve"> </w:t>
      </w:r>
      <w:r w:rsidR="00EF223D" w:rsidRPr="007679A9">
        <w:t>Според едни автори (Кожухаров и др., 1995ф; Boyanov and Goranov, 2001), в тектонско отношение, разглежданият район обхваща част от Източнотракийската депресия – Южносакарско понижение и част от Източнородопското понижение – Лозен-Имбреджекска зона и Бряговско понижение.</w:t>
      </w:r>
      <w:r w:rsidR="00EF223D" w:rsidRPr="00A1696A">
        <w:t xml:space="preserve"> </w:t>
      </w:r>
      <w:r w:rsidRPr="007679A9">
        <w:t xml:space="preserve"> </w:t>
      </w:r>
      <w:r w:rsidR="00FD013C" w:rsidRPr="007679A9">
        <w:t>В по-ранни публикации Източнотракийската депресия е наричана депре</w:t>
      </w:r>
      <w:r w:rsidR="00FD013C" w:rsidRPr="007679A9">
        <w:softHyphen/>
        <w:t xml:space="preserve">сия на Долна Марица и Ергене (Яранов, 1960), а също така и Източномаришко структурно понижение (Савов и Петров 1972). Тази част от територията Dabovski et al. (2002) определят като Източносредногорска зона. </w:t>
      </w:r>
      <w:r w:rsidRPr="007679A9">
        <w:t xml:space="preserve">Районът на изследване (фиг. </w:t>
      </w:r>
      <w:r w:rsidR="002D082E" w:rsidRPr="007679A9">
        <w:t>1</w:t>
      </w:r>
      <w:r w:rsidRPr="007679A9">
        <w:t xml:space="preserve">.) се характеризира със специфичен строеж и развитие и има белезите на обширна терциерна депресия. </w:t>
      </w:r>
    </w:p>
    <w:bookmarkEnd w:id="30"/>
    <w:p w14:paraId="222D18A1" w14:textId="7A658D79" w:rsidR="00F57630" w:rsidRPr="00A1696A" w:rsidRDefault="00F57630" w:rsidP="006B6EBF">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24F14DE6" wp14:editId="503D02A4">
            <wp:extent cx="5991128" cy="4410221"/>
            <wp:effectExtent l="0" t="0" r="0" b="0"/>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ctonic_dissertation Model (1).jpg"/>
                    <pic:cNvPicPr/>
                  </pic:nvPicPr>
                  <pic:blipFill rotWithShape="1">
                    <a:blip r:embed="rId12" cstate="print">
                      <a:extLst>
                        <a:ext uri="{28A0092B-C50C-407E-A947-70E740481C1C}">
                          <a14:useLocalDpi xmlns:a14="http://schemas.microsoft.com/office/drawing/2010/main" val="0"/>
                        </a:ext>
                      </a:extLst>
                    </a:blip>
                    <a:srcRect l="1982" r="1993"/>
                    <a:stretch/>
                  </pic:blipFill>
                  <pic:spPr bwMode="auto">
                    <a:xfrm>
                      <a:off x="0" y="0"/>
                      <a:ext cx="6001026" cy="4417507"/>
                    </a:xfrm>
                    <a:prstGeom prst="rect">
                      <a:avLst/>
                    </a:prstGeom>
                    <a:ln>
                      <a:noFill/>
                    </a:ln>
                    <a:extLst>
                      <a:ext uri="{53640926-AAD7-44D8-BBD7-CCE9431645EC}">
                        <a14:shadowObscured xmlns:a14="http://schemas.microsoft.com/office/drawing/2010/main"/>
                      </a:ext>
                    </a:extLst>
                  </pic:spPr>
                </pic:pic>
              </a:graphicData>
            </a:graphic>
          </wp:inline>
        </w:drawing>
      </w:r>
    </w:p>
    <w:p w14:paraId="2B1A5F40" w14:textId="6BD1C3F3" w:rsidR="00316B55" w:rsidRPr="00A1696A" w:rsidRDefault="00316B55" w:rsidP="006B6EBF">
      <w:pPr>
        <w:spacing w:after="0" w:line="240" w:lineRule="auto"/>
        <w:ind w:firstLine="709"/>
        <w:jc w:val="center"/>
        <w:rPr>
          <w:rFonts w:ascii="Times New Roman" w:hAnsi="Times New Roman" w:cs="Times New Roman"/>
          <w:i/>
          <w:sz w:val="24"/>
          <w:szCs w:val="24"/>
        </w:rPr>
      </w:pPr>
      <w:r w:rsidRPr="00A1696A">
        <w:rPr>
          <w:rFonts w:ascii="Times New Roman" w:hAnsi="Times New Roman" w:cs="Times New Roman"/>
          <w:i/>
          <w:sz w:val="24"/>
          <w:szCs w:val="24"/>
        </w:rPr>
        <w:t xml:space="preserve">Фиг. </w:t>
      </w:r>
      <w:r w:rsidR="002D082E" w:rsidRPr="00A1696A">
        <w:rPr>
          <w:rFonts w:ascii="Times New Roman" w:hAnsi="Times New Roman" w:cs="Times New Roman"/>
          <w:i/>
          <w:sz w:val="24"/>
          <w:szCs w:val="24"/>
        </w:rPr>
        <w:t>1</w:t>
      </w:r>
      <w:r w:rsidRPr="00A1696A">
        <w:rPr>
          <w:rFonts w:ascii="Times New Roman" w:hAnsi="Times New Roman" w:cs="Times New Roman"/>
          <w:i/>
          <w:sz w:val="24"/>
          <w:szCs w:val="24"/>
        </w:rPr>
        <w:t>. Детайлна тектонска схема на района на изследване (по Боянов, 1971; Кожухаров и др., 1995ф,</w:t>
      </w:r>
      <w:r w:rsidR="00776F80" w:rsidRPr="00A1696A">
        <w:rPr>
          <w:rFonts w:ascii="Times New Roman" w:hAnsi="Times New Roman" w:cs="Times New Roman"/>
          <w:i/>
          <w:sz w:val="24"/>
          <w:szCs w:val="24"/>
        </w:rPr>
        <w:t xml:space="preserve"> Загорчев и др., 2009,</w:t>
      </w:r>
      <w:r w:rsidRPr="00A1696A">
        <w:rPr>
          <w:rFonts w:ascii="Times New Roman" w:hAnsi="Times New Roman" w:cs="Times New Roman"/>
          <w:i/>
          <w:sz w:val="24"/>
          <w:szCs w:val="24"/>
        </w:rPr>
        <w:t xml:space="preserve"> с авторски допълнения)</w:t>
      </w:r>
    </w:p>
    <w:p w14:paraId="2DC4D36C" w14:textId="50A9E718" w:rsidR="00316B55" w:rsidRDefault="00316B55" w:rsidP="006B6EBF">
      <w:pPr>
        <w:spacing w:after="0" w:line="240" w:lineRule="auto"/>
        <w:ind w:firstLine="709"/>
        <w:jc w:val="both"/>
        <w:rPr>
          <w:rFonts w:ascii="Times New Roman" w:hAnsi="Times New Roman" w:cs="Times New Roman"/>
          <w:color w:val="000000"/>
          <w:spacing w:val="3"/>
          <w:sz w:val="24"/>
          <w:szCs w:val="24"/>
        </w:rPr>
      </w:pPr>
    </w:p>
    <w:p w14:paraId="0D1240F2" w14:textId="77777777" w:rsidR="007541A3" w:rsidRPr="007679A9" w:rsidRDefault="007541A3" w:rsidP="007541A3">
      <w:pPr>
        <w:pStyle w:val="NormalWeb"/>
        <w:spacing w:before="0" w:beforeAutospacing="0" w:after="0" w:afterAutospacing="0"/>
        <w:ind w:firstLine="709"/>
        <w:jc w:val="both"/>
      </w:pPr>
      <w:r w:rsidRPr="007679A9">
        <w:t>През 70-те години на миналия век</w:t>
      </w:r>
      <w:r>
        <w:t>,</w:t>
      </w:r>
      <w:r w:rsidRPr="007679A9">
        <w:t xml:space="preserve"> Боянов (1971) и Шиляфов и др. (1973ф) го наричат Маджаровско предпланинско понижение, което се приема като младопалеогенска депресионна структура, наложена върху интензивно разломената източна част на Родопския масив. Структурата влиза в обхвата на Източнородопското понижение и играе ролята на мост между него и понижението на Долна Марица и Ергене. На юг-югоизток, на турска територия, с генерална посока изток-запад, изучаваната депресия преминава в Тракийския басейн (Doust and Arikan 1974) и може да се разглежда като негов северозападен борд (Caracciolo, 2011; d’Atri et al., 2012).</w:t>
      </w:r>
    </w:p>
    <w:p w14:paraId="10524854" w14:textId="77777777" w:rsidR="007541A3" w:rsidRPr="00A1696A" w:rsidRDefault="007541A3" w:rsidP="007541A3">
      <w:pPr>
        <w:pStyle w:val="NormalWeb"/>
        <w:spacing w:before="0" w:beforeAutospacing="0" w:after="0" w:afterAutospacing="0"/>
        <w:ind w:firstLine="709"/>
        <w:jc w:val="both"/>
      </w:pPr>
      <w:r w:rsidRPr="00A1696A">
        <w:t>Изучаваната в настоящия дисертационен труд територия е пресечена от изток – западни до ССЗ-ЮЮИ и СЗ-ЮИ разломи, които маркират северната и северо</w:t>
      </w:r>
      <w:r w:rsidRPr="00A1696A">
        <w:softHyphen/>
        <w:t xml:space="preserve">западната ѝ периферия и контролират разпределението на дебелините, взаимоотношенията и разпространението на литостратиграфските единици. Вероятна причина за липсата на точна подялба на тектонски единици за района е факта, че не съществува общо мнение и относно тектонските нарушения на неговата територия. Най-голямото разломно нарушение се явява Маришкия разлом (шев, сутура, зона на срязване), който е широко дискутиран структурен елемент от десетки автори, но не е трасиран на нито една геоложка карта като издържана разломна зона (Бояджиев и др., 1971; Кожухаров и др., 1995ф; Иванов, 1989, 2017; Герджиков </w:t>
      </w:r>
      <w:bookmarkStart w:id="34" w:name="_Hlk7783912"/>
      <w:r w:rsidRPr="00A1696A">
        <w:t>и Георгиев</w:t>
      </w:r>
      <w:bookmarkEnd w:id="34"/>
      <w:r w:rsidRPr="00A1696A">
        <w:t xml:space="preserve">, 2006). </w:t>
      </w:r>
    </w:p>
    <w:p w14:paraId="0E61324B" w14:textId="52DFE52C" w:rsidR="00D65902" w:rsidRDefault="002D082E" w:rsidP="001D3ADD">
      <w:pPr>
        <w:pStyle w:val="Style1"/>
        <w:numPr>
          <w:ilvl w:val="1"/>
          <w:numId w:val="13"/>
        </w:numPr>
        <w:jc w:val="both"/>
        <w:rPr>
          <w:lang w:val="bg-BG"/>
        </w:rPr>
      </w:pPr>
      <w:bookmarkStart w:id="35" w:name="_Toc382838777"/>
      <w:bookmarkStart w:id="36" w:name="_Toc7820632"/>
      <w:r w:rsidRPr="00A1696A">
        <w:rPr>
          <w:lang w:val="bg-BG"/>
        </w:rPr>
        <w:t>С</w:t>
      </w:r>
      <w:r w:rsidR="00316B55" w:rsidRPr="00A1696A">
        <w:rPr>
          <w:lang w:val="bg-BG"/>
        </w:rPr>
        <w:t>тратиграфска характеристика</w:t>
      </w:r>
      <w:bookmarkEnd w:id="35"/>
      <w:bookmarkEnd w:id="36"/>
    </w:p>
    <w:p w14:paraId="219BBE10" w14:textId="694FCE88" w:rsidR="001F468B" w:rsidRPr="00D65902" w:rsidRDefault="00316B55" w:rsidP="00D65902">
      <w:pPr>
        <w:pStyle w:val="NormalWeb"/>
        <w:spacing w:before="0" w:beforeAutospacing="0" w:after="0" w:afterAutospacing="0"/>
        <w:ind w:firstLine="709"/>
        <w:jc w:val="both"/>
      </w:pPr>
      <w:bookmarkStart w:id="37" w:name="_Hlk7784040"/>
      <w:r w:rsidRPr="00D65902">
        <w:t xml:space="preserve">В участъка, разглеждан в настоящата дисертация и около него на повърхността се разкриват различни по възраст и състав скали. За строежа на разреза под </w:t>
      </w:r>
      <w:r w:rsidR="00A74B6D" w:rsidRPr="00D65902">
        <w:t>достигната от сондажите</w:t>
      </w:r>
      <w:r w:rsidRPr="00D65902">
        <w:t xml:space="preserve"> дълбочина</w:t>
      </w:r>
      <w:r w:rsidR="00A74B6D" w:rsidRPr="00D65902">
        <w:t xml:space="preserve"> (до 2000 m)</w:t>
      </w:r>
      <w:r w:rsidRPr="00D65902">
        <w:t xml:space="preserve"> може да се предположи от скалите, разкриващи се на повърхността, за които се смята, че се явяват подложка на седиментния комплекс, преминат от сондажите (фиг. </w:t>
      </w:r>
      <w:r w:rsidR="001F468B" w:rsidRPr="00D65902">
        <w:t>2</w:t>
      </w:r>
      <w:r w:rsidRPr="00D65902">
        <w:t>).</w:t>
      </w:r>
      <w:r w:rsidR="001F468B" w:rsidRPr="00D65902">
        <w:t xml:space="preserve"> Тази подложка е представена от:</w:t>
      </w:r>
    </w:p>
    <w:p w14:paraId="1B716D0C" w14:textId="77777777" w:rsidR="00652538" w:rsidRPr="00A1696A" w:rsidRDefault="0088487E" w:rsidP="001D3ADD">
      <w:pPr>
        <w:numPr>
          <w:ilvl w:val="0"/>
          <w:numId w:val="4"/>
        </w:numPr>
        <w:autoSpaceDE w:val="0"/>
        <w:autoSpaceDN w:val="0"/>
        <w:adjustRightInd w:val="0"/>
        <w:spacing w:after="0" w:line="240" w:lineRule="auto"/>
        <w:ind w:left="782" w:hanging="357"/>
        <w:jc w:val="both"/>
        <w:rPr>
          <w:rFonts w:ascii="Times New Roman" w:hAnsi="Times New Roman" w:cs="Times New Roman"/>
          <w:sz w:val="24"/>
          <w:szCs w:val="24"/>
        </w:rPr>
      </w:pPr>
      <w:r w:rsidRPr="00A1696A">
        <w:rPr>
          <w:rFonts w:ascii="Times New Roman" w:hAnsi="Times New Roman" w:cs="Times New Roman"/>
          <w:sz w:val="24"/>
          <w:szCs w:val="24"/>
        </w:rPr>
        <w:t>скали с архайска и протерозойска възраст</w:t>
      </w:r>
      <w:r w:rsidR="001F468B" w:rsidRPr="00A1696A">
        <w:rPr>
          <w:rFonts w:ascii="Times New Roman" w:hAnsi="Times New Roman" w:cs="Times New Roman"/>
          <w:sz w:val="24"/>
          <w:szCs w:val="24"/>
        </w:rPr>
        <w:t xml:space="preserve">, които са </w:t>
      </w:r>
      <w:r w:rsidRPr="00A1696A">
        <w:rPr>
          <w:rFonts w:ascii="Times New Roman" w:hAnsi="Times New Roman" w:cs="Times New Roman"/>
          <w:sz w:val="24"/>
          <w:szCs w:val="24"/>
        </w:rPr>
        <w:t>претърпели интензивен метаморфизъм</w:t>
      </w:r>
      <w:r w:rsidR="00652538" w:rsidRPr="00A1696A">
        <w:rPr>
          <w:rFonts w:ascii="Times New Roman" w:hAnsi="Times New Roman" w:cs="Times New Roman"/>
          <w:sz w:val="24"/>
          <w:szCs w:val="24"/>
        </w:rPr>
        <w:t xml:space="preserve"> и изграждащи високо-кристалинния скален комплекс</w:t>
      </w:r>
      <w:r w:rsidR="001F468B" w:rsidRPr="00A1696A">
        <w:rPr>
          <w:rFonts w:ascii="Times New Roman" w:hAnsi="Times New Roman" w:cs="Times New Roman"/>
          <w:sz w:val="24"/>
          <w:szCs w:val="24"/>
        </w:rPr>
        <w:t>;</w:t>
      </w:r>
    </w:p>
    <w:p w14:paraId="392C3160" w14:textId="77777777" w:rsidR="00652538" w:rsidRPr="00A1696A" w:rsidRDefault="0088487E" w:rsidP="001D3ADD">
      <w:pPr>
        <w:numPr>
          <w:ilvl w:val="0"/>
          <w:numId w:val="4"/>
        </w:numPr>
        <w:autoSpaceDE w:val="0"/>
        <w:autoSpaceDN w:val="0"/>
        <w:adjustRightInd w:val="0"/>
        <w:spacing w:after="0" w:line="240" w:lineRule="auto"/>
        <w:ind w:left="782" w:hanging="357"/>
        <w:jc w:val="both"/>
        <w:rPr>
          <w:rFonts w:ascii="Times New Roman" w:hAnsi="Times New Roman" w:cs="Times New Roman"/>
          <w:sz w:val="24"/>
          <w:szCs w:val="24"/>
        </w:rPr>
      </w:pPr>
      <w:r w:rsidRPr="00A1696A">
        <w:rPr>
          <w:rFonts w:ascii="Times New Roman" w:hAnsi="Times New Roman" w:cs="Times New Roman"/>
          <w:sz w:val="24"/>
          <w:szCs w:val="24"/>
        </w:rPr>
        <w:t>гранит-порфири и гранити</w:t>
      </w:r>
      <w:r w:rsidR="001F468B" w:rsidRPr="00A1696A">
        <w:rPr>
          <w:rFonts w:ascii="Times New Roman" w:hAnsi="Times New Roman" w:cs="Times New Roman"/>
          <w:sz w:val="24"/>
          <w:szCs w:val="24"/>
        </w:rPr>
        <w:t xml:space="preserve"> с палеозойска възраст</w:t>
      </w:r>
      <w:r w:rsidRPr="00A1696A">
        <w:rPr>
          <w:rFonts w:ascii="Times New Roman" w:hAnsi="Times New Roman" w:cs="Times New Roman"/>
          <w:sz w:val="24"/>
          <w:szCs w:val="24"/>
        </w:rPr>
        <w:t>, вместени всред скалите на метаморфните свити от високо-кристалинния комплекс</w:t>
      </w:r>
      <w:r w:rsidR="00652538" w:rsidRPr="00A1696A">
        <w:rPr>
          <w:rFonts w:ascii="Times New Roman" w:hAnsi="Times New Roman" w:cs="Times New Roman"/>
          <w:sz w:val="24"/>
          <w:szCs w:val="24"/>
        </w:rPr>
        <w:t>;</w:t>
      </w:r>
    </w:p>
    <w:p w14:paraId="5DDD7399" w14:textId="694FCE88" w:rsidR="0088487E" w:rsidRPr="00A1696A" w:rsidRDefault="0088487E" w:rsidP="001D3ADD">
      <w:pPr>
        <w:numPr>
          <w:ilvl w:val="0"/>
          <w:numId w:val="4"/>
        </w:numPr>
        <w:autoSpaceDE w:val="0"/>
        <w:autoSpaceDN w:val="0"/>
        <w:adjustRightInd w:val="0"/>
        <w:spacing w:after="0" w:line="240" w:lineRule="auto"/>
        <w:ind w:left="782" w:hanging="357"/>
        <w:jc w:val="both"/>
        <w:rPr>
          <w:rFonts w:ascii="Times New Roman" w:hAnsi="Times New Roman" w:cs="Times New Roman"/>
          <w:sz w:val="24"/>
          <w:szCs w:val="24"/>
        </w:rPr>
      </w:pPr>
      <w:r w:rsidRPr="00A1696A">
        <w:rPr>
          <w:rFonts w:ascii="Times New Roman" w:hAnsi="Times New Roman" w:cs="Times New Roman"/>
          <w:sz w:val="24"/>
          <w:szCs w:val="24"/>
        </w:rPr>
        <w:t xml:space="preserve">по-слабо метаморфозирали скали с триаска и юрска възраст, при което първоначалния им облик е съхранен или слабо променен, обособени в </w:t>
      </w:r>
      <w:r w:rsidR="00652538" w:rsidRPr="00A1696A">
        <w:rPr>
          <w:rFonts w:ascii="Times New Roman" w:hAnsi="Times New Roman" w:cs="Times New Roman"/>
          <w:sz w:val="24"/>
          <w:szCs w:val="24"/>
        </w:rPr>
        <w:t>н</w:t>
      </w:r>
      <w:r w:rsidRPr="00A1696A">
        <w:rPr>
          <w:rFonts w:ascii="Times New Roman" w:hAnsi="Times New Roman" w:cs="Times New Roman"/>
          <w:sz w:val="24"/>
          <w:szCs w:val="24"/>
        </w:rPr>
        <w:t>иско</w:t>
      </w:r>
      <w:r w:rsidR="00652538" w:rsidRPr="00A1696A">
        <w:rPr>
          <w:rFonts w:ascii="Times New Roman" w:hAnsi="Times New Roman" w:cs="Times New Roman"/>
          <w:sz w:val="24"/>
          <w:szCs w:val="24"/>
        </w:rPr>
        <w:t>-</w:t>
      </w:r>
      <w:r w:rsidRPr="00A1696A">
        <w:rPr>
          <w:rFonts w:ascii="Times New Roman" w:hAnsi="Times New Roman" w:cs="Times New Roman"/>
          <w:sz w:val="24"/>
          <w:szCs w:val="24"/>
        </w:rPr>
        <w:t>кристалинен скален комплекс</w:t>
      </w:r>
      <w:r w:rsidR="00652538" w:rsidRPr="00A1696A">
        <w:rPr>
          <w:rFonts w:ascii="Times New Roman" w:hAnsi="Times New Roman" w:cs="Times New Roman"/>
          <w:sz w:val="24"/>
          <w:szCs w:val="24"/>
        </w:rPr>
        <w:t>.</w:t>
      </w:r>
    </w:p>
    <w:p w14:paraId="1F610FF6" w14:textId="77777777" w:rsidR="00020359" w:rsidRPr="00A1696A" w:rsidRDefault="00020359" w:rsidP="00020359">
      <w:pPr>
        <w:spacing w:after="0" w:line="240" w:lineRule="auto"/>
        <w:ind w:firstLine="709"/>
        <w:jc w:val="both"/>
        <w:rPr>
          <w:rFonts w:ascii="Times New Roman" w:hAnsi="Times New Roman" w:cs="Times New Roman"/>
          <w:b/>
          <w:sz w:val="24"/>
          <w:szCs w:val="24"/>
          <w:u w:val="single"/>
        </w:rPr>
      </w:pPr>
      <w:bookmarkStart w:id="38" w:name="_Hlk7784236"/>
      <w:bookmarkEnd w:id="37"/>
      <w:r w:rsidRPr="00A1696A">
        <w:rPr>
          <w:rFonts w:ascii="Times New Roman" w:hAnsi="Times New Roman" w:cs="Times New Roman"/>
          <w:b/>
          <w:sz w:val="24"/>
          <w:szCs w:val="24"/>
          <w:u w:val="single"/>
        </w:rPr>
        <w:t>Неозойска ератема</w:t>
      </w:r>
    </w:p>
    <w:p w14:paraId="69AE0E55" w14:textId="77777777" w:rsidR="00020359" w:rsidRPr="00A1696A" w:rsidRDefault="00020359" w:rsidP="00020359">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u w:val="single"/>
        </w:rPr>
        <w:t>Палеоцен-еоценска серия</w:t>
      </w:r>
      <w:r w:rsidRPr="00A1696A">
        <w:rPr>
          <w:rFonts w:ascii="Times New Roman" w:hAnsi="Times New Roman" w:cs="Times New Roman"/>
          <w:sz w:val="24"/>
          <w:szCs w:val="24"/>
        </w:rPr>
        <w:t xml:space="preserve"> има разкрития на няколко места в западната част на разглеждания район и е представена от скалите на Бисерска и Лешниковска свити (Боянов и др., 1980ф). Свитите са изградени от брекчи, брекчоконгломерати, гравелити конгломерати, пясъчници и глинести пясъчници, покрити трансгресивно от скалите с приабонска възраст. </w:t>
      </w:r>
    </w:p>
    <w:p w14:paraId="5568B509" w14:textId="77777777" w:rsidR="00020359" w:rsidRPr="00A1696A" w:rsidRDefault="00020359" w:rsidP="00020359">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u w:val="single"/>
        </w:rPr>
        <w:t>Горноеоценски етаж – приабон</w:t>
      </w:r>
    </w:p>
    <w:p w14:paraId="2CF5F229" w14:textId="77777777" w:rsidR="00020359" w:rsidRPr="00A1696A" w:rsidRDefault="00020359" w:rsidP="00020359">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В района на изучаваната територия този стратиграфски интервал има разкрития на повърхността, а така също част от него може да се проследи в разреза от сондаж Р-1 Свиленград (Янков, 1975ф).</w:t>
      </w:r>
    </w:p>
    <w:p w14:paraId="7257EB34" w14:textId="6892DF5F" w:rsidR="00020359" w:rsidRPr="00A1696A" w:rsidRDefault="00020359" w:rsidP="00020359">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Брекчоконгломератна задруга -</w:t>
      </w:r>
      <w:r w:rsidRPr="00A1696A">
        <w:rPr>
          <w:rFonts w:ascii="Times New Roman" w:hAnsi="Times New Roman" w:cs="Times New Roman"/>
          <w:sz w:val="24"/>
          <w:szCs w:val="24"/>
        </w:rPr>
        <w:t xml:space="preserve"> Скалите на задругата се разкриват в Ибреджекската хорст-антиклинала при с.с. Вълче поле, Ефрем, Орешец и Малко Брягово</w:t>
      </w:r>
      <w:r w:rsidR="00E94842">
        <w:rPr>
          <w:rFonts w:ascii="Times New Roman" w:hAnsi="Times New Roman" w:cs="Times New Roman"/>
          <w:sz w:val="24"/>
          <w:szCs w:val="24"/>
        </w:rPr>
        <w:t xml:space="preserve"> (</w:t>
      </w:r>
      <w:r w:rsidR="00E94842" w:rsidRPr="001E2A7A">
        <w:rPr>
          <w:rFonts w:ascii="Times New Roman" w:hAnsi="Times New Roman" w:cs="Times New Roman"/>
          <w:sz w:val="24"/>
          <w:szCs w:val="24"/>
        </w:rPr>
        <w:t>Боянов и др., 1992ф</w:t>
      </w:r>
      <w:r w:rsidR="00E94842">
        <w:rPr>
          <w:rFonts w:ascii="Times New Roman" w:hAnsi="Times New Roman" w:cs="Times New Roman"/>
          <w:sz w:val="24"/>
          <w:szCs w:val="24"/>
        </w:rPr>
        <w:t>)</w:t>
      </w:r>
      <w:r w:rsidRPr="00A1696A">
        <w:rPr>
          <w:rFonts w:ascii="Times New Roman" w:hAnsi="Times New Roman" w:cs="Times New Roman"/>
          <w:sz w:val="24"/>
          <w:szCs w:val="24"/>
        </w:rPr>
        <w:t xml:space="preserve"> и в сондаж Р-1 Свиленград</w:t>
      </w:r>
      <w:r w:rsidR="00E94842">
        <w:rPr>
          <w:rFonts w:ascii="Times New Roman" w:hAnsi="Times New Roman" w:cs="Times New Roman"/>
          <w:sz w:val="24"/>
          <w:szCs w:val="24"/>
        </w:rPr>
        <w:t xml:space="preserve"> </w:t>
      </w:r>
      <w:r w:rsidR="00E94842" w:rsidRPr="00A1696A">
        <w:rPr>
          <w:rFonts w:ascii="Times New Roman" w:hAnsi="Times New Roman" w:cs="Times New Roman"/>
          <w:sz w:val="24"/>
          <w:szCs w:val="24"/>
        </w:rPr>
        <w:t>(Янков, 1975ф)</w:t>
      </w:r>
      <w:r w:rsidRPr="00A1696A">
        <w:rPr>
          <w:rFonts w:ascii="Times New Roman" w:hAnsi="Times New Roman" w:cs="Times New Roman"/>
          <w:sz w:val="24"/>
          <w:szCs w:val="24"/>
        </w:rPr>
        <w:t>. Заляга трансгресивно и дискордантно върху пъстрата подложка от слабометаморфозиралия скален комплекс. Главната съставна част на задругата са брекчоконтломератите, които се заместват незакономерно хоризонтално и вертикално от конгломерати и грубозърнести пясъчници. Цветът на скалите от задругата е много характерен - червено-виолетов или червенокафяв. Фауна в разкритията на задругата не е установена, но преходът ѝ нагоре в доказани приабонск</w:t>
      </w:r>
      <w:r>
        <w:rPr>
          <w:rFonts w:ascii="Times New Roman" w:hAnsi="Times New Roman" w:cs="Times New Roman"/>
          <w:sz w:val="24"/>
          <w:szCs w:val="24"/>
        </w:rPr>
        <w:t>и</w:t>
      </w:r>
      <w:r w:rsidRPr="00A1696A">
        <w:rPr>
          <w:rFonts w:ascii="Times New Roman" w:hAnsi="Times New Roman" w:cs="Times New Roman"/>
          <w:sz w:val="24"/>
          <w:szCs w:val="24"/>
        </w:rPr>
        <w:t xml:space="preserve"> седименти позволява тя да бъде приета за </w:t>
      </w:r>
      <w:r>
        <w:rPr>
          <w:rFonts w:ascii="Times New Roman" w:hAnsi="Times New Roman" w:cs="Times New Roman"/>
          <w:sz w:val="24"/>
          <w:szCs w:val="24"/>
        </w:rPr>
        <w:t>п</w:t>
      </w:r>
      <w:r w:rsidRPr="00A1696A">
        <w:rPr>
          <w:rFonts w:ascii="Times New Roman" w:hAnsi="Times New Roman" w:cs="Times New Roman"/>
          <w:sz w:val="24"/>
          <w:szCs w:val="24"/>
        </w:rPr>
        <w:t xml:space="preserve">риабонска (Боянов и др., 1958ф, 1962ф, 1980ф). Дебелината на хоризонта, разкрит от сондажа, е 200 m, но на север и югозапад може да достигне 500-700 m. </w:t>
      </w:r>
    </w:p>
    <w:bookmarkEnd w:id="38"/>
    <w:p w14:paraId="1B615A03" w14:textId="679FE226" w:rsidR="001B52FE" w:rsidRPr="00A1696A" w:rsidRDefault="001B52FE"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noProof/>
          <w:sz w:val="24"/>
          <w:szCs w:val="24"/>
          <w:lang w:eastAsia="bg-BG"/>
        </w:rPr>
        <w:lastRenderedPageBreak/>
        <w:drawing>
          <wp:inline distT="0" distB="0" distL="0" distR="0" wp14:anchorId="7BB3ABDC" wp14:editId="1007DB55">
            <wp:extent cx="6165281" cy="5955824"/>
            <wp:effectExtent l="0" t="0" r="6985" b="6985"/>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tostratigraphy_dissertation Tertiary.jpg"/>
                    <pic:cNvPicPr/>
                  </pic:nvPicPr>
                  <pic:blipFill rotWithShape="1">
                    <a:blip r:embed="rId13" cstate="print">
                      <a:extLst>
                        <a:ext uri="{28A0092B-C50C-407E-A947-70E740481C1C}">
                          <a14:useLocalDpi xmlns:a14="http://schemas.microsoft.com/office/drawing/2010/main" val="0"/>
                        </a:ext>
                      </a:extLst>
                    </a:blip>
                    <a:srcRect l="13348" r="13480"/>
                    <a:stretch/>
                  </pic:blipFill>
                  <pic:spPr bwMode="auto">
                    <a:xfrm>
                      <a:off x="0" y="0"/>
                      <a:ext cx="6179676" cy="5969730"/>
                    </a:xfrm>
                    <a:prstGeom prst="rect">
                      <a:avLst/>
                    </a:prstGeom>
                    <a:ln>
                      <a:noFill/>
                    </a:ln>
                    <a:extLst>
                      <a:ext uri="{53640926-AAD7-44D8-BBD7-CCE9431645EC}">
                        <a14:shadowObscured xmlns:a14="http://schemas.microsoft.com/office/drawing/2010/main"/>
                      </a:ext>
                    </a:extLst>
                  </pic:spPr>
                </pic:pic>
              </a:graphicData>
            </a:graphic>
          </wp:inline>
        </w:drawing>
      </w:r>
    </w:p>
    <w:p w14:paraId="152F99CB" w14:textId="35C0044C" w:rsidR="00316B55" w:rsidRPr="00A1696A" w:rsidRDefault="00316B55" w:rsidP="006B6EBF">
      <w:pPr>
        <w:spacing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2. Сборна литологостратиграфска схема на </w:t>
      </w:r>
      <w:r w:rsidR="001B52FE" w:rsidRPr="00A1696A">
        <w:rPr>
          <w:rFonts w:ascii="Times New Roman" w:hAnsi="Times New Roman" w:cs="Times New Roman"/>
          <w:i/>
          <w:sz w:val="24"/>
          <w:szCs w:val="24"/>
          <w:lang w:eastAsia="bg-BG"/>
        </w:rPr>
        <w:t xml:space="preserve">терциерния разрез в </w:t>
      </w:r>
      <w:r w:rsidRPr="00A1696A">
        <w:rPr>
          <w:rFonts w:ascii="Times New Roman" w:hAnsi="Times New Roman" w:cs="Times New Roman"/>
          <w:i/>
          <w:sz w:val="24"/>
          <w:szCs w:val="24"/>
          <w:lang w:eastAsia="bg-BG"/>
        </w:rPr>
        <w:t>изучавания район</w:t>
      </w:r>
    </w:p>
    <w:p w14:paraId="4AFD944E" w14:textId="615211BA"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bookmarkStart w:id="39" w:name="_Hlk7784345"/>
      <w:r w:rsidRPr="00A1696A">
        <w:rPr>
          <w:rFonts w:ascii="Times New Roman" w:hAnsi="Times New Roman" w:cs="Times New Roman"/>
          <w:b/>
          <w:i/>
          <w:sz w:val="24"/>
          <w:szCs w:val="24"/>
        </w:rPr>
        <w:t xml:space="preserve">Брекчоконгломерато-пясъчникова задруга </w:t>
      </w:r>
      <w:r w:rsidRPr="00A1696A">
        <w:rPr>
          <w:rFonts w:ascii="Times New Roman" w:hAnsi="Times New Roman" w:cs="Times New Roman"/>
          <w:sz w:val="24"/>
          <w:szCs w:val="24"/>
        </w:rPr>
        <w:t>се разкрива северно от гр. Любимец и селата Георги Добрево, Момково и Пъстрогор</w:t>
      </w:r>
      <w:r w:rsidR="005B79F1" w:rsidRPr="00A1696A">
        <w:rPr>
          <w:rFonts w:ascii="Times New Roman" w:hAnsi="Times New Roman" w:cs="Times New Roman"/>
          <w:sz w:val="24"/>
          <w:szCs w:val="24"/>
        </w:rPr>
        <w:t xml:space="preserve"> (Кожухаров</w:t>
      </w:r>
      <w:r w:rsidR="00020359">
        <w:rPr>
          <w:rFonts w:ascii="Times New Roman" w:hAnsi="Times New Roman" w:cs="Times New Roman"/>
          <w:sz w:val="24"/>
          <w:szCs w:val="24"/>
        </w:rPr>
        <w:t xml:space="preserve"> и др.</w:t>
      </w:r>
      <w:r w:rsidR="005B79F1" w:rsidRPr="00A1696A">
        <w:rPr>
          <w:rFonts w:ascii="Times New Roman" w:hAnsi="Times New Roman" w:cs="Times New Roman"/>
          <w:sz w:val="24"/>
          <w:szCs w:val="24"/>
        </w:rPr>
        <w:t>, 1995ф)</w:t>
      </w:r>
      <w:r w:rsidRPr="00A1696A">
        <w:rPr>
          <w:rFonts w:ascii="Times New Roman" w:hAnsi="Times New Roman" w:cs="Times New Roman"/>
          <w:sz w:val="24"/>
          <w:szCs w:val="24"/>
        </w:rPr>
        <w:t>. Изградена основно от грубозърнести до гравийни и чакълни пясъчници с редки (до 20 cm) късове от подложката</w:t>
      </w:r>
      <w:r w:rsidR="00370A23" w:rsidRPr="00A1696A">
        <w:rPr>
          <w:rFonts w:ascii="Times New Roman" w:hAnsi="Times New Roman" w:cs="Times New Roman"/>
          <w:sz w:val="24"/>
          <w:szCs w:val="24"/>
        </w:rPr>
        <w:t>, а к</w:t>
      </w:r>
      <w:r w:rsidRPr="00A1696A">
        <w:rPr>
          <w:rFonts w:ascii="Times New Roman" w:hAnsi="Times New Roman" w:cs="Times New Roman"/>
          <w:sz w:val="24"/>
          <w:szCs w:val="24"/>
        </w:rPr>
        <w:t>онгломератните и брекчоконгломератните пластове, лещи и прослойки са редки. Задругата е с доста пъстър състав, със сложни латерални взаимоотношения между литотиповете</w:t>
      </w:r>
      <w:r w:rsidR="00370A23" w:rsidRPr="00A1696A">
        <w:rPr>
          <w:rFonts w:ascii="Times New Roman" w:hAnsi="Times New Roman" w:cs="Times New Roman"/>
          <w:sz w:val="24"/>
          <w:szCs w:val="24"/>
        </w:rPr>
        <w:t xml:space="preserve">. </w:t>
      </w:r>
      <w:r w:rsidRPr="00A1696A">
        <w:rPr>
          <w:rFonts w:ascii="Times New Roman" w:hAnsi="Times New Roman" w:cs="Times New Roman"/>
          <w:sz w:val="24"/>
          <w:szCs w:val="24"/>
        </w:rPr>
        <w:t>Дебелината на задругата варира между 50-100 m</w:t>
      </w:r>
      <w:r w:rsidR="00370A23" w:rsidRPr="00A1696A">
        <w:rPr>
          <w:rFonts w:ascii="Times New Roman" w:hAnsi="Times New Roman" w:cs="Times New Roman"/>
          <w:sz w:val="24"/>
          <w:szCs w:val="24"/>
        </w:rPr>
        <w:t xml:space="preserve">. </w:t>
      </w:r>
    </w:p>
    <w:p w14:paraId="2E00D218" w14:textId="3FEAD7E3" w:rsidR="00A023DB"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b/>
          <w:i/>
          <w:sz w:val="24"/>
          <w:szCs w:val="24"/>
        </w:rPr>
      </w:pPr>
      <w:r w:rsidRPr="00A1696A">
        <w:rPr>
          <w:rFonts w:ascii="Times New Roman" w:hAnsi="Times New Roman" w:cs="Times New Roman"/>
          <w:b/>
          <w:i/>
          <w:sz w:val="24"/>
          <w:szCs w:val="24"/>
        </w:rPr>
        <w:t xml:space="preserve">Теригенно-варовиково-мергелна задруга </w:t>
      </w:r>
      <w:r w:rsidRPr="00A1696A">
        <w:rPr>
          <w:rFonts w:ascii="Times New Roman" w:hAnsi="Times New Roman" w:cs="Times New Roman"/>
          <w:sz w:val="24"/>
          <w:szCs w:val="24"/>
        </w:rPr>
        <w:t>(Кожухаров и др., 1995ф)</w:t>
      </w:r>
      <w:r w:rsidR="00A74B6D" w:rsidRPr="00A1696A">
        <w:rPr>
          <w:rFonts w:ascii="Times New Roman" w:hAnsi="Times New Roman" w:cs="Times New Roman"/>
          <w:sz w:val="24"/>
          <w:szCs w:val="24"/>
        </w:rPr>
        <w:t xml:space="preserve"> -</w:t>
      </w:r>
      <w:r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В голямата си част се изгражда от неправилно редуващи се пясъчници, алевролити, глинес</w:t>
      </w:r>
      <w:r w:rsidRPr="00A1696A">
        <w:rPr>
          <w:rFonts w:ascii="Times New Roman" w:hAnsi="Times New Roman" w:cs="Times New Roman"/>
          <w:sz w:val="24"/>
          <w:szCs w:val="24"/>
        </w:rPr>
        <w:softHyphen/>
        <w:t xml:space="preserve">ти пясъчници, варовити пясъчници, алевритови мергели и мергели. Цветът на скалите варира от светлосив до тъмносив. В </w:t>
      </w:r>
      <w:r w:rsidR="00020359">
        <w:rPr>
          <w:rFonts w:ascii="Times New Roman" w:hAnsi="Times New Roman" w:cs="Times New Roman"/>
          <w:sz w:val="24"/>
          <w:szCs w:val="24"/>
        </w:rPr>
        <w:t xml:space="preserve">сондаж </w:t>
      </w:r>
      <w:r w:rsidRPr="00A1696A">
        <w:rPr>
          <w:rFonts w:ascii="Times New Roman" w:hAnsi="Times New Roman" w:cs="Times New Roman"/>
          <w:sz w:val="24"/>
          <w:szCs w:val="24"/>
        </w:rPr>
        <w:t>Р-1 Свиленград (Янков, 1975ф) се разкрива в интервал</w:t>
      </w:r>
      <w:r w:rsidR="00020359">
        <w:rPr>
          <w:rFonts w:ascii="Times New Roman" w:hAnsi="Times New Roman" w:cs="Times New Roman"/>
          <w:sz w:val="24"/>
          <w:szCs w:val="24"/>
        </w:rPr>
        <w:t>а</w:t>
      </w:r>
      <w:r w:rsidRPr="00A1696A">
        <w:rPr>
          <w:rFonts w:ascii="Times New Roman" w:hAnsi="Times New Roman" w:cs="Times New Roman"/>
          <w:sz w:val="24"/>
          <w:szCs w:val="24"/>
        </w:rPr>
        <w:t xml:space="preserve"> 932–780 m. Възрастта на единицата е доказана с множество фораминиферни съобщества като приабонска. В по-голямата част от района заляга нормално с преход непосредствено върху конгломератния хоризонт, но на места лежи трансгресивно и върху различни серии от метаморфния комплекс.</w:t>
      </w:r>
      <w:r w:rsidRPr="00A1696A">
        <w:rPr>
          <w:rFonts w:ascii="Times New Roman" w:hAnsi="Times New Roman" w:cs="Times New Roman"/>
          <w:b/>
          <w:i/>
          <w:sz w:val="24"/>
          <w:szCs w:val="24"/>
        </w:rPr>
        <w:t xml:space="preserve"> </w:t>
      </w:r>
    </w:p>
    <w:p w14:paraId="0600AE82" w14:textId="6E02F2E0" w:rsidR="008817B0"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Рифогенно-варовикова задруга</w:t>
      </w:r>
      <w:r w:rsidRPr="00A1696A">
        <w:rPr>
          <w:rFonts w:ascii="Times New Roman" w:hAnsi="Times New Roman" w:cs="Times New Roman"/>
          <w:b/>
          <w:bCs/>
          <w:i/>
          <w:sz w:val="24"/>
          <w:szCs w:val="24"/>
        </w:rPr>
        <w:t xml:space="preserve"> - </w:t>
      </w:r>
      <w:r w:rsidRPr="00A1696A">
        <w:rPr>
          <w:rFonts w:ascii="Times New Roman" w:hAnsi="Times New Roman" w:cs="Times New Roman"/>
          <w:sz w:val="24"/>
          <w:szCs w:val="24"/>
        </w:rPr>
        <w:t xml:space="preserve">Тази единица е описвана като най-горна част на теригенно-варовиково-мергелната задруга, представена от органогенни варовици </w:t>
      </w:r>
      <w:r w:rsidRPr="00A1696A">
        <w:rPr>
          <w:rFonts w:ascii="Times New Roman" w:hAnsi="Times New Roman" w:cs="Times New Roman"/>
          <w:sz w:val="24"/>
          <w:szCs w:val="24"/>
        </w:rPr>
        <w:lastRenderedPageBreak/>
        <w:t>(Кожухаров и др., 1995ф) или „варовиков хоризонт” в сондаж Р-1 Свиленград (Янков, 1975ф), но в разглежданата територия това варовиково ниво е най-ясно проследимата и картируема единица. Задругата може да се проследи от най-североизточните части на депресията, западно от с. Щит, до пътя Пъстрогор-Младиново на запад. Варовиците са неясно слоисти до масивни, органогенни с рифогенен произход, с многобройни останки от корали, бивалвии, гастроподи, водорасли, големи фораминифери и др.</w:t>
      </w:r>
    </w:p>
    <w:p w14:paraId="4AF4AE7C" w14:textId="60FDDC7E"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Пирокластично-мергелно-варовикова задруга –</w:t>
      </w:r>
      <w:r w:rsidR="00370A23"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 xml:space="preserve">Преобладават сивите тънкопластови мергели и туфозните мергели, алтерниращи средно- до дебелопластови туфи, туфозни мергели и туфозни органогенни варовици. В горната си част задругата е изградена от мергели, органогенни и песъчливи варовици. В района на дълбокия сондаж Р-1 Свиленград </w:t>
      </w:r>
      <w:r w:rsidR="00370A23" w:rsidRPr="00A1696A">
        <w:rPr>
          <w:rFonts w:ascii="Times New Roman" w:hAnsi="Times New Roman" w:cs="Times New Roman"/>
          <w:sz w:val="24"/>
          <w:szCs w:val="24"/>
        </w:rPr>
        <w:t xml:space="preserve">(интервал 682 – 780 m) </w:t>
      </w:r>
      <w:r w:rsidRPr="00A1696A">
        <w:rPr>
          <w:rFonts w:ascii="Times New Roman" w:hAnsi="Times New Roman" w:cs="Times New Roman"/>
          <w:sz w:val="24"/>
          <w:szCs w:val="24"/>
        </w:rPr>
        <w:t xml:space="preserve">се представя от варовици и мергели, всред които залягат частично и пясъчници. Дебелината на задругата варира от 50 до 100 m. </w:t>
      </w:r>
    </w:p>
    <w:p w14:paraId="27D6B346" w14:textId="5C74202B"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Въгленосно-песъчлива задруга </w:t>
      </w:r>
      <w:r w:rsidRPr="00A1696A">
        <w:rPr>
          <w:rFonts w:ascii="Times New Roman" w:hAnsi="Times New Roman" w:cs="Times New Roman"/>
          <w:sz w:val="24"/>
          <w:szCs w:val="24"/>
        </w:rPr>
        <w:t xml:space="preserve">(Боянов и др., 1992ф) </w:t>
      </w:r>
      <w:r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Разкрива се в западната част на изучаваната територия при с. Лозен, с. Славяново, северно и северо</w:t>
      </w:r>
      <w:r w:rsidRPr="00A1696A">
        <w:rPr>
          <w:rFonts w:ascii="Times New Roman" w:hAnsi="Times New Roman" w:cs="Times New Roman"/>
          <w:sz w:val="24"/>
          <w:szCs w:val="24"/>
        </w:rPr>
        <w:softHyphen/>
        <w:t>източно от с. Ефрем и около с. Черна могила. Задругата лежи нормално, с преход вър</w:t>
      </w:r>
      <w:r w:rsidRPr="00A1696A">
        <w:rPr>
          <w:rFonts w:ascii="Times New Roman" w:hAnsi="Times New Roman" w:cs="Times New Roman"/>
          <w:sz w:val="24"/>
          <w:szCs w:val="24"/>
        </w:rPr>
        <w:softHyphen/>
        <w:t>ху брекчоконгломератната задруга или трансгресивно и дискордантно върху пъстрата подложка. Горната ѝ граница е рязка с туфозно-тефротурбидитната задруга или най-често тектонска. Eдиницата може да се характеризира като изградена от средно- до дребнозърнести пясъчници и алевролити, прослоени от тънки мергелни пластове в горната част (индикация за удълбочаване на басейна) и наличието на олистостроми и олистолити, достигащи десетки метри.</w:t>
      </w:r>
    </w:p>
    <w:p w14:paraId="72A8514E" w14:textId="3F540CCE"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Туфозно-тефротурбидитна задруга </w:t>
      </w:r>
      <w:r w:rsidRPr="00E94842">
        <w:rPr>
          <w:rFonts w:ascii="Times New Roman" w:hAnsi="Times New Roman" w:cs="Times New Roman"/>
          <w:b/>
          <w:i/>
          <w:sz w:val="24"/>
          <w:szCs w:val="24"/>
        </w:rPr>
        <w:t>(непубл.данни)</w:t>
      </w:r>
      <w:r w:rsidR="00E94842">
        <w:rPr>
          <w:rFonts w:ascii="Times New Roman" w:hAnsi="Times New Roman" w:cs="Times New Roman"/>
          <w:b/>
          <w:i/>
          <w:sz w:val="24"/>
          <w:szCs w:val="24"/>
        </w:rPr>
        <w:t>/</w:t>
      </w:r>
      <w:r w:rsidRPr="00A1696A">
        <w:rPr>
          <w:rFonts w:ascii="Times New Roman" w:hAnsi="Times New Roman" w:cs="Times New Roman"/>
          <w:b/>
          <w:i/>
          <w:sz w:val="24"/>
          <w:szCs w:val="24"/>
        </w:rPr>
        <w:t xml:space="preserve">задруга на Лозенския кисел вулканизъм </w:t>
      </w:r>
      <w:r w:rsidRPr="00A1696A">
        <w:rPr>
          <w:rFonts w:ascii="Times New Roman" w:hAnsi="Times New Roman" w:cs="Times New Roman"/>
          <w:sz w:val="24"/>
          <w:szCs w:val="24"/>
        </w:rPr>
        <w:t xml:space="preserve">– скалите се разкриват край с. Лозен и изграждат Мезекската планина. В основата залягат хаотично туфи и туфобрекчи, покрити от пясъчникова пачка, а над нея нормално заляга пачка </w:t>
      </w:r>
      <w:r w:rsidR="00E94842">
        <w:rPr>
          <w:rFonts w:ascii="Times New Roman" w:hAnsi="Times New Roman" w:cs="Times New Roman"/>
          <w:sz w:val="24"/>
          <w:szCs w:val="24"/>
        </w:rPr>
        <w:t>от</w:t>
      </w:r>
      <w:r w:rsidRPr="00A1696A">
        <w:rPr>
          <w:rFonts w:ascii="Times New Roman" w:hAnsi="Times New Roman" w:cs="Times New Roman"/>
          <w:sz w:val="24"/>
          <w:szCs w:val="24"/>
        </w:rPr>
        <w:t xml:space="preserve"> кисели туфи, туфити и органогенни варовици. Приема се средна дебелина в рамките на 250-350 m и възраст приабон – ранен олигоцен(?).</w:t>
      </w:r>
    </w:p>
    <w:p w14:paraId="5284F30A" w14:textId="77777777" w:rsidR="00316B55" w:rsidRPr="00A1696A" w:rsidRDefault="00316B55" w:rsidP="006B6EBF">
      <w:pPr>
        <w:spacing w:after="0" w:line="240" w:lineRule="auto"/>
        <w:ind w:firstLine="709"/>
        <w:jc w:val="both"/>
        <w:rPr>
          <w:rFonts w:ascii="Times New Roman" w:hAnsi="Times New Roman" w:cs="Times New Roman"/>
          <w:sz w:val="24"/>
          <w:szCs w:val="24"/>
          <w:u w:val="single"/>
        </w:rPr>
      </w:pPr>
      <w:r w:rsidRPr="00A1696A">
        <w:rPr>
          <w:rFonts w:ascii="Times New Roman" w:hAnsi="Times New Roman" w:cs="Times New Roman"/>
          <w:sz w:val="24"/>
          <w:szCs w:val="24"/>
          <w:u w:val="single"/>
        </w:rPr>
        <w:t>Олигоценска серия</w:t>
      </w:r>
    </w:p>
    <w:p w14:paraId="516CA7BD" w14:textId="77777777" w:rsidR="00316B55" w:rsidRPr="00A1696A" w:rsidRDefault="00316B55"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В отделните части на изучавания район тази серия е представена от различни видове скални разновидности.</w:t>
      </w:r>
    </w:p>
    <w:p w14:paraId="3EC2BAF3" w14:textId="65903D04"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Глинесто-мергелна задруга </w:t>
      </w:r>
      <w:r w:rsidR="00370A23"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Скалите от задругата се разкриват източно от Любимец в районите на селата Георги Добрево, Момково, Пъстрогор и южно от с. Лев</w:t>
      </w:r>
      <w:r w:rsidRPr="00A1696A">
        <w:rPr>
          <w:rFonts w:ascii="Times New Roman" w:hAnsi="Times New Roman" w:cs="Times New Roman"/>
          <w:sz w:val="24"/>
          <w:szCs w:val="24"/>
        </w:rPr>
        <w:softHyphen/>
        <w:t>ка</w:t>
      </w:r>
      <w:r w:rsidR="00370A23" w:rsidRPr="00A1696A">
        <w:rPr>
          <w:rFonts w:ascii="Times New Roman" w:hAnsi="Times New Roman" w:cs="Times New Roman"/>
          <w:sz w:val="24"/>
          <w:szCs w:val="24"/>
        </w:rPr>
        <w:t xml:space="preserve"> (Кожухаров и др., 1995ф)</w:t>
      </w:r>
      <w:r w:rsidR="00E94842">
        <w:rPr>
          <w:rFonts w:ascii="Times New Roman" w:hAnsi="Times New Roman" w:cs="Times New Roman"/>
          <w:sz w:val="24"/>
          <w:szCs w:val="24"/>
        </w:rPr>
        <w:t xml:space="preserve">, както и в сондаж Р-1 Свиленград </w:t>
      </w:r>
      <w:r w:rsidR="00E94842" w:rsidRPr="00A1696A">
        <w:rPr>
          <w:rFonts w:ascii="Times New Roman" w:hAnsi="Times New Roman" w:cs="Times New Roman"/>
          <w:sz w:val="24"/>
          <w:szCs w:val="24"/>
        </w:rPr>
        <w:t>(Янков, 1975ф)</w:t>
      </w:r>
      <w:r w:rsidRPr="00A1696A">
        <w:rPr>
          <w:rFonts w:ascii="Times New Roman" w:hAnsi="Times New Roman" w:cs="Times New Roman"/>
          <w:sz w:val="24"/>
          <w:szCs w:val="24"/>
        </w:rPr>
        <w:t xml:space="preserve">. Главните скални разновидности, които изграждат задругата, са мергелите, глините, глинестите алевролити и пясъчниците в незакономерна алтернация. Често в глинестите разновидности се срещат люспи и кости от риби. Долната граница е неясна, не само в този сондаж, но и на територията на Турция, като за критерий се приема рязкото намаляване на карбонатното съдържание, появата на изобилни количества слюда, както и промяната в литологията, най-вече присъствието на тъмни глини. Горната граница в сондажа, според публикуваните данни, е неясна, но определено трябва да бъде трансгресивна със скалите на Ахматовска свита, поради липсата на данни за миоценски седименти. Възрастта на задругата е определена като олигоценска, но е възможно в долните си нива да захваща и приабон. </w:t>
      </w:r>
      <w:r w:rsidR="00CB60F0" w:rsidRPr="00A1696A">
        <w:rPr>
          <w:rFonts w:ascii="Times New Roman" w:hAnsi="Times New Roman" w:cs="Times New Roman"/>
          <w:sz w:val="24"/>
          <w:szCs w:val="24"/>
        </w:rPr>
        <w:t>В</w:t>
      </w:r>
      <w:r w:rsidRPr="00A1696A">
        <w:rPr>
          <w:rFonts w:ascii="Times New Roman" w:hAnsi="Times New Roman" w:cs="Times New Roman"/>
          <w:sz w:val="24"/>
          <w:szCs w:val="24"/>
        </w:rPr>
        <w:t xml:space="preserve"> сондаж Р-1 Свиленград тази единица се характеризира с алтернация на глини, варовити глини, алевролити и пясъчници, условно може да се подели на две части и се разполага в интервал 97-682 m, като достига дебелина над 450 m: </w:t>
      </w:r>
      <w:r w:rsidRPr="00A1696A">
        <w:rPr>
          <w:rFonts w:ascii="Times New Roman" w:hAnsi="Times New Roman" w:cs="Times New Roman"/>
          <w:b/>
          <w:i/>
          <w:sz w:val="24"/>
          <w:szCs w:val="24"/>
        </w:rPr>
        <w:t>Долна теригенно-карбонатна серия</w:t>
      </w:r>
      <w:r w:rsidRPr="00A1696A">
        <w:rPr>
          <w:rFonts w:ascii="Times New Roman" w:hAnsi="Times New Roman" w:cs="Times New Roman"/>
          <w:sz w:val="24"/>
          <w:szCs w:val="24"/>
        </w:rPr>
        <w:t xml:space="preserve"> –</w:t>
      </w:r>
      <w:r w:rsidR="00CB60F0" w:rsidRPr="00A1696A">
        <w:rPr>
          <w:rFonts w:ascii="Times New Roman" w:hAnsi="Times New Roman" w:cs="Times New Roman"/>
          <w:sz w:val="24"/>
          <w:szCs w:val="24"/>
        </w:rPr>
        <w:t xml:space="preserve"> </w:t>
      </w:r>
      <w:r w:rsidRPr="00A1696A">
        <w:rPr>
          <w:rFonts w:ascii="Times New Roman" w:hAnsi="Times New Roman" w:cs="Times New Roman"/>
          <w:sz w:val="24"/>
          <w:szCs w:val="24"/>
        </w:rPr>
        <w:t>Представена е от тънкослоисто редуване на мергели, глинести варовици, пясъчници, глини, алевролити и конгломерати;</w:t>
      </w:r>
      <w:r w:rsidR="00561258" w:rsidRPr="00A1696A">
        <w:rPr>
          <w:rFonts w:ascii="Times New Roman" w:hAnsi="Times New Roman" w:cs="Times New Roman"/>
          <w:sz w:val="24"/>
          <w:szCs w:val="24"/>
        </w:rPr>
        <w:t xml:space="preserve"> </w:t>
      </w:r>
      <w:r w:rsidRPr="00A1696A">
        <w:rPr>
          <w:rFonts w:ascii="Times New Roman" w:hAnsi="Times New Roman" w:cs="Times New Roman"/>
          <w:b/>
          <w:i/>
          <w:sz w:val="24"/>
          <w:szCs w:val="24"/>
        </w:rPr>
        <w:t xml:space="preserve">Горна теригенна серия </w:t>
      </w:r>
      <w:r w:rsidRPr="00A1696A">
        <w:rPr>
          <w:rFonts w:ascii="Times New Roman" w:hAnsi="Times New Roman" w:cs="Times New Roman"/>
          <w:sz w:val="24"/>
          <w:szCs w:val="24"/>
        </w:rPr>
        <w:t xml:space="preserve">– Представена е от редуване на пясъчници, глини, алевролити и глинести мергели. </w:t>
      </w:r>
    </w:p>
    <w:p w14:paraId="4F8AD31E" w14:textId="37E192B2"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u w:val="single"/>
        </w:rPr>
      </w:pPr>
      <w:r w:rsidRPr="00A1696A">
        <w:rPr>
          <w:rFonts w:ascii="Times New Roman" w:hAnsi="Times New Roman" w:cs="Times New Roman"/>
          <w:b/>
          <w:i/>
          <w:sz w:val="24"/>
          <w:szCs w:val="24"/>
        </w:rPr>
        <w:t xml:space="preserve">Туфозно-теригенно-варовикова </w:t>
      </w:r>
      <w:r w:rsidRPr="00E94842">
        <w:rPr>
          <w:rFonts w:ascii="Times New Roman" w:hAnsi="Times New Roman" w:cs="Times New Roman"/>
          <w:b/>
          <w:i/>
          <w:sz w:val="24"/>
          <w:szCs w:val="24"/>
        </w:rPr>
        <w:t>задруга (непубл. данни)</w:t>
      </w:r>
      <w:r w:rsidR="00A11C1A">
        <w:rPr>
          <w:rFonts w:ascii="Times New Roman" w:hAnsi="Times New Roman" w:cs="Times New Roman"/>
          <w:b/>
          <w:i/>
          <w:sz w:val="24"/>
          <w:szCs w:val="24"/>
        </w:rPr>
        <w:t>/</w:t>
      </w:r>
      <w:r w:rsidRPr="00A1696A">
        <w:rPr>
          <w:rFonts w:ascii="Times New Roman" w:hAnsi="Times New Roman" w:cs="Times New Roman"/>
          <w:b/>
          <w:i/>
          <w:sz w:val="24"/>
          <w:szCs w:val="24"/>
        </w:rPr>
        <w:t xml:space="preserve">задруга на първия кисел вулканизъм </w:t>
      </w:r>
      <w:r w:rsidRPr="00A1696A">
        <w:rPr>
          <w:rFonts w:ascii="Times New Roman" w:hAnsi="Times New Roman" w:cs="Times New Roman"/>
          <w:sz w:val="24"/>
          <w:szCs w:val="24"/>
        </w:rPr>
        <w:t>(Боянов, 1992ф)</w:t>
      </w:r>
      <w:r w:rsidRPr="00A1696A">
        <w:rPr>
          <w:rFonts w:ascii="Times New Roman" w:hAnsi="Times New Roman" w:cs="Times New Roman"/>
          <w:b/>
          <w:i/>
          <w:sz w:val="24"/>
          <w:szCs w:val="24"/>
        </w:rPr>
        <w:t xml:space="preserve"> </w:t>
      </w:r>
      <w:r w:rsidRPr="00A1696A">
        <w:rPr>
          <w:rFonts w:ascii="Times New Roman" w:hAnsi="Times New Roman" w:cs="Times New Roman"/>
          <w:b/>
          <w:bCs/>
          <w:i/>
          <w:sz w:val="24"/>
          <w:szCs w:val="24"/>
        </w:rPr>
        <w:t xml:space="preserve">- </w:t>
      </w:r>
      <w:r w:rsidRPr="00A1696A">
        <w:rPr>
          <w:rFonts w:ascii="Times New Roman" w:hAnsi="Times New Roman" w:cs="Times New Roman"/>
          <w:sz w:val="24"/>
          <w:szCs w:val="24"/>
        </w:rPr>
        <w:t xml:space="preserve">Отделя се въз основа на незакономерното редуване на пачки от песъчливи, глинести, вулканокластични и карбонатни турбидити, мергели, микритни и рифогенни варовици, в сложни латерални и вертикални взаимоотношения. </w:t>
      </w:r>
      <w:r w:rsidRPr="00A1696A">
        <w:rPr>
          <w:rFonts w:ascii="Times New Roman" w:hAnsi="Times New Roman" w:cs="Times New Roman"/>
          <w:sz w:val="24"/>
          <w:szCs w:val="24"/>
        </w:rPr>
        <w:lastRenderedPageBreak/>
        <w:t xml:space="preserve">Задругата се разкрива по южните склонове на Имбреджекската хорст-антиклинала, източно от с. Селска поляна до южно от м. Глухите камъни. </w:t>
      </w:r>
    </w:p>
    <w:p w14:paraId="654C44CD" w14:textId="77777777" w:rsidR="00316B55" w:rsidRPr="00A1696A" w:rsidRDefault="00316B55" w:rsidP="006B6EBF">
      <w:pPr>
        <w:spacing w:after="0" w:line="240" w:lineRule="auto"/>
        <w:ind w:left="567"/>
        <w:jc w:val="both"/>
        <w:rPr>
          <w:rFonts w:ascii="Times New Roman" w:hAnsi="Times New Roman" w:cs="Times New Roman"/>
          <w:sz w:val="24"/>
          <w:szCs w:val="24"/>
          <w:u w:val="single"/>
        </w:rPr>
      </w:pPr>
      <w:r w:rsidRPr="00A1696A">
        <w:rPr>
          <w:rFonts w:ascii="Times New Roman" w:hAnsi="Times New Roman" w:cs="Times New Roman"/>
          <w:sz w:val="24"/>
          <w:szCs w:val="24"/>
          <w:u w:val="single"/>
        </w:rPr>
        <w:t>Неогенска система</w:t>
      </w:r>
    </w:p>
    <w:p w14:paraId="39F85213" w14:textId="7A565A61"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Вълчеполска свита </w:t>
      </w:r>
      <w:r w:rsidRPr="00A1696A">
        <w:rPr>
          <w:rFonts w:ascii="Times New Roman" w:hAnsi="Times New Roman" w:cs="Times New Roman"/>
          <w:sz w:val="24"/>
          <w:szCs w:val="24"/>
        </w:rPr>
        <w:t>(Боянов, 1980ф)</w:t>
      </w:r>
      <w:r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 xml:space="preserve">– в генетично отношение тя се възприема за типична моласа и дори по тази причина е била наричана Вълчеполска моласа (Карагюлева, 1965ф). Свитата е изградена от ритмично редуващи се конгломерати, пясъчници, алевролити и глини, по-рядко мергели и туфи, изграждащи дебелопластовите ритми на последователност от песъчливи високоплътностни турбидити. Възрастта </w:t>
      </w:r>
      <w:bookmarkStart w:id="40" w:name="_Hlk7785506"/>
      <w:r w:rsidRPr="00A1696A">
        <w:rPr>
          <w:rFonts w:ascii="Times New Roman" w:hAnsi="Times New Roman" w:cs="Times New Roman"/>
          <w:sz w:val="24"/>
          <w:szCs w:val="24"/>
        </w:rPr>
        <w:t>ѝ</w:t>
      </w:r>
      <w:bookmarkEnd w:id="40"/>
      <w:r w:rsidRPr="00A1696A">
        <w:rPr>
          <w:rFonts w:ascii="Times New Roman" w:hAnsi="Times New Roman" w:cs="Times New Roman"/>
          <w:sz w:val="24"/>
          <w:szCs w:val="24"/>
        </w:rPr>
        <w:t xml:space="preserve"> се определя на късноолигоценска-миоценска, а дебелината </w:t>
      </w:r>
      <w:r w:rsidR="00A11C1A" w:rsidRPr="00A1696A">
        <w:rPr>
          <w:rFonts w:ascii="Times New Roman" w:hAnsi="Times New Roman" w:cs="Times New Roman"/>
          <w:sz w:val="24"/>
          <w:szCs w:val="24"/>
        </w:rPr>
        <w:t xml:space="preserve">ѝ </w:t>
      </w:r>
      <w:r w:rsidRPr="00A1696A">
        <w:rPr>
          <w:rFonts w:ascii="Times New Roman" w:hAnsi="Times New Roman" w:cs="Times New Roman"/>
          <w:sz w:val="24"/>
          <w:szCs w:val="24"/>
        </w:rPr>
        <w:t>варира между 150-350 m.</w:t>
      </w:r>
    </w:p>
    <w:p w14:paraId="0671886F" w14:textId="51F9900D" w:rsidR="00316B55" w:rsidRPr="00A1696A" w:rsidRDefault="00316B55" w:rsidP="001D3ADD">
      <w:pPr>
        <w:numPr>
          <w:ilvl w:val="0"/>
          <w:numId w:val="4"/>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 Ахматовска свита </w:t>
      </w:r>
      <w:r w:rsidRPr="00A1696A">
        <w:rPr>
          <w:rFonts w:ascii="Times New Roman" w:hAnsi="Times New Roman" w:cs="Times New Roman"/>
          <w:sz w:val="24"/>
          <w:szCs w:val="24"/>
        </w:rPr>
        <w:t xml:space="preserve">(Коюмджиева и Драгоманов, 1979) – разпространена е изцяло в северната част на </w:t>
      </w:r>
      <w:r w:rsidR="00CB60F0" w:rsidRPr="00A1696A">
        <w:rPr>
          <w:rFonts w:ascii="Times New Roman" w:hAnsi="Times New Roman" w:cs="Times New Roman"/>
          <w:sz w:val="24"/>
          <w:szCs w:val="24"/>
        </w:rPr>
        <w:t>изучавания район</w:t>
      </w:r>
      <w:r w:rsidRPr="00A1696A">
        <w:rPr>
          <w:rFonts w:ascii="Times New Roman" w:hAnsi="Times New Roman" w:cs="Times New Roman"/>
          <w:sz w:val="24"/>
          <w:szCs w:val="24"/>
        </w:rPr>
        <w:t xml:space="preserve">. Заляга трансгресивно и дискордантно върху скали с различна възраст, а се покрива от съвременната алувиална система на р. Марица. </w:t>
      </w:r>
      <w:r w:rsidR="00561258" w:rsidRPr="00A1696A">
        <w:rPr>
          <w:rFonts w:ascii="Times New Roman" w:hAnsi="Times New Roman" w:cs="Times New Roman"/>
          <w:sz w:val="24"/>
          <w:szCs w:val="24"/>
        </w:rPr>
        <w:t>В о</w:t>
      </w:r>
      <w:r w:rsidRPr="00A1696A">
        <w:rPr>
          <w:rFonts w:ascii="Times New Roman" w:hAnsi="Times New Roman" w:cs="Times New Roman"/>
          <w:sz w:val="24"/>
          <w:szCs w:val="24"/>
        </w:rPr>
        <w:t>сновата е изградена от масивни до неяснослоисти, гравийни до дребночакълни пясъчници, до дребнокъсови конгломерати, с намаляване на теригенната компонента нагоре в разреза</w:t>
      </w:r>
      <w:r w:rsidR="00CB60F0" w:rsidRPr="00A1696A">
        <w:rPr>
          <w:rFonts w:ascii="Times New Roman" w:hAnsi="Times New Roman" w:cs="Times New Roman"/>
          <w:sz w:val="24"/>
          <w:szCs w:val="24"/>
        </w:rPr>
        <w:t xml:space="preserve">. </w:t>
      </w:r>
      <w:r w:rsidRPr="00A1696A">
        <w:rPr>
          <w:rFonts w:ascii="Times New Roman" w:hAnsi="Times New Roman" w:cs="Times New Roman"/>
          <w:sz w:val="24"/>
          <w:szCs w:val="24"/>
        </w:rPr>
        <w:t xml:space="preserve">Възрастта на свитата се възприема като плиоцен-плейстоценска, а дебелината ѝ варира от 30-40 до 230 m. </w:t>
      </w:r>
    </w:p>
    <w:p w14:paraId="28B24B00" w14:textId="77777777" w:rsidR="00316B55" w:rsidRPr="00A1696A" w:rsidRDefault="00316B55" w:rsidP="006B6EBF">
      <w:pPr>
        <w:spacing w:after="0" w:line="240" w:lineRule="auto"/>
        <w:ind w:firstLine="709"/>
        <w:jc w:val="both"/>
        <w:rPr>
          <w:rFonts w:ascii="Times New Roman" w:hAnsi="Times New Roman" w:cs="Times New Roman"/>
          <w:sz w:val="24"/>
          <w:szCs w:val="24"/>
          <w:u w:val="single"/>
        </w:rPr>
      </w:pPr>
      <w:r w:rsidRPr="00A1696A">
        <w:rPr>
          <w:rFonts w:ascii="Times New Roman" w:hAnsi="Times New Roman" w:cs="Times New Roman"/>
          <w:sz w:val="24"/>
          <w:szCs w:val="24"/>
          <w:u w:val="single"/>
        </w:rPr>
        <w:t>Кватернер</w:t>
      </w:r>
    </w:p>
    <w:p w14:paraId="5AF3FAF1" w14:textId="77777777" w:rsidR="00316B55" w:rsidRPr="00A1696A" w:rsidRDefault="00316B55" w:rsidP="006B6EBF">
      <w:pPr>
        <w:spacing w:after="0" w:line="240" w:lineRule="auto"/>
        <w:ind w:firstLine="709"/>
        <w:jc w:val="both"/>
        <w:rPr>
          <w:rFonts w:ascii="Times New Roman" w:hAnsi="Times New Roman" w:cs="Times New Roman"/>
          <w:sz w:val="24"/>
          <w:szCs w:val="24"/>
        </w:rPr>
      </w:pPr>
      <w:r w:rsidRPr="007679A9">
        <w:rPr>
          <w:rFonts w:ascii="Times New Roman" w:eastAsia="Times New Roman" w:hAnsi="Times New Roman" w:cs="Times New Roman"/>
          <w:sz w:val="24"/>
          <w:szCs w:val="24"/>
          <w:lang w:eastAsia="bg-BG"/>
        </w:rPr>
        <w:t>Представен е от елувиални, пролувиални и алувиално-делувиални наслаги, широко разпространен по поречието на р. Марица и нейните притоци</w:t>
      </w:r>
      <w:r w:rsidRPr="00A1696A">
        <w:rPr>
          <w:rFonts w:ascii="Times New Roman" w:hAnsi="Times New Roman" w:cs="Times New Roman"/>
          <w:sz w:val="24"/>
          <w:szCs w:val="24"/>
        </w:rPr>
        <w:t>.</w:t>
      </w:r>
    </w:p>
    <w:p w14:paraId="71495945" w14:textId="10CC5D10" w:rsidR="00D65902" w:rsidRPr="00A11C1A" w:rsidRDefault="00DE7397" w:rsidP="001D3ADD">
      <w:pPr>
        <w:pStyle w:val="Style1"/>
        <w:numPr>
          <w:ilvl w:val="1"/>
          <w:numId w:val="13"/>
        </w:numPr>
        <w:jc w:val="both"/>
        <w:rPr>
          <w:lang w:val="bg-BG"/>
        </w:rPr>
      </w:pPr>
      <w:bookmarkStart w:id="41" w:name="_Toc7820633"/>
      <w:bookmarkStart w:id="42" w:name="_Toc382838782"/>
      <w:bookmarkStart w:id="43" w:name="_Hlk7786670"/>
      <w:bookmarkEnd w:id="39"/>
      <w:r w:rsidRPr="00A11C1A">
        <w:rPr>
          <w:lang w:val="bg-BG"/>
        </w:rPr>
        <w:t>Хидрогеоложка характеристика</w:t>
      </w:r>
      <w:bookmarkEnd w:id="41"/>
    </w:p>
    <w:p w14:paraId="53A5A554" w14:textId="590D60D9" w:rsidR="005E6BE9" w:rsidRPr="00D65902" w:rsidRDefault="004D44A0" w:rsidP="00D65902">
      <w:pPr>
        <w:spacing w:after="0" w:line="240" w:lineRule="auto"/>
        <w:ind w:firstLine="709"/>
        <w:jc w:val="both"/>
        <w:rPr>
          <w:rFonts w:ascii="Times New Roman" w:eastAsia="Times New Roman" w:hAnsi="Times New Roman" w:cs="Times New Roman"/>
          <w:sz w:val="24"/>
          <w:szCs w:val="24"/>
          <w:lang w:eastAsia="bg-BG"/>
        </w:rPr>
      </w:pPr>
      <w:r w:rsidRPr="00D65902">
        <w:rPr>
          <w:rFonts w:ascii="Times New Roman" w:eastAsia="Times New Roman" w:hAnsi="Times New Roman" w:cs="Times New Roman"/>
          <w:sz w:val="24"/>
          <w:szCs w:val="24"/>
          <w:lang w:eastAsia="bg-BG"/>
        </w:rPr>
        <w:t>Въз основа</w:t>
      </w:r>
      <w:r w:rsidR="005E6BE9" w:rsidRPr="00D65902">
        <w:rPr>
          <w:rFonts w:ascii="Times New Roman" w:eastAsia="Times New Roman" w:hAnsi="Times New Roman" w:cs="Times New Roman"/>
          <w:sz w:val="24"/>
          <w:szCs w:val="24"/>
          <w:lang w:eastAsia="bg-BG"/>
        </w:rPr>
        <w:t xml:space="preserve"> на </w:t>
      </w:r>
      <w:r w:rsidRPr="00D65902">
        <w:rPr>
          <w:rFonts w:ascii="Times New Roman" w:eastAsia="Times New Roman" w:hAnsi="Times New Roman" w:cs="Times New Roman"/>
          <w:sz w:val="24"/>
          <w:szCs w:val="24"/>
          <w:lang w:eastAsia="bg-BG"/>
        </w:rPr>
        <w:t xml:space="preserve">резултатите от </w:t>
      </w:r>
      <w:r w:rsidR="005E6BE9" w:rsidRPr="00D65902">
        <w:rPr>
          <w:rFonts w:ascii="Times New Roman" w:eastAsia="Times New Roman" w:hAnsi="Times New Roman" w:cs="Times New Roman"/>
          <w:sz w:val="24"/>
          <w:szCs w:val="24"/>
          <w:lang w:eastAsia="bg-BG"/>
        </w:rPr>
        <w:t>дълбок</w:t>
      </w:r>
      <w:r w:rsidR="00561258" w:rsidRPr="00D65902">
        <w:rPr>
          <w:rFonts w:ascii="Times New Roman" w:eastAsia="Times New Roman" w:hAnsi="Times New Roman" w:cs="Times New Roman"/>
          <w:sz w:val="24"/>
          <w:szCs w:val="24"/>
          <w:lang w:eastAsia="bg-BG"/>
        </w:rPr>
        <w:t>ия</w:t>
      </w:r>
      <w:r w:rsidR="005E6BE9" w:rsidRPr="00D65902">
        <w:rPr>
          <w:rFonts w:ascii="Times New Roman" w:eastAsia="Times New Roman" w:hAnsi="Times New Roman" w:cs="Times New Roman"/>
          <w:sz w:val="24"/>
          <w:szCs w:val="24"/>
          <w:lang w:eastAsia="bg-BG"/>
        </w:rPr>
        <w:t xml:space="preserve"> сондаж Р-1 Свиленград и </w:t>
      </w:r>
      <w:r w:rsidRPr="00D65902">
        <w:rPr>
          <w:rFonts w:ascii="Times New Roman" w:eastAsia="Times New Roman" w:hAnsi="Times New Roman" w:cs="Times New Roman"/>
          <w:sz w:val="24"/>
          <w:szCs w:val="24"/>
          <w:lang w:eastAsia="bg-BG"/>
        </w:rPr>
        <w:t>проведените</w:t>
      </w:r>
      <w:r w:rsidR="005E6BE9" w:rsidRPr="00D65902">
        <w:rPr>
          <w:rFonts w:ascii="Times New Roman" w:eastAsia="Times New Roman" w:hAnsi="Times New Roman" w:cs="Times New Roman"/>
          <w:sz w:val="24"/>
          <w:szCs w:val="24"/>
          <w:lang w:eastAsia="bg-BG"/>
        </w:rPr>
        <w:t xml:space="preserve"> в него изпитания се установява наличието на четири водоносни комплекси и хоризонти</w:t>
      </w:r>
      <w:r w:rsidRPr="00D65902">
        <w:rPr>
          <w:rFonts w:ascii="Times New Roman" w:eastAsia="Times New Roman" w:hAnsi="Times New Roman" w:cs="Times New Roman"/>
          <w:sz w:val="24"/>
          <w:szCs w:val="24"/>
          <w:lang w:eastAsia="bg-BG"/>
        </w:rPr>
        <w:t xml:space="preserve"> за изследвания район</w:t>
      </w:r>
      <w:r w:rsidR="005E6BE9" w:rsidRPr="00D65902">
        <w:rPr>
          <w:rFonts w:ascii="Times New Roman" w:eastAsia="Times New Roman" w:hAnsi="Times New Roman" w:cs="Times New Roman"/>
          <w:sz w:val="24"/>
          <w:szCs w:val="24"/>
          <w:lang w:eastAsia="bg-BG"/>
        </w:rPr>
        <w:t>:</w:t>
      </w:r>
    </w:p>
    <w:p w14:paraId="14C46747" w14:textId="41C06263" w:rsidR="005E6BE9" w:rsidRPr="00A1696A" w:rsidRDefault="005E6BE9" w:rsidP="001D3ADD">
      <w:pPr>
        <w:numPr>
          <w:ilvl w:val="0"/>
          <w:numId w:val="11"/>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 xml:space="preserve">Титонски водоносен </w:t>
      </w:r>
      <w:r w:rsidR="00A11C1A">
        <w:rPr>
          <w:rFonts w:ascii="Times New Roman" w:hAnsi="Times New Roman" w:cs="Times New Roman"/>
          <w:b/>
          <w:i/>
          <w:sz w:val="24"/>
          <w:szCs w:val="24"/>
        </w:rPr>
        <w:t>комплекс</w:t>
      </w:r>
      <w:r w:rsidRPr="00A1696A">
        <w:rPr>
          <w:rFonts w:ascii="Times New Roman" w:hAnsi="Times New Roman" w:cs="Times New Roman"/>
          <w:sz w:val="24"/>
          <w:szCs w:val="24"/>
        </w:rPr>
        <w:t xml:space="preserve"> - Способността за водоотдаване от него се обуславя от наличните пукнатини и повърхнини на нашистяване, по тип акумулираните води са пукнатинни. При изпитание на хоризонт 1174-1400 m (при открит ствол) е получен приток с дебит 4,2</w:t>
      </w:r>
      <w:r w:rsidR="003E0129" w:rsidRPr="00A1696A">
        <w:rPr>
          <w:rFonts w:ascii="Times New Roman" w:hAnsi="Times New Roman" w:cs="Times New Roman"/>
          <w:sz w:val="24"/>
          <w:szCs w:val="24"/>
        </w:rPr>
        <w:t xml:space="preserve"> </w:t>
      </w:r>
      <w:r w:rsidRPr="00A1696A">
        <w:rPr>
          <w:rFonts w:ascii="Times New Roman" w:hAnsi="Times New Roman" w:cs="Times New Roman"/>
          <w:sz w:val="24"/>
          <w:szCs w:val="24"/>
        </w:rPr>
        <w:t>m³/</w:t>
      </w:r>
      <w:r w:rsidR="00AE0FE0">
        <w:rPr>
          <w:rFonts w:ascii="Times New Roman" w:hAnsi="Times New Roman" w:cs="Times New Roman"/>
          <w:sz w:val="24"/>
          <w:szCs w:val="24"/>
          <w:lang w:val="en-US"/>
        </w:rPr>
        <w:t>24h</w:t>
      </w:r>
      <w:r w:rsidRPr="00A1696A">
        <w:rPr>
          <w:rFonts w:ascii="Times New Roman" w:hAnsi="Times New Roman" w:cs="Times New Roman"/>
          <w:sz w:val="24"/>
          <w:szCs w:val="24"/>
        </w:rPr>
        <w:t xml:space="preserve"> и е определена водопроницаемост на скалите КМ = 0,0045 m²/</w:t>
      </w:r>
      <w:r w:rsidR="00A11C1A">
        <w:rPr>
          <w:rFonts w:ascii="Times New Roman" w:hAnsi="Times New Roman" w:cs="Times New Roman"/>
          <w:sz w:val="24"/>
          <w:szCs w:val="24"/>
        </w:rPr>
        <w:t>24</w:t>
      </w:r>
      <w:r w:rsidR="00A11C1A">
        <w:rPr>
          <w:rFonts w:ascii="Times New Roman" w:hAnsi="Times New Roman" w:cs="Times New Roman"/>
          <w:sz w:val="24"/>
          <w:szCs w:val="24"/>
          <w:lang w:val="en-US"/>
        </w:rPr>
        <w:t>h</w:t>
      </w:r>
      <w:r w:rsidRPr="00A1696A">
        <w:rPr>
          <w:rFonts w:ascii="Times New Roman" w:hAnsi="Times New Roman" w:cs="Times New Roman"/>
          <w:sz w:val="24"/>
          <w:szCs w:val="24"/>
        </w:rPr>
        <w:t>. Пластовата вода е силно мътна (замърсена от глинестия разтвор) без мирис, слабо солена с относително тегло 1,0023, pH 8,79, обща твърдост 52,13 Нº и обща минерализация 5282,54 mg/l, слабо газирана – 40 cm³/l вода</w:t>
      </w:r>
      <w:r w:rsidR="00492E8E" w:rsidRPr="00A1696A">
        <w:rPr>
          <w:rFonts w:ascii="Times New Roman" w:hAnsi="Times New Roman" w:cs="Times New Roman"/>
          <w:sz w:val="24"/>
          <w:szCs w:val="24"/>
        </w:rPr>
        <w:t xml:space="preserve">, </w:t>
      </w:r>
      <w:r w:rsidRPr="00A1696A">
        <w:rPr>
          <w:rFonts w:ascii="Times New Roman" w:hAnsi="Times New Roman" w:cs="Times New Roman"/>
          <w:sz w:val="24"/>
          <w:szCs w:val="24"/>
        </w:rPr>
        <w:t>хидрокарбонатно-натриев тип;</w:t>
      </w:r>
    </w:p>
    <w:p w14:paraId="4DBAC783" w14:textId="1C233637" w:rsidR="005E6BE9" w:rsidRPr="00A1696A" w:rsidRDefault="005E6BE9" w:rsidP="001D3ADD">
      <w:pPr>
        <w:numPr>
          <w:ilvl w:val="0"/>
          <w:numId w:val="11"/>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Горноеоценския водоносен комплекс</w:t>
      </w:r>
      <w:r w:rsidRPr="00A1696A">
        <w:rPr>
          <w:rFonts w:ascii="Times New Roman" w:hAnsi="Times New Roman" w:cs="Times New Roman"/>
          <w:b/>
          <w:sz w:val="24"/>
          <w:szCs w:val="24"/>
        </w:rPr>
        <w:t xml:space="preserve"> - </w:t>
      </w:r>
      <w:r w:rsidRPr="00A1696A">
        <w:rPr>
          <w:rFonts w:ascii="Times New Roman" w:hAnsi="Times New Roman" w:cs="Times New Roman"/>
          <w:sz w:val="24"/>
          <w:szCs w:val="24"/>
        </w:rPr>
        <w:t xml:space="preserve">По своите хидродинамични свойства те са напорни, а по характера на вместващите ги празнини в скалите поров тип води. </w:t>
      </w:r>
      <w:r w:rsidR="00561258" w:rsidRPr="00A1696A">
        <w:rPr>
          <w:rFonts w:ascii="Times New Roman" w:hAnsi="Times New Roman" w:cs="Times New Roman"/>
          <w:sz w:val="24"/>
          <w:szCs w:val="24"/>
        </w:rPr>
        <w:t>Н</w:t>
      </w:r>
      <w:r w:rsidRPr="00A1696A">
        <w:rPr>
          <w:rFonts w:ascii="Times New Roman" w:hAnsi="Times New Roman" w:cs="Times New Roman"/>
          <w:sz w:val="24"/>
          <w:szCs w:val="24"/>
        </w:rPr>
        <w:t xml:space="preserve">аправени </w:t>
      </w:r>
      <w:r w:rsidR="00561258" w:rsidRPr="00A1696A">
        <w:rPr>
          <w:rFonts w:ascii="Times New Roman" w:hAnsi="Times New Roman" w:cs="Times New Roman"/>
          <w:sz w:val="24"/>
          <w:szCs w:val="24"/>
        </w:rPr>
        <w:t xml:space="preserve">са </w:t>
      </w:r>
      <w:r w:rsidRPr="00A1696A">
        <w:rPr>
          <w:rFonts w:ascii="Times New Roman" w:hAnsi="Times New Roman" w:cs="Times New Roman"/>
          <w:sz w:val="24"/>
          <w:szCs w:val="24"/>
        </w:rPr>
        <w:t>изпитания в следните хоризонти: 1030-1120 m.; 910-970 m и 830-845 m, от които са получени следните притоци: 2,7</w:t>
      </w:r>
      <w:r w:rsidR="003E0129" w:rsidRPr="00A1696A">
        <w:rPr>
          <w:rFonts w:ascii="Times New Roman" w:hAnsi="Times New Roman" w:cs="Times New Roman"/>
          <w:sz w:val="24"/>
          <w:szCs w:val="24"/>
        </w:rPr>
        <w:t xml:space="preserve"> </w:t>
      </w:r>
      <w:r w:rsidRPr="00A1696A">
        <w:rPr>
          <w:rFonts w:ascii="Times New Roman" w:hAnsi="Times New Roman" w:cs="Times New Roman"/>
          <w:sz w:val="24"/>
          <w:szCs w:val="24"/>
        </w:rPr>
        <w:t>m³/</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39,6 m³/</w:t>
      </w:r>
      <w:r w:rsidR="00A11C1A">
        <w:rPr>
          <w:rFonts w:ascii="Times New Roman" w:hAnsi="Times New Roman" w:cs="Times New Roman"/>
          <w:sz w:val="24"/>
          <w:szCs w:val="24"/>
        </w:rPr>
        <w:t>24</w:t>
      </w:r>
      <w:r w:rsidR="00A11C1A">
        <w:rPr>
          <w:rFonts w:ascii="Times New Roman" w:hAnsi="Times New Roman" w:cs="Times New Roman"/>
          <w:sz w:val="24"/>
          <w:szCs w:val="24"/>
          <w:lang w:val="en-US"/>
        </w:rPr>
        <w:t>h</w:t>
      </w:r>
      <w:r w:rsidRPr="00A1696A">
        <w:rPr>
          <w:rFonts w:ascii="Times New Roman" w:hAnsi="Times New Roman" w:cs="Times New Roman"/>
          <w:sz w:val="24"/>
          <w:szCs w:val="24"/>
        </w:rPr>
        <w:t xml:space="preserve"> и 220l/h. Определени са съответно и техните филтрационни свойства - КМ 0,0018 m²/</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0,0465 m²/</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xml:space="preserve"> и 0,0183 m²/</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Интервалът 910 – 970 m може да се отнесе към среднодебитните, а останалите към нискодебитните водоносни хоризонти. Пластовите води са мътни, без мирис, пресни с относително тегло от 1,0006 до 1,0023, обща твърдост от 12,76 до 53,58 Нº, pH от 8,84 до 9,07 и обща минерализация от 2600,76 до 4047,57 mg/l</w:t>
      </w:r>
      <w:r w:rsidR="00492E8E" w:rsidRPr="00A1696A">
        <w:rPr>
          <w:rFonts w:ascii="Times New Roman" w:hAnsi="Times New Roman" w:cs="Times New Roman"/>
          <w:sz w:val="24"/>
          <w:szCs w:val="24"/>
        </w:rPr>
        <w:t xml:space="preserve">, </w:t>
      </w:r>
      <w:r w:rsidRPr="00A1696A">
        <w:rPr>
          <w:rFonts w:ascii="Times New Roman" w:hAnsi="Times New Roman" w:cs="Times New Roman"/>
          <w:sz w:val="24"/>
          <w:szCs w:val="24"/>
        </w:rPr>
        <w:t>водите са хидрокарбонатно-натриев тип;</w:t>
      </w:r>
    </w:p>
    <w:p w14:paraId="1184D9B0" w14:textId="2551520C" w:rsidR="005E6BE9" w:rsidRPr="00A1696A" w:rsidRDefault="00C60C4F" w:rsidP="001D3ADD">
      <w:pPr>
        <w:numPr>
          <w:ilvl w:val="0"/>
          <w:numId w:val="11"/>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i/>
          <w:sz w:val="24"/>
          <w:szCs w:val="24"/>
        </w:rPr>
        <w:t>Води в о</w:t>
      </w:r>
      <w:r w:rsidR="005E6BE9" w:rsidRPr="00A1696A">
        <w:rPr>
          <w:rFonts w:ascii="Times New Roman" w:hAnsi="Times New Roman" w:cs="Times New Roman"/>
          <w:b/>
          <w:i/>
          <w:sz w:val="24"/>
          <w:szCs w:val="24"/>
        </w:rPr>
        <w:t xml:space="preserve">лигоценски </w:t>
      </w:r>
      <w:r>
        <w:rPr>
          <w:rFonts w:ascii="Times New Roman" w:hAnsi="Times New Roman" w:cs="Times New Roman"/>
          <w:b/>
          <w:i/>
          <w:sz w:val="24"/>
          <w:szCs w:val="24"/>
        </w:rPr>
        <w:t>скален комплекс</w:t>
      </w:r>
      <w:r w:rsidR="005E6BE9" w:rsidRPr="00A1696A">
        <w:rPr>
          <w:rFonts w:ascii="Times New Roman" w:hAnsi="Times New Roman" w:cs="Times New Roman"/>
          <w:sz w:val="24"/>
          <w:szCs w:val="24"/>
        </w:rPr>
        <w:t xml:space="preserve"> –</w:t>
      </w:r>
      <w:r w:rsidR="00492E8E" w:rsidRPr="00A1696A">
        <w:rPr>
          <w:rFonts w:ascii="Times New Roman" w:hAnsi="Times New Roman" w:cs="Times New Roman"/>
          <w:sz w:val="24"/>
          <w:szCs w:val="24"/>
        </w:rPr>
        <w:t xml:space="preserve"> </w:t>
      </w:r>
      <w:r w:rsidR="005E6BE9" w:rsidRPr="00A1696A">
        <w:rPr>
          <w:rFonts w:ascii="Times New Roman" w:hAnsi="Times New Roman" w:cs="Times New Roman"/>
          <w:sz w:val="24"/>
          <w:szCs w:val="24"/>
        </w:rPr>
        <w:t>По формата и залягането на водосъдържащите пластове те се явяват пластово-лещови, а по хидродинамичните си свойства напорни води. Поради минималната водопропускливост КМ 0,00074 m²/</w:t>
      </w:r>
      <w:r w:rsidR="005D0DA0">
        <w:rPr>
          <w:rFonts w:ascii="Times New Roman" w:hAnsi="Times New Roman" w:cs="Times New Roman"/>
          <w:sz w:val="24"/>
          <w:szCs w:val="24"/>
          <w:lang w:val="en-US"/>
        </w:rPr>
        <w:t>24h</w:t>
      </w:r>
      <w:r w:rsidR="005E6BE9" w:rsidRPr="00A1696A">
        <w:rPr>
          <w:rFonts w:ascii="Times New Roman" w:hAnsi="Times New Roman" w:cs="Times New Roman"/>
          <w:sz w:val="24"/>
          <w:szCs w:val="24"/>
        </w:rPr>
        <w:t xml:space="preserve"> и ниския дебит 120l/h получен от тях, ще бъде неправилно да се разглеждат като обособени водоносни хоризонти. Проведени са изпитания на общо 5 интервала </w:t>
      </w:r>
      <w:r w:rsidR="00492E8E" w:rsidRPr="00A1696A">
        <w:rPr>
          <w:rFonts w:ascii="Times New Roman" w:hAnsi="Times New Roman" w:cs="Times New Roman"/>
          <w:sz w:val="24"/>
          <w:szCs w:val="24"/>
        </w:rPr>
        <w:t>–</w:t>
      </w:r>
      <w:r w:rsidR="005E6BE9" w:rsidRPr="00A1696A">
        <w:rPr>
          <w:rFonts w:ascii="Times New Roman" w:hAnsi="Times New Roman" w:cs="Times New Roman"/>
          <w:sz w:val="24"/>
          <w:szCs w:val="24"/>
        </w:rPr>
        <w:t xml:space="preserve"> </w:t>
      </w:r>
      <w:r w:rsidR="00492E8E" w:rsidRPr="00A1696A">
        <w:rPr>
          <w:rFonts w:ascii="Times New Roman" w:hAnsi="Times New Roman" w:cs="Times New Roman"/>
          <w:sz w:val="24"/>
          <w:szCs w:val="24"/>
        </w:rPr>
        <w:t xml:space="preserve">2 </w:t>
      </w:r>
      <w:r w:rsidR="005E6BE9" w:rsidRPr="00A1696A">
        <w:rPr>
          <w:rFonts w:ascii="Times New Roman" w:hAnsi="Times New Roman" w:cs="Times New Roman"/>
          <w:sz w:val="24"/>
          <w:szCs w:val="24"/>
        </w:rPr>
        <w:t xml:space="preserve">в сондаж Р-1 Свиленград и </w:t>
      </w:r>
      <w:r w:rsidR="00492E8E" w:rsidRPr="00A1696A">
        <w:rPr>
          <w:rFonts w:ascii="Times New Roman" w:hAnsi="Times New Roman" w:cs="Times New Roman"/>
          <w:sz w:val="24"/>
          <w:szCs w:val="24"/>
        </w:rPr>
        <w:t xml:space="preserve">3 </w:t>
      </w:r>
      <w:r w:rsidR="005E6BE9" w:rsidRPr="00A1696A">
        <w:rPr>
          <w:rFonts w:ascii="Times New Roman" w:hAnsi="Times New Roman" w:cs="Times New Roman"/>
          <w:sz w:val="24"/>
          <w:szCs w:val="24"/>
        </w:rPr>
        <w:t>в сондаж С-3 Капитан Андреево.  В сондаж Р-1 Свиленград в интервала 300-328 m е получен приток на газ и минерализационна вода с дебит 2,8 m</w:t>
      </w:r>
      <w:r w:rsidR="005E6BE9" w:rsidRPr="00A1696A">
        <w:rPr>
          <w:rFonts w:ascii="Times New Roman" w:hAnsi="Times New Roman" w:cs="Times New Roman"/>
          <w:sz w:val="24"/>
          <w:szCs w:val="24"/>
          <w:vertAlign w:val="superscript"/>
        </w:rPr>
        <w:t>3</w:t>
      </w:r>
      <w:r w:rsidR="005E6BE9" w:rsidRPr="00A1696A">
        <w:rPr>
          <w:rFonts w:ascii="Times New Roman" w:hAnsi="Times New Roman" w:cs="Times New Roman"/>
          <w:sz w:val="24"/>
          <w:szCs w:val="24"/>
        </w:rPr>
        <w:t xml:space="preserve">/h, типа на водата е хидрокарбонатно-натриева с минерализация </w:t>
      </w:r>
      <w:r w:rsidR="00B15753">
        <w:rPr>
          <w:rFonts w:ascii="Times New Roman" w:hAnsi="Times New Roman" w:cs="Times New Roman"/>
          <w:sz w:val="24"/>
          <w:szCs w:val="24"/>
        </w:rPr>
        <w:t>8204,76</w:t>
      </w:r>
      <w:r w:rsidR="005E6BE9" w:rsidRPr="00A1696A">
        <w:rPr>
          <w:rFonts w:ascii="Times New Roman" w:hAnsi="Times New Roman" w:cs="Times New Roman"/>
          <w:sz w:val="24"/>
          <w:szCs w:val="24"/>
        </w:rPr>
        <w:t xml:space="preserve"> mg/l. Пластовата вода е слабо мътна, слабо солена, без мирис с относително тегло 1,0039, pH-8,24, обща твърдост 7,71Нº;</w:t>
      </w:r>
    </w:p>
    <w:p w14:paraId="309FFA66" w14:textId="77777777" w:rsidR="005E6BE9" w:rsidRPr="00A1696A" w:rsidRDefault="005E6BE9" w:rsidP="001D3ADD">
      <w:pPr>
        <w:numPr>
          <w:ilvl w:val="0"/>
          <w:numId w:val="11"/>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b/>
          <w:i/>
          <w:sz w:val="24"/>
          <w:szCs w:val="24"/>
        </w:rPr>
        <w:t>Миоцен-плиоценски водоносен хоризонт</w:t>
      </w:r>
      <w:r w:rsidRPr="00A1696A">
        <w:rPr>
          <w:rFonts w:ascii="Times New Roman" w:hAnsi="Times New Roman" w:cs="Times New Roman"/>
          <w:sz w:val="24"/>
          <w:szCs w:val="24"/>
        </w:rPr>
        <w:t xml:space="preserve"> – акумулиран е в речно-алувиалните наслаги - пясъци, чакъли. По своите хидродинамични свойства е грунтов хоризонт средно до </w:t>
      </w:r>
      <w:r w:rsidRPr="00A1696A">
        <w:rPr>
          <w:rFonts w:ascii="Times New Roman" w:hAnsi="Times New Roman" w:cs="Times New Roman"/>
          <w:sz w:val="24"/>
          <w:szCs w:val="24"/>
        </w:rPr>
        <w:lastRenderedPageBreak/>
        <w:t>високо дебитен. Подхранва се от инфилтрирането на валежните води, а непосредствено в долината на р. Марица от водите на последната. Този водоносен хоризонт е с пластова вода, аналогична на тази от олигоценския хоризонт. При изпитание на интервал 45-85 m в сондаж С-3 Kапитан Андреево е получен приток на газ и минерализационна вода с дебит 8,6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/h, типа на водата е хидрокарбонатно-натриева, а общата минерализация – 7032 mg/l.</w:t>
      </w:r>
    </w:p>
    <w:p w14:paraId="006C8284" w14:textId="23A6E8B1" w:rsidR="00D65902" w:rsidRPr="00C60C4F" w:rsidRDefault="00F530C4" w:rsidP="001D3ADD">
      <w:pPr>
        <w:pStyle w:val="Style1"/>
        <w:numPr>
          <w:ilvl w:val="1"/>
          <w:numId w:val="13"/>
        </w:numPr>
        <w:jc w:val="both"/>
        <w:rPr>
          <w:lang w:val="bg-BG"/>
        </w:rPr>
      </w:pPr>
      <w:bookmarkStart w:id="44" w:name="_Toc7820634"/>
      <w:bookmarkEnd w:id="42"/>
      <w:r w:rsidRPr="00C60C4F">
        <w:rPr>
          <w:lang w:val="bg-BG"/>
        </w:rPr>
        <w:t>Нефтогазоносност</w:t>
      </w:r>
      <w:bookmarkEnd w:id="44"/>
    </w:p>
    <w:p w14:paraId="66696AA8" w14:textId="12A93540" w:rsidR="009412EC" w:rsidRPr="00D65902" w:rsidRDefault="009412EC" w:rsidP="00D65902">
      <w:pPr>
        <w:spacing w:after="0" w:line="240" w:lineRule="auto"/>
        <w:ind w:firstLine="709"/>
        <w:jc w:val="both"/>
        <w:rPr>
          <w:rFonts w:ascii="Times New Roman" w:hAnsi="Times New Roman" w:cs="Times New Roman"/>
          <w:sz w:val="24"/>
          <w:szCs w:val="24"/>
        </w:rPr>
      </w:pPr>
      <w:r w:rsidRPr="00D65902">
        <w:rPr>
          <w:rFonts w:ascii="Times New Roman" w:hAnsi="Times New Roman" w:cs="Times New Roman"/>
          <w:sz w:val="24"/>
          <w:szCs w:val="24"/>
        </w:rPr>
        <w:t>Относно нефтогазоносността на изследвания район съществуват сведения единствено от проведеното търсещо сондиране за нефт и газ в малък обем в най-югоизточната му част – с</w:t>
      </w:r>
      <w:r w:rsidR="007E2EC8" w:rsidRPr="00D65902">
        <w:rPr>
          <w:rFonts w:ascii="Times New Roman" w:hAnsi="Times New Roman" w:cs="Times New Roman"/>
          <w:sz w:val="24"/>
          <w:szCs w:val="24"/>
        </w:rPr>
        <w:t>онда</w:t>
      </w:r>
      <w:r w:rsidRPr="00D65902">
        <w:rPr>
          <w:rFonts w:ascii="Times New Roman" w:hAnsi="Times New Roman" w:cs="Times New Roman"/>
          <w:sz w:val="24"/>
          <w:szCs w:val="24"/>
        </w:rPr>
        <w:t>ж</w:t>
      </w:r>
      <w:r w:rsidR="007E2EC8" w:rsidRPr="00D65902">
        <w:rPr>
          <w:rFonts w:ascii="Times New Roman" w:hAnsi="Times New Roman" w:cs="Times New Roman"/>
          <w:sz w:val="24"/>
          <w:szCs w:val="24"/>
        </w:rPr>
        <w:t>и</w:t>
      </w:r>
      <w:r w:rsidRPr="00D65902">
        <w:rPr>
          <w:rFonts w:ascii="Times New Roman" w:hAnsi="Times New Roman" w:cs="Times New Roman"/>
          <w:sz w:val="24"/>
          <w:szCs w:val="24"/>
        </w:rPr>
        <w:t xml:space="preserve"> Р-1 Свиленград с дълбочина 1754 m, С-1 Генералово (400 m), С-2 Капитан Андреево (422 m), С-3 Капитан Андреево (450 m). Преките проявления на газ в с</w:t>
      </w:r>
      <w:r w:rsidR="007E2EC8" w:rsidRPr="00D65902">
        <w:rPr>
          <w:rFonts w:ascii="Times New Roman" w:hAnsi="Times New Roman" w:cs="Times New Roman"/>
          <w:sz w:val="24"/>
          <w:szCs w:val="24"/>
        </w:rPr>
        <w:t>онда</w:t>
      </w:r>
      <w:r w:rsidRPr="00D65902">
        <w:rPr>
          <w:rFonts w:ascii="Times New Roman" w:hAnsi="Times New Roman" w:cs="Times New Roman"/>
          <w:sz w:val="24"/>
          <w:szCs w:val="24"/>
        </w:rPr>
        <w:t xml:space="preserve">ж Р-1 Свиленград стават предпоставка за просондирането на трите плитки сондажа за оценка на нефтогазоносността в района на дълбокия сондаж. По време на сондирането им по-интензивни газопроявления са получени от </w:t>
      </w:r>
      <w:r w:rsidR="007E2EC8" w:rsidRPr="00D65902">
        <w:rPr>
          <w:rFonts w:ascii="Times New Roman" w:hAnsi="Times New Roman" w:cs="Times New Roman"/>
          <w:sz w:val="24"/>
          <w:szCs w:val="24"/>
        </w:rPr>
        <w:t xml:space="preserve">сондаж </w:t>
      </w:r>
      <w:r w:rsidRPr="00D65902">
        <w:rPr>
          <w:rFonts w:ascii="Times New Roman" w:hAnsi="Times New Roman" w:cs="Times New Roman"/>
          <w:sz w:val="24"/>
          <w:szCs w:val="24"/>
        </w:rPr>
        <w:t xml:space="preserve">С-3, вследствие на което са проведени изпитания от съответните интервали.   </w:t>
      </w:r>
    </w:p>
    <w:p w14:paraId="752D9049" w14:textId="4A047D27" w:rsidR="009412EC" w:rsidRPr="00A1696A" w:rsidRDefault="009412EC" w:rsidP="009412EC">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Данните от изпитанието на сондаж Р-1 Свиленград и сондаж С-3 Капитан Андреево показват следните резултати:</w:t>
      </w:r>
    </w:p>
    <w:p w14:paraId="700537E1" w14:textId="4171E026" w:rsidR="009412EC" w:rsidRPr="00A1696A" w:rsidRDefault="009412EC" w:rsidP="001D3ADD">
      <w:pPr>
        <w:numPr>
          <w:ilvl w:val="0"/>
          <w:numId w:val="5"/>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приток на вода с разтворени въглеводородни газове е получен от горноюрските слабометаморфозираните скали в сондаж Р-1 Свиленград;</w:t>
      </w:r>
    </w:p>
    <w:p w14:paraId="48B0EDAB" w14:textId="70E231FC" w:rsidR="008817B0" w:rsidRPr="00A1696A" w:rsidRDefault="008817B0" w:rsidP="001D3ADD">
      <w:pPr>
        <w:numPr>
          <w:ilvl w:val="0"/>
          <w:numId w:val="5"/>
        </w:numPr>
        <w:autoSpaceDE w:val="0"/>
        <w:autoSpaceDN w:val="0"/>
        <w:adjustRightInd w:val="0"/>
        <w:spacing w:after="0" w:line="240" w:lineRule="auto"/>
        <w:jc w:val="both"/>
        <w:rPr>
          <w:rFonts w:ascii="Times New Roman" w:hAnsi="Times New Roman" w:cs="Times New Roman"/>
          <w:sz w:val="24"/>
          <w:szCs w:val="24"/>
        </w:rPr>
      </w:pPr>
      <w:bookmarkStart w:id="45" w:name="_Hlk7622143"/>
      <w:r w:rsidRPr="00A1696A">
        <w:rPr>
          <w:rFonts w:ascii="Times New Roman" w:hAnsi="Times New Roman" w:cs="Times New Roman"/>
          <w:sz w:val="24"/>
          <w:szCs w:val="24"/>
        </w:rPr>
        <w:t xml:space="preserve">от два </w:t>
      </w:r>
      <w:r w:rsidR="00014FB0" w:rsidRPr="00A1696A">
        <w:rPr>
          <w:rFonts w:ascii="Times New Roman" w:hAnsi="Times New Roman" w:cs="Times New Roman"/>
          <w:sz w:val="24"/>
          <w:szCs w:val="24"/>
        </w:rPr>
        <w:t>от еоценските интервали е получен приток на пл</w:t>
      </w:r>
      <w:r w:rsidR="00C60C4F">
        <w:rPr>
          <w:rFonts w:ascii="Times New Roman" w:hAnsi="Times New Roman" w:cs="Times New Roman"/>
          <w:sz w:val="24"/>
          <w:szCs w:val="24"/>
        </w:rPr>
        <w:t xml:space="preserve">астова </w:t>
      </w:r>
      <w:r w:rsidR="00014FB0" w:rsidRPr="00A1696A">
        <w:rPr>
          <w:rFonts w:ascii="Times New Roman" w:hAnsi="Times New Roman" w:cs="Times New Roman"/>
          <w:sz w:val="24"/>
          <w:szCs w:val="24"/>
        </w:rPr>
        <w:t>вода без разтворен газ, но от варовиковия интервал 830-845 m е получен приток на вода с разтвор</w:t>
      </w:r>
      <w:r w:rsidR="00C60C4F">
        <w:rPr>
          <w:rFonts w:ascii="Times New Roman" w:hAnsi="Times New Roman" w:cs="Times New Roman"/>
          <w:sz w:val="24"/>
          <w:szCs w:val="24"/>
        </w:rPr>
        <w:t>е</w:t>
      </w:r>
      <w:r w:rsidR="00014FB0" w:rsidRPr="00A1696A">
        <w:rPr>
          <w:rFonts w:ascii="Times New Roman" w:hAnsi="Times New Roman" w:cs="Times New Roman"/>
          <w:sz w:val="24"/>
          <w:szCs w:val="24"/>
        </w:rPr>
        <w:t>н газ;</w:t>
      </w:r>
      <w:bookmarkEnd w:id="45"/>
    </w:p>
    <w:p w14:paraId="133D9A38" w14:textId="4727E3B7" w:rsidR="009412EC" w:rsidRPr="00A1696A" w:rsidRDefault="009412EC" w:rsidP="001D3ADD">
      <w:pPr>
        <w:numPr>
          <w:ilvl w:val="0"/>
          <w:numId w:val="5"/>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от олигоценските интервали е получен приток на флуиди в два от сондажите: в сондаж Р-1 Свиленград в опробвания интервал 300 – 335 m заедно с получения приток на вода има и показания на газ, без да е направено замерване на дебита; в интервала 220 - 240 m е получен приток на ВВ, но по-технически причини изпитанието е оценено като некачествено; в сондаж С-3 Капитан Андреево при изпитване на открития интервал 300-450 m е получен приток на газ около 980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w:t>
      </w:r>
      <w:r w:rsidR="007E2EC8" w:rsidRPr="00A1696A">
        <w:rPr>
          <w:rFonts w:ascii="Times New Roman" w:hAnsi="Times New Roman" w:cs="Times New Roman"/>
          <w:sz w:val="24"/>
          <w:szCs w:val="24"/>
        </w:rPr>
        <w:t>24h</w:t>
      </w:r>
      <w:r w:rsidRPr="00A1696A">
        <w:rPr>
          <w:rFonts w:ascii="Times New Roman" w:hAnsi="Times New Roman" w:cs="Times New Roman"/>
          <w:sz w:val="24"/>
          <w:szCs w:val="24"/>
        </w:rPr>
        <w:t xml:space="preserve"> и минерализирана вода – 3,8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w:t>
      </w:r>
      <w:r w:rsidR="007E2EC8" w:rsidRPr="00A1696A">
        <w:rPr>
          <w:rFonts w:ascii="Times New Roman" w:hAnsi="Times New Roman" w:cs="Times New Roman"/>
          <w:sz w:val="24"/>
          <w:szCs w:val="24"/>
        </w:rPr>
        <w:t>24h</w:t>
      </w:r>
      <w:r w:rsidRPr="00A1696A">
        <w:rPr>
          <w:rFonts w:ascii="Times New Roman" w:hAnsi="Times New Roman" w:cs="Times New Roman"/>
          <w:sz w:val="24"/>
          <w:szCs w:val="24"/>
        </w:rPr>
        <w:t>; в интервала 130 – 182 m е получен приток на газ с дебит 1270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w:t>
      </w:r>
      <w:r w:rsidR="007E2EC8" w:rsidRPr="00A1696A">
        <w:rPr>
          <w:rFonts w:ascii="Times New Roman" w:hAnsi="Times New Roman" w:cs="Times New Roman"/>
          <w:sz w:val="24"/>
          <w:szCs w:val="24"/>
        </w:rPr>
        <w:t>24h</w:t>
      </w:r>
      <w:r w:rsidRPr="00A1696A">
        <w:rPr>
          <w:rFonts w:ascii="Times New Roman" w:hAnsi="Times New Roman" w:cs="Times New Roman"/>
          <w:sz w:val="24"/>
          <w:szCs w:val="24"/>
        </w:rPr>
        <w:t xml:space="preserve"> и приток на минерализирана вода (7696 mg/l) около 5,7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/h;</w:t>
      </w:r>
    </w:p>
    <w:p w14:paraId="3D5203FA" w14:textId="23F44482" w:rsidR="009412EC" w:rsidRPr="00A1696A" w:rsidRDefault="009412EC" w:rsidP="001D3ADD">
      <w:pPr>
        <w:numPr>
          <w:ilvl w:val="0"/>
          <w:numId w:val="5"/>
        </w:numPr>
        <w:autoSpaceDE w:val="0"/>
        <w:autoSpaceDN w:val="0"/>
        <w:adjustRightInd w:val="0"/>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след разкриване и перфориране на интервал 45-82 m</w:t>
      </w:r>
      <w:r w:rsidR="007E2EC8" w:rsidRPr="00A1696A">
        <w:rPr>
          <w:rFonts w:ascii="Times New Roman" w:hAnsi="Times New Roman" w:cs="Times New Roman"/>
          <w:sz w:val="24"/>
          <w:szCs w:val="24"/>
        </w:rPr>
        <w:t>,</w:t>
      </w:r>
      <w:r w:rsidRPr="00A1696A">
        <w:rPr>
          <w:rFonts w:ascii="Times New Roman" w:hAnsi="Times New Roman" w:cs="Times New Roman"/>
          <w:sz w:val="24"/>
          <w:szCs w:val="24"/>
        </w:rPr>
        <w:t xml:space="preserve"> от сондаж С-3 Капитан Андреево</w:t>
      </w:r>
      <w:r w:rsidR="007E2EC8" w:rsidRPr="00A1696A">
        <w:rPr>
          <w:rFonts w:ascii="Times New Roman" w:hAnsi="Times New Roman" w:cs="Times New Roman"/>
          <w:sz w:val="24"/>
          <w:szCs w:val="24"/>
        </w:rPr>
        <w:t>,</w:t>
      </w:r>
      <w:r w:rsidRPr="00A1696A">
        <w:rPr>
          <w:rFonts w:ascii="Times New Roman" w:hAnsi="Times New Roman" w:cs="Times New Roman"/>
          <w:sz w:val="24"/>
          <w:szCs w:val="24"/>
        </w:rPr>
        <w:t xml:space="preserve"> започва пулсиращо постъпване на вода и газ. Дебита на газа съставя 870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дебита на водата – 8.6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w:t>
      </w:r>
      <w:r w:rsidR="005D0DA0">
        <w:rPr>
          <w:rFonts w:ascii="Times New Roman" w:hAnsi="Times New Roman" w:cs="Times New Roman"/>
          <w:sz w:val="24"/>
          <w:szCs w:val="24"/>
          <w:lang w:val="en-US"/>
        </w:rPr>
        <w:t>24h</w:t>
      </w:r>
      <w:r w:rsidRPr="00A1696A">
        <w:rPr>
          <w:rFonts w:ascii="Times New Roman" w:hAnsi="Times New Roman" w:cs="Times New Roman"/>
          <w:sz w:val="24"/>
          <w:szCs w:val="24"/>
        </w:rPr>
        <w:t xml:space="preserve">. </w:t>
      </w:r>
    </w:p>
    <w:p w14:paraId="235D430D" w14:textId="793010B6" w:rsidR="00C31111" w:rsidRPr="007679A9" w:rsidRDefault="009412EC" w:rsidP="007679A9">
      <w:pPr>
        <w:pStyle w:val="NormalWeb"/>
        <w:spacing w:before="0" w:beforeAutospacing="0" w:after="0" w:afterAutospacing="0"/>
        <w:ind w:firstLine="709"/>
        <w:jc w:val="both"/>
      </w:pPr>
      <w:r w:rsidRPr="00A1696A">
        <w:t xml:space="preserve">Данните от проведените изследователски работи на българска територия са оскъдни, но районът на югоизток от държавната ни граница, който е обособен като Тракийски басейн, е смятан за най-големият и най-важният газодобивен район в Турция (Gürgey </w:t>
      </w:r>
      <w:r w:rsidRPr="007679A9">
        <w:t>et al.</w:t>
      </w:r>
      <w:r w:rsidRPr="00A1696A">
        <w:t xml:space="preserve">, 2009; Sen, 2011). </w:t>
      </w:r>
      <w:r w:rsidR="00AE4724" w:rsidRPr="007679A9">
        <w:t xml:space="preserve">В него са открити 19 газови и 3 нефтени находища (фиг. </w:t>
      </w:r>
      <w:r w:rsidRPr="007679A9">
        <w:t>3</w:t>
      </w:r>
      <w:r w:rsidR="00AE4724" w:rsidRPr="007679A9">
        <w:t>), от които общата дневна газова продукция е около 1,7 млн. m</w:t>
      </w:r>
      <w:r w:rsidR="00AE4724" w:rsidRPr="00CA792A">
        <w:rPr>
          <w:vertAlign w:val="superscript"/>
        </w:rPr>
        <w:t>3</w:t>
      </w:r>
      <w:r w:rsidR="00014FB0" w:rsidRPr="007679A9">
        <w:t xml:space="preserve"> </w:t>
      </w:r>
      <w:r w:rsidR="00AE4724" w:rsidRPr="007679A9">
        <w:t xml:space="preserve">(Hosgörmez and Yalçın, 2005; Gürgey, 2005; Huvaz et al., 2007). </w:t>
      </w:r>
    </w:p>
    <w:bookmarkEnd w:id="43"/>
    <w:p w14:paraId="0F32AA97" w14:textId="4AA97112" w:rsidR="0006360E" w:rsidRPr="00A1696A" w:rsidRDefault="00155D06" w:rsidP="00155D06">
      <w:pPr>
        <w:autoSpaceDE w:val="0"/>
        <w:autoSpaceDN w:val="0"/>
        <w:adjustRightInd w:val="0"/>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lastRenderedPageBreak/>
        <w:drawing>
          <wp:inline distT="0" distB="0" distL="0" distR="0" wp14:anchorId="61639B79" wp14:editId="1D1D5644">
            <wp:extent cx="5958510" cy="4607170"/>
            <wp:effectExtent l="0" t="0" r="4445" b="3175"/>
            <wp:docPr id="1"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race scheme_summer_2018 Model_2019.jpg"/>
                    <pic:cNvPicPr/>
                  </pic:nvPicPr>
                  <pic:blipFill rotWithShape="1">
                    <a:blip r:embed="rId14" cstate="print">
                      <a:extLst>
                        <a:ext uri="{28A0092B-C50C-407E-A947-70E740481C1C}">
                          <a14:useLocalDpi xmlns:a14="http://schemas.microsoft.com/office/drawing/2010/main" val="0"/>
                        </a:ext>
                      </a:extLst>
                    </a:blip>
                    <a:srcRect l="4233" r="4354"/>
                    <a:stretch/>
                  </pic:blipFill>
                  <pic:spPr bwMode="auto">
                    <a:xfrm>
                      <a:off x="0" y="0"/>
                      <a:ext cx="5963708" cy="4611189"/>
                    </a:xfrm>
                    <a:prstGeom prst="rect">
                      <a:avLst/>
                    </a:prstGeom>
                    <a:ln>
                      <a:noFill/>
                    </a:ln>
                    <a:extLst>
                      <a:ext uri="{53640926-AAD7-44D8-BBD7-CCE9431645EC}">
                        <a14:shadowObscured xmlns:a14="http://schemas.microsoft.com/office/drawing/2010/main"/>
                      </a:ext>
                    </a:extLst>
                  </pic:spPr>
                </pic:pic>
              </a:graphicData>
            </a:graphic>
          </wp:inline>
        </w:drawing>
      </w:r>
    </w:p>
    <w:p w14:paraId="7A875320" w14:textId="4592CF7D" w:rsidR="00AE4724" w:rsidRPr="00A1696A" w:rsidRDefault="00AE4724"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rPr>
        <w:t>Фиг.</w:t>
      </w:r>
      <w:r w:rsidR="008D6812" w:rsidRPr="00A1696A">
        <w:rPr>
          <w:rFonts w:ascii="Times New Roman" w:hAnsi="Times New Roman" w:cs="Times New Roman"/>
          <w:i/>
          <w:sz w:val="24"/>
          <w:szCs w:val="24"/>
        </w:rPr>
        <w:t>3</w:t>
      </w:r>
      <w:r w:rsidRPr="00A1696A">
        <w:rPr>
          <w:rFonts w:ascii="Times New Roman" w:hAnsi="Times New Roman" w:cs="Times New Roman"/>
          <w:i/>
          <w:sz w:val="24"/>
          <w:szCs w:val="24"/>
        </w:rPr>
        <w:t xml:space="preserve">. Схема с разположение на находищата от турската част на Тракийския басейн (по </w:t>
      </w:r>
      <w:r w:rsidRPr="00A1696A">
        <w:rPr>
          <w:rFonts w:ascii="Times New Roman" w:hAnsi="Times New Roman" w:cs="Times New Roman"/>
          <w:i/>
          <w:sz w:val="24"/>
          <w:szCs w:val="24"/>
          <w:lang w:eastAsia="bg-BG"/>
        </w:rPr>
        <w:t>Gürgey, 2009 и данни на Otto Energy, 2008, с авторски допълнения)</w:t>
      </w:r>
    </w:p>
    <w:p w14:paraId="348CE3C5" w14:textId="77777777" w:rsidR="00AE4724" w:rsidRPr="00A1696A" w:rsidRDefault="00AE4724" w:rsidP="006B6EBF">
      <w:pPr>
        <w:spacing w:after="0" w:line="240" w:lineRule="auto"/>
        <w:jc w:val="center"/>
        <w:rPr>
          <w:rFonts w:ascii="Times New Roman" w:hAnsi="Times New Roman" w:cs="Times New Roman"/>
          <w:i/>
          <w:sz w:val="24"/>
          <w:szCs w:val="24"/>
        </w:rPr>
      </w:pPr>
    </w:p>
    <w:p w14:paraId="63211187" w14:textId="18ED7F72" w:rsidR="00BC436B" w:rsidRPr="00A1696A" w:rsidRDefault="00BC436B" w:rsidP="006B6EBF">
      <w:pPr>
        <w:pStyle w:val="Style1"/>
        <w:ind w:left="0" w:firstLine="709"/>
        <w:jc w:val="both"/>
        <w:rPr>
          <w:lang w:val="bg-BG"/>
        </w:rPr>
      </w:pPr>
      <w:bookmarkStart w:id="46" w:name="_Toc7820635"/>
      <w:r w:rsidRPr="00CA792A">
        <w:rPr>
          <w:lang w:val="bg-BG"/>
        </w:rPr>
        <w:t xml:space="preserve">Глава </w:t>
      </w:r>
      <w:r w:rsidR="00DE7397" w:rsidRPr="00CA792A">
        <w:rPr>
          <w:lang w:val="bg-BG"/>
        </w:rPr>
        <w:t>2</w:t>
      </w:r>
      <w:r w:rsidRPr="00CA792A">
        <w:rPr>
          <w:lang w:val="bg-BG"/>
        </w:rPr>
        <w:t xml:space="preserve">. </w:t>
      </w:r>
      <w:r w:rsidR="00497AE9" w:rsidRPr="00CA792A">
        <w:rPr>
          <w:lang w:val="bg-BG"/>
        </w:rPr>
        <w:t>С</w:t>
      </w:r>
      <w:r w:rsidR="00DE7397" w:rsidRPr="00CA792A">
        <w:rPr>
          <w:lang w:val="bg-BG"/>
        </w:rPr>
        <w:t>ъвременни методологични подходи</w:t>
      </w:r>
      <w:r w:rsidR="00A97C36" w:rsidRPr="00CA792A">
        <w:rPr>
          <w:lang w:val="bg-BG"/>
        </w:rPr>
        <w:t xml:space="preserve"> </w:t>
      </w:r>
      <w:r w:rsidR="00373989" w:rsidRPr="00CA792A">
        <w:rPr>
          <w:lang w:val="bg-BG"/>
        </w:rPr>
        <w:t>при</w:t>
      </w:r>
      <w:r w:rsidRPr="00CA792A">
        <w:rPr>
          <w:lang w:val="bg-BG"/>
        </w:rPr>
        <w:t xml:space="preserve"> оценка на нефтогазоносната перспективност</w:t>
      </w:r>
      <w:bookmarkEnd w:id="46"/>
      <w:r w:rsidRPr="00A1696A">
        <w:rPr>
          <w:lang w:val="bg-BG"/>
        </w:rPr>
        <w:t xml:space="preserve"> </w:t>
      </w:r>
    </w:p>
    <w:p w14:paraId="67FF6F05" w14:textId="7A048D97" w:rsidR="00D65902" w:rsidRDefault="00373989" w:rsidP="000F145B">
      <w:pPr>
        <w:pStyle w:val="Style1"/>
        <w:ind w:left="0" w:firstLine="709"/>
        <w:jc w:val="both"/>
        <w:rPr>
          <w:lang w:val="bg-BG"/>
        </w:rPr>
      </w:pPr>
      <w:bookmarkStart w:id="47" w:name="_Toc7820636"/>
      <w:r w:rsidRPr="00A1696A">
        <w:rPr>
          <w:lang w:val="bg-BG"/>
        </w:rPr>
        <w:t>2</w:t>
      </w:r>
      <w:r w:rsidR="00BC436B" w:rsidRPr="00A1696A">
        <w:rPr>
          <w:lang w:val="bg-BG"/>
        </w:rPr>
        <w:t>.</w:t>
      </w:r>
      <w:r w:rsidRPr="00A1696A">
        <w:rPr>
          <w:lang w:val="bg-BG"/>
        </w:rPr>
        <w:t>1</w:t>
      </w:r>
      <w:r w:rsidR="00BC436B" w:rsidRPr="00A1696A">
        <w:rPr>
          <w:lang w:val="bg-BG"/>
        </w:rPr>
        <w:t>. Метод</w:t>
      </w:r>
      <w:r w:rsidR="00CA792A">
        <w:rPr>
          <w:lang w:val="bg-BG"/>
        </w:rPr>
        <w:t>ология</w:t>
      </w:r>
      <w:r w:rsidR="00BC436B" w:rsidRPr="00A1696A">
        <w:rPr>
          <w:lang w:val="bg-BG"/>
        </w:rPr>
        <w:t xml:space="preserve"> на изследователския процес и </w:t>
      </w:r>
      <w:r w:rsidRPr="00A1696A">
        <w:rPr>
          <w:lang w:val="bg-BG"/>
        </w:rPr>
        <w:t>геоложки предпоставки за нефтогазоносност</w:t>
      </w:r>
      <w:bookmarkEnd w:id="47"/>
    </w:p>
    <w:p w14:paraId="65C1444F" w14:textId="71F9D911" w:rsidR="00BC436B" w:rsidRPr="00D65902" w:rsidRDefault="00825412" w:rsidP="00D65902">
      <w:pPr>
        <w:spacing w:after="0" w:line="240" w:lineRule="auto"/>
        <w:ind w:firstLine="709"/>
        <w:jc w:val="both"/>
        <w:rPr>
          <w:rFonts w:ascii="Times New Roman" w:hAnsi="Times New Roman" w:cs="Times New Roman"/>
          <w:sz w:val="24"/>
          <w:szCs w:val="24"/>
          <w:lang w:eastAsia="bg-BG"/>
        </w:rPr>
      </w:pPr>
      <w:r w:rsidRPr="000B45DC">
        <w:rPr>
          <w:rFonts w:ascii="Times New Roman" w:hAnsi="Times New Roman" w:cs="Times New Roman"/>
          <w:sz w:val="24"/>
          <w:szCs w:val="24"/>
          <w:lang w:eastAsia="bg-BG"/>
        </w:rPr>
        <w:t xml:space="preserve">В настоящия дисертационен труд се прилагат тези подходи за оценка на нефтогазоносната перспективност, които са залегнали в теоретичните постановки на съвременните изследователи </w:t>
      </w:r>
      <w:bookmarkStart w:id="48" w:name="_Hlk7633098"/>
      <w:r w:rsidRPr="000B45DC">
        <w:rPr>
          <w:rFonts w:ascii="Times New Roman" w:hAnsi="Times New Roman" w:cs="Times New Roman"/>
          <w:sz w:val="24"/>
          <w:szCs w:val="24"/>
          <w:lang w:eastAsia="bg-BG"/>
        </w:rPr>
        <w:t>(Хант, 1982; Бакиров и др., 1982; Боков, 1987, 1989; Дешев, 1991; Magoon and Dow, 1994; Йорданов, 1996; Selley, 1998; Allen and Allen, 2005; Велев, 2007)</w:t>
      </w:r>
      <w:bookmarkEnd w:id="48"/>
      <w:r w:rsidRPr="000B45DC">
        <w:rPr>
          <w:rFonts w:ascii="Times New Roman" w:hAnsi="Times New Roman" w:cs="Times New Roman"/>
          <w:sz w:val="24"/>
          <w:szCs w:val="24"/>
          <w:lang w:eastAsia="bg-BG"/>
        </w:rPr>
        <w:t>. В методиката на изследователския процес се възприема съчетание на отделни елементи от басейновия анализ, основни постулати на петролно-системния подход и анализа на основните фактори</w:t>
      </w:r>
      <w:r w:rsidR="00CA792A" w:rsidRPr="000B45DC">
        <w:rPr>
          <w:rFonts w:ascii="Times New Roman" w:hAnsi="Times New Roman" w:cs="Times New Roman"/>
          <w:sz w:val="24"/>
          <w:szCs w:val="24"/>
          <w:lang w:eastAsia="bg-BG"/>
        </w:rPr>
        <w:t>/</w:t>
      </w:r>
      <w:r w:rsidRPr="000B45DC">
        <w:rPr>
          <w:rFonts w:ascii="Times New Roman" w:hAnsi="Times New Roman" w:cs="Times New Roman"/>
          <w:sz w:val="24"/>
          <w:szCs w:val="24"/>
          <w:lang w:eastAsia="bg-BG"/>
        </w:rPr>
        <w:t xml:space="preserve">предпоставки, определящи нефтогазоносния потенциал на най-югоизточната част от страната ни. </w:t>
      </w:r>
      <w:r w:rsidR="00BC436B" w:rsidRPr="000B45DC">
        <w:rPr>
          <w:rFonts w:ascii="Times New Roman" w:hAnsi="Times New Roman" w:cs="Times New Roman"/>
          <w:sz w:val="24"/>
          <w:szCs w:val="24"/>
          <w:lang w:eastAsia="bg-BG"/>
        </w:rPr>
        <w:t>Анализът на седиментния басейн има значение както за възстановяване на историята на неговото формиране</w:t>
      </w:r>
      <w:r w:rsidR="00BC436B" w:rsidRPr="00D65902">
        <w:rPr>
          <w:rFonts w:ascii="Times New Roman" w:hAnsi="Times New Roman" w:cs="Times New Roman"/>
          <w:sz w:val="24"/>
          <w:szCs w:val="24"/>
          <w:lang w:eastAsia="bg-BG"/>
        </w:rPr>
        <w:t>, за изясняване на вътрешния строеж и структурата на седиментните комплекси, така също за характеризиране на тези природни тела, в които се генерират, транспортират и акумулират въглеводороди. Схващането за стратиграфската и структурната еволюция на басейна, коректната идентификация и интерпретация на основните фактори, контролиращи геометрията и строежа на седиментните фациеси, съдържащи се в басейновата последователност, е първата и най-важна стъпка към изграждане на геоложкия модел (Allen</w:t>
      </w:r>
      <w:r w:rsidR="002102B4" w:rsidRPr="00D65902">
        <w:rPr>
          <w:rFonts w:ascii="Times New Roman" w:hAnsi="Times New Roman" w:cs="Times New Roman"/>
          <w:sz w:val="24"/>
          <w:szCs w:val="24"/>
          <w:lang w:eastAsia="bg-BG"/>
        </w:rPr>
        <w:t xml:space="preserve"> </w:t>
      </w:r>
      <w:r w:rsidR="00BC6F4A" w:rsidRPr="00D65902">
        <w:rPr>
          <w:rFonts w:ascii="Times New Roman" w:hAnsi="Times New Roman" w:cs="Times New Roman"/>
          <w:sz w:val="24"/>
          <w:szCs w:val="24"/>
          <w:lang w:eastAsia="bg-BG"/>
        </w:rPr>
        <w:t>and</w:t>
      </w:r>
      <w:r w:rsidR="00BC436B" w:rsidRPr="00D65902">
        <w:rPr>
          <w:rFonts w:ascii="Times New Roman" w:hAnsi="Times New Roman" w:cs="Times New Roman"/>
          <w:sz w:val="24"/>
          <w:szCs w:val="24"/>
          <w:lang w:eastAsia="bg-BG"/>
        </w:rPr>
        <w:t xml:space="preserve"> Allen, 2005). С </w:t>
      </w:r>
      <w:r w:rsidR="007E2EC8" w:rsidRPr="00D65902">
        <w:rPr>
          <w:rFonts w:ascii="Times New Roman" w:hAnsi="Times New Roman" w:cs="Times New Roman"/>
          <w:sz w:val="24"/>
          <w:szCs w:val="24"/>
          <w:lang w:eastAsia="bg-BG"/>
        </w:rPr>
        <w:t xml:space="preserve">негова </w:t>
      </w:r>
      <w:r w:rsidR="00BC436B" w:rsidRPr="00D65902">
        <w:rPr>
          <w:rFonts w:ascii="Times New Roman" w:hAnsi="Times New Roman" w:cs="Times New Roman"/>
          <w:sz w:val="24"/>
          <w:szCs w:val="24"/>
          <w:lang w:eastAsia="bg-BG"/>
        </w:rPr>
        <w:t xml:space="preserve">помощ се прогнозират потенциалните генериращи, резервоарни и екраниращи скали. Те могат да се отнасят към различни седиментни формации, но като цяло тяхното благоприятно съчетание е важно за оценката на нефтогазоносния потенциал на дадена територия. Този подход на изследване осигурява връзката между геоложкия модел и нефтогазоносния потенциал на басейна и служи за оценка на </w:t>
      </w:r>
      <w:r w:rsidR="00BC436B" w:rsidRPr="00D65902">
        <w:rPr>
          <w:rFonts w:ascii="Times New Roman" w:hAnsi="Times New Roman" w:cs="Times New Roman"/>
          <w:sz w:val="24"/>
          <w:szCs w:val="24"/>
          <w:lang w:eastAsia="bg-BG"/>
        </w:rPr>
        <w:lastRenderedPageBreak/>
        <w:t>нефтогазоносн</w:t>
      </w:r>
      <w:r w:rsidR="0037719B" w:rsidRPr="00D65902">
        <w:rPr>
          <w:rFonts w:ascii="Times New Roman" w:hAnsi="Times New Roman" w:cs="Times New Roman"/>
          <w:sz w:val="24"/>
          <w:szCs w:val="24"/>
          <w:lang w:eastAsia="bg-BG"/>
        </w:rPr>
        <w:t xml:space="preserve">ата перспективност </w:t>
      </w:r>
      <w:r w:rsidR="00BC436B" w:rsidRPr="00D65902">
        <w:rPr>
          <w:rFonts w:ascii="Times New Roman" w:hAnsi="Times New Roman" w:cs="Times New Roman"/>
          <w:sz w:val="24"/>
          <w:szCs w:val="24"/>
          <w:lang w:eastAsia="bg-BG"/>
        </w:rPr>
        <w:t>на седиментните басейни. На тази основа Allen</w:t>
      </w:r>
      <w:r w:rsidR="002102B4" w:rsidRPr="00D65902">
        <w:rPr>
          <w:rFonts w:ascii="Times New Roman" w:hAnsi="Times New Roman" w:cs="Times New Roman"/>
          <w:sz w:val="24"/>
          <w:szCs w:val="24"/>
          <w:lang w:eastAsia="bg-BG"/>
        </w:rPr>
        <w:t xml:space="preserve"> </w:t>
      </w:r>
      <w:r w:rsidR="00BC6F4A" w:rsidRPr="00D65902">
        <w:rPr>
          <w:rFonts w:ascii="Times New Roman" w:hAnsi="Times New Roman" w:cs="Times New Roman"/>
          <w:sz w:val="24"/>
          <w:szCs w:val="24"/>
          <w:lang w:eastAsia="bg-BG"/>
        </w:rPr>
        <w:t>and</w:t>
      </w:r>
      <w:r w:rsidR="00BC436B" w:rsidRPr="00D65902">
        <w:rPr>
          <w:rFonts w:ascii="Times New Roman" w:hAnsi="Times New Roman" w:cs="Times New Roman"/>
          <w:sz w:val="24"/>
          <w:szCs w:val="24"/>
          <w:lang w:eastAsia="bg-BG"/>
        </w:rPr>
        <w:t xml:space="preserve"> Allen (2005) </w:t>
      </w:r>
      <w:r w:rsidR="00BC436B" w:rsidRPr="000B45DC">
        <w:rPr>
          <w:rFonts w:ascii="Times New Roman" w:hAnsi="Times New Roman" w:cs="Times New Roman"/>
          <w:sz w:val="24"/>
          <w:szCs w:val="24"/>
          <w:lang w:eastAsia="bg-BG"/>
        </w:rPr>
        <w:t>формулират плей-концепция, като</w:t>
      </w:r>
      <w:r w:rsidR="00BC436B" w:rsidRPr="00D65902">
        <w:rPr>
          <w:rFonts w:ascii="Times New Roman" w:hAnsi="Times New Roman" w:cs="Times New Roman"/>
          <w:sz w:val="24"/>
          <w:szCs w:val="24"/>
          <w:lang w:eastAsia="bg-BG"/>
        </w:rPr>
        <w:t xml:space="preserve"> схващане или модел за начина по който резервоарите, нефтогазогенериращите скали (петролната зареждаща система), регионалните покривки и капани съвместно спомагат за продуциране на въглеводородни акумулации в специфични стратиграфски нива.  Ето защо, при изучаването на нефтогазоносните басейни е необходимо последователно разглеждане на основните геоложки фактори (предпоставки), които са определящи за изясняване на нефтогазоносния потенциал и тяхната сложна взаимовръзка - структурно-тектонски, геохимични, литолого-стратиграфски и хидрогеоложки. </w:t>
      </w:r>
    </w:p>
    <w:p w14:paraId="4C690507" w14:textId="77777777" w:rsidR="000B45DC" w:rsidRDefault="000B45DC" w:rsidP="006B6EBF">
      <w:pPr>
        <w:spacing w:after="0" w:line="240" w:lineRule="auto"/>
        <w:ind w:firstLine="709"/>
        <w:jc w:val="both"/>
        <w:rPr>
          <w:rFonts w:ascii="Times New Roman" w:hAnsi="Times New Roman" w:cs="Times New Roman"/>
          <w:sz w:val="24"/>
          <w:szCs w:val="24"/>
          <w:lang w:eastAsia="bg-BG"/>
        </w:rPr>
      </w:pPr>
      <w:bookmarkStart w:id="49" w:name="_Hlk7627560"/>
      <w:r>
        <w:rPr>
          <w:rFonts w:ascii="Times New Roman" w:hAnsi="Times New Roman" w:cs="Times New Roman"/>
          <w:sz w:val="24"/>
          <w:szCs w:val="24"/>
          <w:lang w:eastAsia="bg-BG"/>
        </w:rPr>
        <w:t>Като цяло,</w:t>
      </w:r>
      <w:r w:rsidRPr="001E2A7A">
        <w:rPr>
          <w:rFonts w:ascii="Times New Roman" w:hAnsi="Times New Roman" w:cs="Times New Roman"/>
          <w:sz w:val="24"/>
          <w:szCs w:val="24"/>
          <w:lang w:eastAsia="bg-BG"/>
        </w:rPr>
        <w:t xml:space="preserve"> модел</w:t>
      </w:r>
      <w:r>
        <w:rPr>
          <w:rFonts w:ascii="Times New Roman" w:hAnsi="Times New Roman" w:cs="Times New Roman"/>
          <w:sz w:val="24"/>
          <w:szCs w:val="24"/>
          <w:lang w:eastAsia="bg-BG"/>
        </w:rPr>
        <w:t>ът</w:t>
      </w:r>
      <w:r w:rsidRPr="001E2A7A">
        <w:rPr>
          <w:rFonts w:ascii="Times New Roman" w:hAnsi="Times New Roman" w:cs="Times New Roman"/>
          <w:sz w:val="24"/>
          <w:szCs w:val="24"/>
          <w:lang w:eastAsia="bg-BG"/>
        </w:rPr>
        <w:t xml:space="preserve"> на връзката на нефтогазоносността с развитието на седиментните басейни, който се постига чрез басейновия анализ, служи като база за изясняване на формирането на петролните (въглеводородни) системи. Петролно-системният подход, посредством който се оценява нефтогазоносния потенциал на определена територия</w:t>
      </w:r>
      <w:r>
        <w:rPr>
          <w:rFonts w:ascii="Times New Roman" w:hAnsi="Times New Roman" w:cs="Times New Roman"/>
          <w:sz w:val="24"/>
          <w:szCs w:val="24"/>
          <w:lang w:eastAsia="bg-BG"/>
        </w:rPr>
        <w:t xml:space="preserve">, </w:t>
      </w:r>
      <w:r w:rsidRPr="001E2A7A">
        <w:rPr>
          <w:rFonts w:ascii="Times New Roman" w:hAnsi="Times New Roman" w:cs="Times New Roman"/>
          <w:sz w:val="24"/>
          <w:szCs w:val="24"/>
          <w:lang w:eastAsia="bg-BG"/>
        </w:rPr>
        <w:t>се изразява в оценка на основните елементи на петролните системи – генериращи, резервоарни, екраниращи и покриващи скали, както и на свързаните с тях основни процеси – генерация и миграция на въглеводородите, акумулация и запазване на въглеводородните залежи.</w:t>
      </w:r>
      <w:r>
        <w:rPr>
          <w:rFonts w:ascii="Times New Roman" w:hAnsi="Times New Roman" w:cs="Times New Roman"/>
          <w:sz w:val="24"/>
          <w:szCs w:val="24"/>
          <w:lang w:eastAsia="bg-BG"/>
        </w:rPr>
        <w:t xml:space="preserve"> </w:t>
      </w:r>
      <w:r w:rsidR="00BC436B" w:rsidRPr="00A1696A">
        <w:rPr>
          <w:rFonts w:ascii="Times New Roman" w:hAnsi="Times New Roman" w:cs="Times New Roman"/>
          <w:sz w:val="24"/>
          <w:szCs w:val="24"/>
          <w:lang w:eastAsia="bg-BG"/>
        </w:rPr>
        <w:t>Петролно-системния</w:t>
      </w:r>
      <w:r w:rsidR="00825412">
        <w:rPr>
          <w:rFonts w:ascii="Times New Roman" w:hAnsi="Times New Roman" w:cs="Times New Roman"/>
          <w:sz w:val="24"/>
          <w:szCs w:val="24"/>
          <w:lang w:eastAsia="bg-BG"/>
        </w:rPr>
        <w:t>т</w:t>
      </w:r>
      <w:r w:rsidR="00BC436B" w:rsidRPr="00A1696A">
        <w:rPr>
          <w:rFonts w:ascii="Times New Roman" w:hAnsi="Times New Roman" w:cs="Times New Roman"/>
          <w:sz w:val="24"/>
          <w:szCs w:val="24"/>
          <w:lang w:eastAsia="bg-BG"/>
        </w:rPr>
        <w:t xml:space="preserve"> подход съчетава в себе си петролната геология и петролната геохимия по начин, ко</w:t>
      </w:r>
      <w:r>
        <w:rPr>
          <w:rFonts w:ascii="Times New Roman" w:hAnsi="Times New Roman" w:cs="Times New Roman"/>
          <w:sz w:val="24"/>
          <w:szCs w:val="24"/>
          <w:lang w:eastAsia="bg-BG"/>
        </w:rPr>
        <w:t>й</w:t>
      </w:r>
      <w:r w:rsidR="00BC436B" w:rsidRPr="00A1696A">
        <w:rPr>
          <w:rFonts w:ascii="Times New Roman" w:hAnsi="Times New Roman" w:cs="Times New Roman"/>
          <w:sz w:val="24"/>
          <w:szCs w:val="24"/>
          <w:lang w:eastAsia="bg-BG"/>
        </w:rPr>
        <w:t xml:space="preserve">то </w:t>
      </w:r>
      <w:r w:rsidR="007E2EC8" w:rsidRPr="00A1696A">
        <w:rPr>
          <w:rFonts w:ascii="Times New Roman" w:hAnsi="Times New Roman" w:cs="Times New Roman"/>
          <w:sz w:val="24"/>
          <w:szCs w:val="24"/>
          <w:lang w:eastAsia="bg-BG"/>
        </w:rPr>
        <w:t>е предпоставка</w:t>
      </w:r>
      <w:r w:rsidR="00BC436B" w:rsidRPr="00A1696A">
        <w:rPr>
          <w:rFonts w:ascii="Times New Roman" w:hAnsi="Times New Roman" w:cs="Times New Roman"/>
          <w:sz w:val="24"/>
          <w:szCs w:val="24"/>
          <w:lang w:eastAsia="bg-BG"/>
        </w:rPr>
        <w:t xml:space="preserve">, както </w:t>
      </w:r>
      <w:r w:rsidR="007E2EC8" w:rsidRPr="00A1696A">
        <w:rPr>
          <w:rFonts w:ascii="Times New Roman" w:hAnsi="Times New Roman" w:cs="Times New Roman"/>
          <w:sz w:val="24"/>
          <w:szCs w:val="24"/>
          <w:lang w:eastAsia="bg-BG"/>
        </w:rPr>
        <w:t>за</w:t>
      </w:r>
      <w:r w:rsidR="00BC436B" w:rsidRPr="00A1696A">
        <w:rPr>
          <w:rFonts w:ascii="Times New Roman" w:hAnsi="Times New Roman" w:cs="Times New Roman"/>
          <w:sz w:val="24"/>
          <w:szCs w:val="24"/>
          <w:lang w:eastAsia="bg-BG"/>
        </w:rPr>
        <w:t xml:space="preserve"> </w:t>
      </w:r>
      <w:r w:rsidR="007E2EC8" w:rsidRPr="00A1696A">
        <w:rPr>
          <w:rFonts w:ascii="Times New Roman" w:hAnsi="Times New Roman" w:cs="Times New Roman"/>
          <w:sz w:val="24"/>
          <w:szCs w:val="24"/>
          <w:lang w:eastAsia="bg-BG"/>
        </w:rPr>
        <w:t xml:space="preserve">значително усъвършенстване на </w:t>
      </w:r>
      <w:r w:rsidR="00BC436B" w:rsidRPr="00A1696A">
        <w:rPr>
          <w:rFonts w:ascii="Times New Roman" w:hAnsi="Times New Roman" w:cs="Times New Roman"/>
          <w:sz w:val="24"/>
          <w:szCs w:val="24"/>
          <w:lang w:eastAsia="bg-BG"/>
        </w:rPr>
        <w:t xml:space="preserve">методите на изследване, така и </w:t>
      </w:r>
      <w:r w:rsidR="007E2EC8" w:rsidRPr="00A1696A">
        <w:rPr>
          <w:rFonts w:ascii="Times New Roman" w:hAnsi="Times New Roman" w:cs="Times New Roman"/>
          <w:sz w:val="24"/>
          <w:szCs w:val="24"/>
          <w:lang w:eastAsia="bg-BG"/>
        </w:rPr>
        <w:t xml:space="preserve">за </w:t>
      </w:r>
      <w:r w:rsidR="00BC436B" w:rsidRPr="00A1696A">
        <w:rPr>
          <w:rFonts w:ascii="Times New Roman" w:hAnsi="Times New Roman" w:cs="Times New Roman"/>
          <w:sz w:val="24"/>
          <w:szCs w:val="24"/>
          <w:lang w:eastAsia="bg-BG"/>
        </w:rPr>
        <w:t xml:space="preserve">успеха при проучвателните дейности </w:t>
      </w:r>
      <w:bookmarkEnd w:id="49"/>
      <w:r w:rsidR="00BC436B" w:rsidRPr="00A1696A">
        <w:rPr>
          <w:rFonts w:ascii="Times New Roman" w:hAnsi="Times New Roman" w:cs="Times New Roman"/>
          <w:sz w:val="24"/>
          <w:szCs w:val="24"/>
          <w:lang w:eastAsia="bg-BG"/>
        </w:rPr>
        <w:t>(</w:t>
      </w:r>
      <w:r w:rsidR="00BC436B" w:rsidRPr="00A1696A">
        <w:rPr>
          <w:rFonts w:ascii="Times New Roman" w:hAnsi="Times New Roman" w:cs="Times New Roman"/>
          <w:sz w:val="24"/>
          <w:szCs w:val="24"/>
        </w:rPr>
        <w:t>Magoon</w:t>
      </w:r>
      <w:r w:rsidR="00CC0151" w:rsidRPr="00A1696A">
        <w:rPr>
          <w:rFonts w:ascii="Times New Roman" w:hAnsi="Times New Roman" w:cs="Times New Roman"/>
          <w:sz w:val="24"/>
          <w:szCs w:val="24"/>
        </w:rPr>
        <w:t xml:space="preserve"> </w:t>
      </w:r>
      <w:r w:rsidR="00BC6F4A" w:rsidRPr="00A1696A">
        <w:rPr>
          <w:rFonts w:ascii="Times New Roman" w:hAnsi="Times New Roman" w:cs="Times New Roman"/>
          <w:sz w:val="24"/>
          <w:szCs w:val="24"/>
        </w:rPr>
        <w:t>and</w:t>
      </w:r>
      <w:r w:rsidR="00BC436B" w:rsidRPr="00A1696A">
        <w:rPr>
          <w:rFonts w:ascii="Times New Roman" w:hAnsi="Times New Roman" w:cs="Times New Roman"/>
          <w:sz w:val="24"/>
          <w:szCs w:val="24"/>
        </w:rPr>
        <w:t xml:space="preserve"> Dow, 1994</w:t>
      </w:r>
      <w:r w:rsidR="00BC436B" w:rsidRPr="00A1696A">
        <w:rPr>
          <w:rFonts w:ascii="Times New Roman" w:hAnsi="Times New Roman" w:cs="Times New Roman"/>
          <w:sz w:val="24"/>
          <w:szCs w:val="24"/>
          <w:lang w:eastAsia="bg-BG"/>
        </w:rPr>
        <w:t>).</w:t>
      </w:r>
    </w:p>
    <w:p w14:paraId="2E464CFE" w14:textId="73F2A9E4" w:rsidR="00BC436B" w:rsidRPr="000B45DC" w:rsidRDefault="000B45DC" w:rsidP="006B6EBF">
      <w:pPr>
        <w:spacing w:after="0" w:line="240" w:lineRule="auto"/>
        <w:ind w:firstLine="709"/>
        <w:jc w:val="both"/>
        <w:rPr>
          <w:rFonts w:ascii="Times New Roman" w:hAnsi="Times New Roman" w:cs="Times New Roman"/>
          <w:sz w:val="24"/>
          <w:szCs w:val="24"/>
          <w:lang w:eastAsia="bg-BG"/>
        </w:rPr>
      </w:pPr>
      <w:r w:rsidRPr="000B45DC">
        <w:rPr>
          <w:rFonts w:ascii="Times New Roman" w:hAnsi="Times New Roman" w:cs="Times New Roman"/>
          <w:i/>
          <w:sz w:val="24"/>
          <w:szCs w:val="24"/>
        </w:rPr>
        <w:t>Поради тази причина о</w:t>
      </w:r>
      <w:r w:rsidRPr="000B45DC">
        <w:rPr>
          <w:rFonts w:ascii="Times New Roman" w:hAnsi="Times New Roman" w:cs="Times New Roman"/>
          <w:i/>
          <w:sz w:val="24"/>
          <w:szCs w:val="24"/>
          <w:lang w:eastAsia="bg-BG"/>
        </w:rPr>
        <w:t>писаният в този раздел системен подход, съчетаващ предимствата на съвременните методики, се използва и в настоящата дисертационна работа за оценка на нефтогазоносния потенциал на територията на изследване.</w:t>
      </w:r>
      <w:r w:rsidR="00BC436B" w:rsidRPr="000B45DC">
        <w:rPr>
          <w:rFonts w:ascii="Times New Roman" w:hAnsi="Times New Roman" w:cs="Times New Roman"/>
          <w:sz w:val="24"/>
          <w:szCs w:val="24"/>
          <w:lang w:eastAsia="bg-BG"/>
        </w:rPr>
        <w:t xml:space="preserve"> </w:t>
      </w:r>
    </w:p>
    <w:p w14:paraId="7D7270D0" w14:textId="612D5360" w:rsidR="00D65902" w:rsidRDefault="00373989" w:rsidP="006B6EBF">
      <w:pPr>
        <w:pStyle w:val="Style1"/>
        <w:ind w:left="0" w:firstLine="709"/>
        <w:jc w:val="both"/>
        <w:rPr>
          <w:lang w:val="bg-BG"/>
        </w:rPr>
      </w:pPr>
      <w:bookmarkStart w:id="50" w:name="_Toc7820637"/>
      <w:r w:rsidRPr="00552D80">
        <w:rPr>
          <w:lang w:val="bg-BG"/>
        </w:rPr>
        <w:t>2</w:t>
      </w:r>
      <w:r w:rsidR="00BC436B" w:rsidRPr="00552D80">
        <w:rPr>
          <w:lang w:val="bg-BG"/>
        </w:rPr>
        <w:t>.</w:t>
      </w:r>
      <w:r w:rsidRPr="00552D80">
        <w:rPr>
          <w:lang w:val="bg-BG"/>
        </w:rPr>
        <w:t>2</w:t>
      </w:r>
      <w:r w:rsidR="00BC436B" w:rsidRPr="00552D80">
        <w:rPr>
          <w:lang w:val="bg-BG"/>
        </w:rPr>
        <w:t xml:space="preserve">. Приложимост на органичната геохимия </w:t>
      </w:r>
      <w:r w:rsidRPr="00552D80">
        <w:rPr>
          <w:lang w:val="bg-BG"/>
        </w:rPr>
        <w:t>при</w:t>
      </w:r>
      <w:r w:rsidR="00BC436B" w:rsidRPr="00552D80">
        <w:rPr>
          <w:lang w:val="bg-BG"/>
        </w:rPr>
        <w:t xml:space="preserve"> оценка на </w:t>
      </w:r>
      <w:r w:rsidRPr="00552D80">
        <w:rPr>
          <w:lang w:val="bg-BG"/>
        </w:rPr>
        <w:t>въглеводородния</w:t>
      </w:r>
      <w:r w:rsidR="00BC436B" w:rsidRPr="00552D80">
        <w:rPr>
          <w:lang w:val="bg-BG"/>
        </w:rPr>
        <w:t xml:space="preserve"> потенциал</w:t>
      </w:r>
      <w:bookmarkEnd w:id="50"/>
    </w:p>
    <w:p w14:paraId="73682210" w14:textId="3144D8F6" w:rsidR="00BC436B" w:rsidRPr="00D65902" w:rsidRDefault="0067104E" w:rsidP="00D65902">
      <w:pPr>
        <w:spacing w:after="0" w:line="240" w:lineRule="auto"/>
        <w:ind w:firstLine="709"/>
        <w:jc w:val="both"/>
        <w:rPr>
          <w:rFonts w:ascii="Times New Roman" w:hAnsi="Times New Roman" w:cs="Times New Roman"/>
          <w:sz w:val="24"/>
          <w:szCs w:val="24"/>
          <w:lang w:eastAsia="bg-BG"/>
        </w:rPr>
      </w:pPr>
      <w:r w:rsidRPr="00D65902">
        <w:rPr>
          <w:rFonts w:ascii="Times New Roman" w:hAnsi="Times New Roman" w:cs="Times New Roman"/>
          <w:sz w:val="24"/>
          <w:szCs w:val="24"/>
          <w:lang w:eastAsia="bg-BG"/>
        </w:rPr>
        <w:t>Широко прилаганите в световната практика геохимични изследвания</w:t>
      </w:r>
      <w:r w:rsidR="00552D80">
        <w:rPr>
          <w:rFonts w:ascii="Times New Roman" w:hAnsi="Times New Roman" w:cs="Times New Roman"/>
          <w:sz w:val="24"/>
          <w:szCs w:val="24"/>
          <w:lang w:eastAsia="bg-BG"/>
        </w:rPr>
        <w:t>,</w:t>
      </w:r>
      <w:r w:rsidRPr="00D65902">
        <w:rPr>
          <w:rFonts w:ascii="Times New Roman" w:hAnsi="Times New Roman" w:cs="Times New Roman"/>
          <w:sz w:val="24"/>
          <w:szCs w:val="24"/>
          <w:lang w:eastAsia="bg-BG"/>
        </w:rPr>
        <w:t xml:space="preserve"> </w:t>
      </w:r>
      <w:r w:rsidR="004832C9" w:rsidRPr="00D65902">
        <w:rPr>
          <w:rFonts w:ascii="Times New Roman" w:hAnsi="Times New Roman" w:cs="Times New Roman"/>
          <w:sz w:val="24"/>
          <w:szCs w:val="24"/>
          <w:lang w:eastAsia="bg-BG"/>
        </w:rPr>
        <w:t>в процеса на оценяване на нефтогазоносната перспективност</w:t>
      </w:r>
      <w:r w:rsidR="00552D80">
        <w:rPr>
          <w:rFonts w:ascii="Times New Roman" w:hAnsi="Times New Roman" w:cs="Times New Roman"/>
          <w:sz w:val="24"/>
          <w:szCs w:val="24"/>
          <w:lang w:eastAsia="bg-BG"/>
        </w:rPr>
        <w:t>,</w:t>
      </w:r>
      <w:r w:rsidR="004832C9" w:rsidRPr="00D65902">
        <w:rPr>
          <w:rFonts w:ascii="Times New Roman" w:hAnsi="Times New Roman" w:cs="Times New Roman"/>
          <w:sz w:val="24"/>
          <w:szCs w:val="24"/>
          <w:lang w:eastAsia="bg-BG"/>
        </w:rPr>
        <w:t xml:space="preserve"> </w:t>
      </w:r>
      <w:r w:rsidRPr="00D65902">
        <w:rPr>
          <w:rFonts w:ascii="Times New Roman" w:hAnsi="Times New Roman" w:cs="Times New Roman"/>
          <w:sz w:val="24"/>
          <w:szCs w:val="24"/>
          <w:lang w:eastAsia="bg-BG"/>
        </w:rPr>
        <w:t>се провеждат с цел отделяне на нефтогазогенериращи скали в седиментния разрез и оценка на техния генерационен потенциал</w:t>
      </w:r>
      <w:r w:rsidR="004832C9" w:rsidRPr="00D65902">
        <w:rPr>
          <w:rFonts w:ascii="Times New Roman" w:hAnsi="Times New Roman" w:cs="Times New Roman"/>
          <w:sz w:val="24"/>
          <w:szCs w:val="24"/>
          <w:lang w:eastAsia="bg-BG"/>
        </w:rPr>
        <w:t xml:space="preserve"> (Хант, 1982; Вассоевич, 1986; Waples and Machihara, 1991; Peters and Moldowan, 1993, Peters and Cassa, 1994</w:t>
      </w:r>
      <w:r w:rsidR="00B93263" w:rsidRPr="00D65902">
        <w:rPr>
          <w:rFonts w:ascii="Times New Roman" w:hAnsi="Times New Roman" w:cs="Times New Roman"/>
          <w:sz w:val="24"/>
          <w:szCs w:val="24"/>
          <w:lang w:eastAsia="bg-BG"/>
        </w:rPr>
        <w:t xml:space="preserve">; </w:t>
      </w:r>
      <w:r w:rsidR="004832C9" w:rsidRPr="00D65902">
        <w:rPr>
          <w:rFonts w:ascii="Times New Roman" w:hAnsi="Times New Roman" w:cs="Times New Roman"/>
          <w:sz w:val="24"/>
          <w:szCs w:val="24"/>
          <w:lang w:eastAsia="bg-BG"/>
        </w:rPr>
        <w:t>Баженова и др., 2000;)</w:t>
      </w:r>
      <w:r w:rsidRPr="00D65902">
        <w:rPr>
          <w:rFonts w:ascii="Times New Roman" w:hAnsi="Times New Roman" w:cs="Times New Roman"/>
          <w:sz w:val="24"/>
          <w:szCs w:val="24"/>
          <w:lang w:eastAsia="bg-BG"/>
        </w:rPr>
        <w:t>.</w:t>
      </w:r>
      <w:r w:rsidR="00531C56" w:rsidRPr="00D65902">
        <w:rPr>
          <w:rFonts w:ascii="Times New Roman" w:hAnsi="Times New Roman" w:cs="Times New Roman"/>
          <w:sz w:val="24"/>
          <w:szCs w:val="24"/>
          <w:lang w:eastAsia="bg-BG"/>
        </w:rPr>
        <w:t xml:space="preserve"> Те </w:t>
      </w:r>
      <w:r w:rsidR="00BC436B" w:rsidRPr="00D65902">
        <w:rPr>
          <w:rFonts w:ascii="Times New Roman" w:hAnsi="Times New Roman" w:cs="Times New Roman"/>
          <w:sz w:val="24"/>
          <w:szCs w:val="24"/>
          <w:lang w:eastAsia="bg-BG"/>
        </w:rPr>
        <w:t>се основават на изучаване геохимичните условия на натрупване и преобразуване на „</w:t>
      </w:r>
      <w:r w:rsidR="00BC436B" w:rsidRPr="00552D80">
        <w:rPr>
          <w:rFonts w:ascii="Times New Roman" w:hAnsi="Times New Roman" w:cs="Times New Roman"/>
          <w:sz w:val="24"/>
          <w:szCs w:val="24"/>
          <w:u w:val="single"/>
          <w:lang w:eastAsia="bg-BG"/>
        </w:rPr>
        <w:t>Р</w:t>
      </w:r>
      <w:r w:rsidR="00BC436B" w:rsidRPr="00D65902">
        <w:rPr>
          <w:rFonts w:ascii="Times New Roman" w:hAnsi="Times New Roman" w:cs="Times New Roman"/>
          <w:sz w:val="24"/>
          <w:szCs w:val="24"/>
          <w:lang w:eastAsia="bg-BG"/>
        </w:rPr>
        <w:t xml:space="preserve">азсеяното </w:t>
      </w:r>
      <w:r w:rsidR="00BC436B" w:rsidRPr="00552D80">
        <w:rPr>
          <w:rFonts w:ascii="Times New Roman" w:hAnsi="Times New Roman" w:cs="Times New Roman"/>
          <w:sz w:val="24"/>
          <w:szCs w:val="24"/>
          <w:u w:val="single"/>
          <w:lang w:eastAsia="bg-BG"/>
        </w:rPr>
        <w:t>О</w:t>
      </w:r>
      <w:r w:rsidR="00BC436B" w:rsidRPr="00D65902">
        <w:rPr>
          <w:rFonts w:ascii="Times New Roman" w:hAnsi="Times New Roman" w:cs="Times New Roman"/>
          <w:sz w:val="24"/>
          <w:szCs w:val="24"/>
          <w:lang w:eastAsia="bg-BG"/>
        </w:rPr>
        <w:t xml:space="preserve">рганично </w:t>
      </w:r>
      <w:r w:rsidR="00BC436B" w:rsidRPr="00552D80">
        <w:rPr>
          <w:rFonts w:ascii="Times New Roman" w:hAnsi="Times New Roman" w:cs="Times New Roman"/>
          <w:sz w:val="24"/>
          <w:szCs w:val="24"/>
          <w:u w:val="single"/>
          <w:lang w:eastAsia="bg-BG"/>
        </w:rPr>
        <w:t>В</w:t>
      </w:r>
      <w:r w:rsidR="00BC436B" w:rsidRPr="00D65902">
        <w:rPr>
          <w:rFonts w:ascii="Times New Roman" w:hAnsi="Times New Roman" w:cs="Times New Roman"/>
          <w:sz w:val="24"/>
          <w:szCs w:val="24"/>
          <w:lang w:eastAsia="bg-BG"/>
        </w:rPr>
        <w:t>ещество” (РОВ) в седиментните скали, определяне на неговия състав, генетичен тип и степен на катагенна преобразуваност, както и установяване на генетичната връзка на ВВ с изходното РОВ в седиментите</w:t>
      </w:r>
      <w:r w:rsidR="004832C9" w:rsidRPr="00D65902">
        <w:rPr>
          <w:rFonts w:ascii="Times New Roman" w:hAnsi="Times New Roman" w:cs="Times New Roman"/>
          <w:sz w:val="24"/>
          <w:szCs w:val="24"/>
          <w:lang w:eastAsia="bg-BG"/>
        </w:rPr>
        <w:t xml:space="preserve"> (</w:t>
      </w:r>
      <w:r w:rsidR="009F3F8E" w:rsidRPr="00D65902">
        <w:rPr>
          <w:rFonts w:ascii="Times New Roman" w:hAnsi="Times New Roman" w:cs="Times New Roman"/>
          <w:sz w:val="24"/>
          <w:szCs w:val="24"/>
          <w:lang w:eastAsia="bg-BG"/>
        </w:rPr>
        <w:t xml:space="preserve">Вассоевич, 1986; </w:t>
      </w:r>
      <w:r w:rsidR="004832C9" w:rsidRPr="00D65902">
        <w:rPr>
          <w:rFonts w:ascii="Times New Roman" w:hAnsi="Times New Roman" w:cs="Times New Roman"/>
          <w:sz w:val="24"/>
          <w:szCs w:val="24"/>
          <w:lang w:eastAsia="bg-BG"/>
        </w:rPr>
        <w:t>Баженова и др., 2000</w:t>
      </w:r>
      <w:r w:rsidR="00B93263" w:rsidRPr="00D65902">
        <w:rPr>
          <w:rFonts w:ascii="Times New Roman" w:hAnsi="Times New Roman" w:cs="Times New Roman"/>
          <w:sz w:val="24"/>
          <w:szCs w:val="24"/>
          <w:lang w:eastAsia="bg-BG"/>
        </w:rPr>
        <w:t>; Baudin et al., 2007</w:t>
      </w:r>
      <w:r w:rsidR="004832C9" w:rsidRPr="00D65902">
        <w:rPr>
          <w:rFonts w:ascii="Times New Roman" w:hAnsi="Times New Roman" w:cs="Times New Roman"/>
          <w:sz w:val="24"/>
          <w:szCs w:val="24"/>
          <w:lang w:eastAsia="bg-BG"/>
        </w:rPr>
        <w:t>)</w:t>
      </w:r>
      <w:r w:rsidR="00BC436B" w:rsidRPr="00D65902">
        <w:rPr>
          <w:rFonts w:ascii="Times New Roman" w:hAnsi="Times New Roman" w:cs="Times New Roman"/>
          <w:sz w:val="24"/>
          <w:szCs w:val="24"/>
          <w:lang w:eastAsia="bg-BG"/>
        </w:rPr>
        <w:t xml:space="preserve">. </w:t>
      </w:r>
    </w:p>
    <w:p w14:paraId="7CEFA4BD" w14:textId="6B0A74BD" w:rsidR="00BC436B" w:rsidRPr="00A1696A" w:rsidRDefault="00BC436B"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За дефиниране на скали</w:t>
      </w:r>
      <w:r w:rsidR="007E2EC8" w:rsidRPr="00A1696A">
        <w:rPr>
          <w:rFonts w:ascii="Times New Roman" w:hAnsi="Times New Roman" w:cs="Times New Roman"/>
          <w:sz w:val="24"/>
          <w:szCs w:val="24"/>
        </w:rPr>
        <w:t>те</w:t>
      </w:r>
      <w:r w:rsidRPr="00A1696A">
        <w:rPr>
          <w:rFonts w:ascii="Times New Roman" w:hAnsi="Times New Roman" w:cs="Times New Roman"/>
          <w:sz w:val="24"/>
          <w:szCs w:val="24"/>
        </w:rPr>
        <w:t xml:space="preserve"> като нефтогазомайчини (нефтогазообразуващи) е необходимо</w:t>
      </w:r>
      <w:r w:rsidR="008F3D2C" w:rsidRPr="00A1696A">
        <w:rPr>
          <w:rFonts w:ascii="Times New Roman" w:hAnsi="Times New Roman" w:cs="Times New Roman"/>
          <w:sz w:val="24"/>
          <w:szCs w:val="24"/>
        </w:rPr>
        <w:t xml:space="preserve"> </w:t>
      </w:r>
      <w:r w:rsidR="00AC0865" w:rsidRPr="00A1696A">
        <w:rPr>
          <w:rFonts w:ascii="Times New Roman" w:hAnsi="Times New Roman" w:cs="Times New Roman"/>
          <w:sz w:val="24"/>
          <w:szCs w:val="24"/>
        </w:rPr>
        <w:t xml:space="preserve">да се оцени </w:t>
      </w:r>
      <w:r w:rsidR="008F3D2C" w:rsidRPr="00A1696A">
        <w:rPr>
          <w:rFonts w:ascii="Times New Roman" w:hAnsi="Times New Roman" w:cs="Times New Roman"/>
          <w:sz w:val="24"/>
          <w:szCs w:val="24"/>
        </w:rPr>
        <w:t>(Тиссо и Вельте, 1981)</w:t>
      </w:r>
      <w:r w:rsidRPr="00A1696A">
        <w:rPr>
          <w:rFonts w:ascii="Times New Roman" w:hAnsi="Times New Roman" w:cs="Times New Roman"/>
          <w:sz w:val="24"/>
          <w:szCs w:val="24"/>
        </w:rPr>
        <w:t>:</w:t>
      </w:r>
    </w:p>
    <w:p w14:paraId="108FDA47" w14:textId="22611882" w:rsidR="00BC436B" w:rsidRPr="00A1696A" w:rsidRDefault="00AC0865" w:rsidP="001D3ADD">
      <w:pPr>
        <w:numPr>
          <w:ilvl w:val="0"/>
          <w:numId w:val="3"/>
        </w:numPr>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Количествено с</w:t>
      </w:r>
      <w:r w:rsidR="00BC436B" w:rsidRPr="00A1696A">
        <w:rPr>
          <w:rFonts w:ascii="Times New Roman" w:hAnsi="Times New Roman" w:cs="Times New Roman"/>
          <w:sz w:val="24"/>
          <w:szCs w:val="24"/>
        </w:rPr>
        <w:t xml:space="preserve">ъдържание на </w:t>
      </w:r>
      <w:r w:rsidR="00BC436B" w:rsidRPr="00A1696A">
        <w:rPr>
          <w:rFonts w:ascii="Times New Roman" w:hAnsi="Times New Roman" w:cs="Times New Roman"/>
          <w:sz w:val="24"/>
          <w:szCs w:val="24"/>
          <w:u w:val="single"/>
        </w:rPr>
        <w:t>о</w:t>
      </w:r>
      <w:r w:rsidR="00BC436B" w:rsidRPr="00A1696A">
        <w:rPr>
          <w:rFonts w:ascii="Times New Roman" w:hAnsi="Times New Roman" w:cs="Times New Roman"/>
          <w:sz w:val="24"/>
          <w:szCs w:val="24"/>
        </w:rPr>
        <w:t xml:space="preserve">рганично </w:t>
      </w:r>
      <w:r w:rsidR="00BC436B" w:rsidRPr="00A1696A">
        <w:rPr>
          <w:rFonts w:ascii="Times New Roman" w:hAnsi="Times New Roman" w:cs="Times New Roman"/>
          <w:sz w:val="24"/>
          <w:szCs w:val="24"/>
          <w:u w:val="single"/>
        </w:rPr>
        <w:t>в</w:t>
      </w:r>
      <w:r w:rsidR="00BC436B" w:rsidRPr="00A1696A">
        <w:rPr>
          <w:rFonts w:ascii="Times New Roman" w:hAnsi="Times New Roman" w:cs="Times New Roman"/>
          <w:sz w:val="24"/>
          <w:szCs w:val="24"/>
        </w:rPr>
        <w:t>ещество (ОВ);</w:t>
      </w:r>
    </w:p>
    <w:p w14:paraId="79B593C1" w14:textId="0FC55615" w:rsidR="00BC436B" w:rsidRPr="00A1696A" w:rsidRDefault="00AC0865" w:rsidP="001D3ADD">
      <w:pPr>
        <w:numPr>
          <w:ilvl w:val="0"/>
          <w:numId w:val="3"/>
        </w:numPr>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 xml:space="preserve">Тип на </w:t>
      </w:r>
      <w:r w:rsidR="00BC436B" w:rsidRPr="00A1696A">
        <w:rPr>
          <w:rFonts w:ascii="Times New Roman" w:hAnsi="Times New Roman" w:cs="Times New Roman"/>
          <w:sz w:val="24"/>
          <w:szCs w:val="24"/>
        </w:rPr>
        <w:t>ОВ</w:t>
      </w:r>
      <w:r w:rsidRPr="00A1696A">
        <w:rPr>
          <w:rFonts w:ascii="Times New Roman" w:hAnsi="Times New Roman" w:cs="Times New Roman"/>
          <w:sz w:val="24"/>
          <w:szCs w:val="24"/>
        </w:rPr>
        <w:t>/</w:t>
      </w:r>
      <w:r w:rsidR="00BC436B" w:rsidRPr="00A1696A">
        <w:rPr>
          <w:rFonts w:ascii="Times New Roman" w:hAnsi="Times New Roman" w:cs="Times New Roman"/>
          <w:sz w:val="24"/>
          <w:szCs w:val="24"/>
        </w:rPr>
        <w:t>генетичен потенциал</w:t>
      </w:r>
      <w:r w:rsidRPr="00A1696A">
        <w:rPr>
          <w:rFonts w:ascii="Times New Roman" w:hAnsi="Times New Roman" w:cs="Times New Roman"/>
          <w:sz w:val="24"/>
          <w:szCs w:val="24"/>
        </w:rPr>
        <w:t xml:space="preserve"> на ОВ</w:t>
      </w:r>
      <w:r w:rsidR="00BC436B" w:rsidRPr="00A1696A">
        <w:rPr>
          <w:rFonts w:ascii="Times New Roman" w:hAnsi="Times New Roman" w:cs="Times New Roman"/>
          <w:sz w:val="24"/>
          <w:szCs w:val="24"/>
        </w:rPr>
        <w:t>;</w:t>
      </w:r>
    </w:p>
    <w:p w14:paraId="45F25BA2" w14:textId="1F675545" w:rsidR="00BC436B" w:rsidRPr="00A1696A" w:rsidRDefault="00AC0865" w:rsidP="001D3ADD">
      <w:pPr>
        <w:numPr>
          <w:ilvl w:val="0"/>
          <w:numId w:val="3"/>
        </w:numPr>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С</w:t>
      </w:r>
      <w:r w:rsidR="00BC436B" w:rsidRPr="00A1696A">
        <w:rPr>
          <w:rFonts w:ascii="Times New Roman" w:hAnsi="Times New Roman" w:cs="Times New Roman"/>
          <w:sz w:val="24"/>
          <w:szCs w:val="24"/>
        </w:rPr>
        <w:t>тепен на зрялост или преобразуваност</w:t>
      </w:r>
      <w:r w:rsidRPr="00A1696A">
        <w:rPr>
          <w:rFonts w:ascii="Times New Roman" w:hAnsi="Times New Roman" w:cs="Times New Roman"/>
          <w:sz w:val="24"/>
          <w:szCs w:val="24"/>
        </w:rPr>
        <w:t xml:space="preserve"> на ОВ</w:t>
      </w:r>
      <w:r w:rsidR="00BC436B" w:rsidRPr="00A1696A">
        <w:rPr>
          <w:rFonts w:ascii="Times New Roman" w:hAnsi="Times New Roman" w:cs="Times New Roman"/>
          <w:sz w:val="24"/>
          <w:szCs w:val="24"/>
        </w:rPr>
        <w:t>.</w:t>
      </w:r>
    </w:p>
    <w:p w14:paraId="14161821" w14:textId="7D434E99" w:rsidR="00BC436B" w:rsidRPr="00A1696A" w:rsidRDefault="00BC436B" w:rsidP="006B6EBF">
      <w:pPr>
        <w:spacing w:after="0" w:line="240" w:lineRule="auto"/>
        <w:jc w:val="both"/>
        <w:rPr>
          <w:rFonts w:ascii="Times New Roman" w:hAnsi="Times New Roman" w:cs="Times New Roman"/>
          <w:sz w:val="24"/>
          <w:szCs w:val="24"/>
        </w:rPr>
      </w:pPr>
    </w:p>
    <w:p w14:paraId="011CCFA2" w14:textId="6B2798A0" w:rsidR="00EB1D27" w:rsidRPr="00A1696A" w:rsidRDefault="00EB1D27" w:rsidP="006B6EBF">
      <w:pPr>
        <w:pStyle w:val="Style1"/>
        <w:ind w:left="0" w:firstLine="709"/>
        <w:jc w:val="both"/>
        <w:rPr>
          <w:lang w:val="bg-BG"/>
        </w:rPr>
      </w:pPr>
      <w:bookmarkStart w:id="51" w:name="_Toc7820638"/>
      <w:r w:rsidRPr="00A1696A">
        <w:rPr>
          <w:lang w:val="bg-BG"/>
        </w:rPr>
        <w:t>Глава 3. Методика на изследователските работи</w:t>
      </w:r>
      <w:bookmarkEnd w:id="51"/>
      <w:r w:rsidR="000102FA" w:rsidRPr="00A1696A">
        <w:rPr>
          <w:lang w:val="bg-BG"/>
        </w:rPr>
        <w:t xml:space="preserve"> </w:t>
      </w:r>
    </w:p>
    <w:p w14:paraId="446D874D" w14:textId="149E9EA9" w:rsidR="0016583A" w:rsidRPr="00A1696A" w:rsidRDefault="00EB1D27" w:rsidP="006B6EBF">
      <w:pPr>
        <w:pStyle w:val="NormalWeb"/>
        <w:spacing w:before="0" w:beforeAutospacing="0" w:after="0" w:afterAutospacing="0"/>
        <w:ind w:firstLine="709"/>
        <w:jc w:val="both"/>
      </w:pPr>
      <w:r w:rsidRPr="00A1696A">
        <w:t>Решаването на поставените цели и задачи в дисертационния труд е извършено</w:t>
      </w:r>
      <w:r w:rsidR="00A008C5">
        <w:t>,</w:t>
      </w:r>
      <w:r w:rsidRPr="00A1696A">
        <w:t xml:space="preserve"> </w:t>
      </w:r>
      <w:r w:rsidR="00C92C2A" w:rsidRPr="00A1696A">
        <w:t xml:space="preserve">както </w:t>
      </w:r>
      <w:r w:rsidR="000A0A9A" w:rsidRPr="00A1696A">
        <w:t>въз основа</w:t>
      </w:r>
      <w:r w:rsidRPr="00A1696A">
        <w:t xml:space="preserve"> на данните от съществуваща геолого-геофизична информация за изследвания район и около него</w:t>
      </w:r>
      <w:r w:rsidR="00C92C2A" w:rsidRPr="00A1696A">
        <w:t xml:space="preserve">, </w:t>
      </w:r>
      <w:r w:rsidR="007E2EC8" w:rsidRPr="00A1696A">
        <w:t>така и в резултат от проведените работи, заложени в плана на докторантурата</w:t>
      </w:r>
      <w:r w:rsidR="0016583A" w:rsidRPr="00A1696A">
        <w:t>.</w:t>
      </w:r>
      <w:r w:rsidRPr="00A1696A">
        <w:t xml:space="preserve"> </w:t>
      </w:r>
    </w:p>
    <w:p w14:paraId="065AF0B0" w14:textId="2CF469F6" w:rsidR="00D65902" w:rsidRPr="00D65902" w:rsidRDefault="0016583A" w:rsidP="00D65902">
      <w:pPr>
        <w:pStyle w:val="Style1"/>
        <w:ind w:left="0" w:firstLine="709"/>
        <w:jc w:val="both"/>
        <w:rPr>
          <w:lang w:val="bg-BG"/>
        </w:rPr>
      </w:pPr>
      <w:bookmarkStart w:id="52" w:name="_Toc7820639"/>
      <w:r w:rsidRPr="00D65902">
        <w:rPr>
          <w:lang w:val="bg-BG"/>
        </w:rPr>
        <w:t>3.1. Теренни изследвания</w:t>
      </w:r>
      <w:bookmarkEnd w:id="52"/>
    </w:p>
    <w:p w14:paraId="701A40CD" w14:textId="791A7081" w:rsidR="0016583A" w:rsidRPr="00A1696A" w:rsidRDefault="00EB1D27" w:rsidP="006B6EBF">
      <w:pPr>
        <w:pStyle w:val="NormalWeb"/>
        <w:spacing w:before="0" w:beforeAutospacing="0" w:after="0" w:afterAutospacing="0"/>
        <w:ind w:firstLine="709"/>
        <w:jc w:val="both"/>
      </w:pPr>
      <w:r w:rsidRPr="00A1696A">
        <w:t>За по</w:t>
      </w:r>
      <w:r w:rsidR="00524232" w:rsidRPr="00A1696A">
        <w:t>-</w:t>
      </w:r>
      <w:r w:rsidRPr="00A1696A">
        <w:t xml:space="preserve">коректно анализиране на </w:t>
      </w:r>
      <w:r w:rsidR="001E26C0" w:rsidRPr="00A1696A">
        <w:t>геоложките</w:t>
      </w:r>
      <w:r w:rsidRPr="00A1696A">
        <w:t xml:space="preserve"> особености в изучавания район, са </w:t>
      </w:r>
      <w:r w:rsidRPr="00103EDE">
        <w:t>извършени теренни</w:t>
      </w:r>
      <w:r w:rsidR="006033E2" w:rsidRPr="00103EDE">
        <w:t xml:space="preserve"> наблюдения</w:t>
      </w:r>
      <w:r w:rsidRPr="00103EDE">
        <w:t>, с цел</w:t>
      </w:r>
      <w:r w:rsidRPr="00A1696A">
        <w:t xml:space="preserve"> площно изследване на разкриващите се на земната повърхност литостратиграфски единици и тектонски нарушения. Тези изследвания допълниха възгледите при </w:t>
      </w:r>
      <w:r w:rsidR="0016583A" w:rsidRPr="00A1696A">
        <w:t xml:space="preserve">геоложката интерпретация и </w:t>
      </w:r>
      <w:r w:rsidRPr="00A1696A">
        <w:t>детайлния анализ на басейновото пространство на района на изследване.</w:t>
      </w:r>
    </w:p>
    <w:p w14:paraId="7155869F" w14:textId="6E4FD63D" w:rsidR="00D65902" w:rsidRPr="00D65902" w:rsidRDefault="0016583A" w:rsidP="00D65902">
      <w:pPr>
        <w:pStyle w:val="Style1"/>
        <w:ind w:left="0" w:firstLine="709"/>
        <w:jc w:val="both"/>
        <w:rPr>
          <w:lang w:val="bg-BG"/>
        </w:rPr>
      </w:pPr>
      <w:bookmarkStart w:id="53" w:name="_Toc7820640"/>
      <w:r w:rsidRPr="00D65902">
        <w:rPr>
          <w:lang w:val="bg-BG"/>
        </w:rPr>
        <w:lastRenderedPageBreak/>
        <w:t>3.2. Лабораторни изследвания</w:t>
      </w:r>
      <w:bookmarkEnd w:id="53"/>
    </w:p>
    <w:p w14:paraId="031565E5" w14:textId="07DAD4BB" w:rsidR="00EB1D27" w:rsidRPr="00A1696A" w:rsidRDefault="008E58C4" w:rsidP="006B6EBF">
      <w:pPr>
        <w:pStyle w:val="NormalWeb"/>
        <w:spacing w:before="0" w:beforeAutospacing="0" w:after="0" w:afterAutospacing="0"/>
        <w:ind w:firstLine="709"/>
        <w:jc w:val="both"/>
      </w:pPr>
      <w:r w:rsidRPr="00A1696A">
        <w:t>З</w:t>
      </w:r>
      <w:r w:rsidR="00EB1D27" w:rsidRPr="00A1696A">
        <w:t>а оценка на потенциалните нефтогазогенериращи комплекси от седимент</w:t>
      </w:r>
      <w:r w:rsidR="00552D80">
        <w:t>н</w:t>
      </w:r>
      <w:r w:rsidR="00EB1D27" w:rsidRPr="00A1696A">
        <w:t>ия разрез</w:t>
      </w:r>
      <w:r w:rsidR="00103EDE">
        <w:t>,</w:t>
      </w:r>
      <w:r w:rsidR="00EB1D27" w:rsidRPr="00A1696A">
        <w:t xml:space="preserve"> в района на изследване, са използвани два съвременни геохимични метода, резултатите от които са съпоставени за целите на настоящата дисертационна работа.</w:t>
      </w:r>
    </w:p>
    <w:p w14:paraId="616BD514" w14:textId="3DC2C99C" w:rsidR="00EB1D27" w:rsidRPr="00A1696A" w:rsidRDefault="00A97C36" w:rsidP="001D3ADD">
      <w:pPr>
        <w:numPr>
          <w:ilvl w:val="0"/>
          <w:numId w:val="11"/>
        </w:numPr>
        <w:autoSpaceDE w:val="0"/>
        <w:autoSpaceDN w:val="0"/>
        <w:adjustRightInd w:val="0"/>
        <w:spacing w:after="0" w:line="240" w:lineRule="auto"/>
        <w:jc w:val="both"/>
        <w:rPr>
          <w:rFonts w:ascii="Times New Roman" w:hAnsi="Times New Roman" w:cs="Times New Roman"/>
          <w:b/>
          <w:i/>
          <w:sz w:val="24"/>
          <w:szCs w:val="24"/>
          <w:lang w:eastAsia="bg-BG"/>
        </w:rPr>
      </w:pPr>
      <w:r w:rsidRPr="00A1696A">
        <w:rPr>
          <w:rFonts w:ascii="Times New Roman" w:hAnsi="Times New Roman" w:cs="Times New Roman"/>
          <w:b/>
          <w:i/>
          <w:sz w:val="24"/>
          <w:szCs w:val="24"/>
        </w:rPr>
        <w:t xml:space="preserve">метод </w:t>
      </w:r>
      <w:r w:rsidR="00EB1D27" w:rsidRPr="00A1696A">
        <w:rPr>
          <w:rFonts w:ascii="Times New Roman" w:hAnsi="Times New Roman" w:cs="Times New Roman"/>
          <w:b/>
          <w:i/>
          <w:sz w:val="24"/>
          <w:szCs w:val="24"/>
        </w:rPr>
        <w:t>RockEval</w:t>
      </w:r>
      <w:r w:rsidR="00103EDE">
        <w:rPr>
          <w:rFonts w:ascii="Times New Roman" w:hAnsi="Times New Roman" w:cs="Times New Roman"/>
          <w:b/>
          <w:i/>
          <w:sz w:val="24"/>
          <w:szCs w:val="24"/>
        </w:rPr>
        <w:t xml:space="preserve"> пиролиза</w:t>
      </w:r>
      <w:r w:rsidR="00EB1D27" w:rsidRPr="00A1696A">
        <w:rPr>
          <w:rFonts w:ascii="Times New Roman" w:hAnsi="Times New Roman" w:cs="Times New Roman"/>
          <w:b/>
          <w:i/>
          <w:sz w:val="24"/>
          <w:szCs w:val="24"/>
        </w:rPr>
        <w:t xml:space="preserve"> </w:t>
      </w:r>
      <w:r w:rsidR="0016583A" w:rsidRPr="00A1696A">
        <w:rPr>
          <w:rFonts w:ascii="Times New Roman" w:hAnsi="Times New Roman" w:cs="Times New Roman"/>
          <w:b/>
          <w:i/>
          <w:sz w:val="24"/>
          <w:szCs w:val="24"/>
          <w:lang w:eastAsia="bg-BG"/>
        </w:rPr>
        <w:t xml:space="preserve">- </w:t>
      </w:r>
      <w:r w:rsidR="0016583A" w:rsidRPr="00A1696A">
        <w:rPr>
          <w:rFonts w:ascii="Times New Roman" w:hAnsi="Times New Roman" w:cs="Times New Roman"/>
          <w:sz w:val="24"/>
          <w:szCs w:val="24"/>
          <w:lang w:eastAsia="bg-BG"/>
        </w:rPr>
        <w:t>О</w:t>
      </w:r>
      <w:r w:rsidR="008A4E02" w:rsidRPr="00A1696A">
        <w:rPr>
          <w:rFonts w:ascii="Times New Roman" w:hAnsi="Times New Roman" w:cs="Times New Roman"/>
          <w:sz w:val="24"/>
          <w:szCs w:val="24"/>
          <w:lang w:eastAsia="bg-BG"/>
        </w:rPr>
        <w:t>съществения посредством RockEval</w:t>
      </w:r>
      <w:r w:rsidR="00660EA1" w:rsidRPr="00A1696A">
        <w:rPr>
          <w:rFonts w:ascii="Times New Roman" w:hAnsi="Times New Roman" w:cs="Times New Roman"/>
          <w:sz w:val="24"/>
          <w:szCs w:val="24"/>
          <w:lang w:eastAsia="bg-BG"/>
        </w:rPr>
        <w:t>6</w:t>
      </w:r>
      <w:r w:rsidR="008A4E02" w:rsidRPr="00A1696A">
        <w:rPr>
          <w:rFonts w:ascii="Times New Roman" w:hAnsi="Times New Roman" w:cs="Times New Roman"/>
          <w:sz w:val="24"/>
          <w:szCs w:val="24"/>
          <w:lang w:eastAsia="bg-BG"/>
        </w:rPr>
        <w:t xml:space="preserve"> пиролизна техника (Espitalié, 1985</w:t>
      </w:r>
      <w:r w:rsidR="00660EA1" w:rsidRPr="00A1696A">
        <w:rPr>
          <w:rFonts w:ascii="Times New Roman" w:hAnsi="Times New Roman" w:cs="Times New Roman"/>
          <w:sz w:val="24"/>
          <w:szCs w:val="24"/>
          <w:lang w:eastAsia="bg-BG"/>
        </w:rPr>
        <w:t xml:space="preserve">, Lafargue </w:t>
      </w:r>
      <w:r w:rsidR="00660EA1" w:rsidRPr="00A1696A">
        <w:rPr>
          <w:rFonts w:ascii="Times New Roman" w:hAnsi="Times New Roman" w:cs="Times New Roman"/>
          <w:i/>
          <w:sz w:val="24"/>
          <w:szCs w:val="24"/>
          <w:lang w:eastAsia="bg-BG"/>
        </w:rPr>
        <w:t>et. al.</w:t>
      </w:r>
      <w:r w:rsidR="00660EA1" w:rsidRPr="00A1696A">
        <w:rPr>
          <w:rFonts w:ascii="Times New Roman" w:hAnsi="Times New Roman" w:cs="Times New Roman"/>
          <w:sz w:val="24"/>
          <w:szCs w:val="24"/>
          <w:lang w:eastAsia="bg-BG"/>
        </w:rPr>
        <w:t>, 1993</w:t>
      </w:r>
      <w:r w:rsidR="00FD216A" w:rsidRPr="00A1696A">
        <w:rPr>
          <w:rFonts w:ascii="Times New Roman" w:hAnsi="Times New Roman" w:cs="Times New Roman"/>
          <w:sz w:val="24"/>
          <w:szCs w:val="24"/>
          <w:lang w:eastAsia="bg-BG"/>
        </w:rPr>
        <w:t>; Sykes and Snowdon, 2002</w:t>
      </w:r>
      <w:r w:rsidR="008A4E02" w:rsidRPr="00A1696A">
        <w:rPr>
          <w:rFonts w:ascii="Times New Roman" w:hAnsi="Times New Roman" w:cs="Times New Roman"/>
          <w:sz w:val="24"/>
          <w:szCs w:val="24"/>
          <w:lang w:eastAsia="bg-BG"/>
        </w:rPr>
        <w:t>)</w:t>
      </w:r>
      <w:r w:rsidR="00660EA1" w:rsidRPr="00A1696A">
        <w:rPr>
          <w:rFonts w:ascii="Times New Roman" w:hAnsi="Times New Roman" w:cs="Times New Roman"/>
          <w:sz w:val="24"/>
          <w:szCs w:val="24"/>
          <w:lang w:eastAsia="bg-BG"/>
        </w:rPr>
        <w:t xml:space="preserve"> метод предостави</w:t>
      </w:r>
      <w:r w:rsidR="00F74D9E" w:rsidRPr="00A1696A">
        <w:rPr>
          <w:rFonts w:ascii="Times New Roman" w:hAnsi="Times New Roman" w:cs="Times New Roman"/>
          <w:sz w:val="24"/>
          <w:szCs w:val="24"/>
          <w:lang w:eastAsia="bg-BG"/>
        </w:rPr>
        <w:t xml:space="preserve"> информация за качеството, типа и термичната зрялост на ОВ </w:t>
      </w:r>
      <w:r w:rsidR="00660EA1" w:rsidRPr="00A1696A">
        <w:rPr>
          <w:rFonts w:ascii="Times New Roman" w:hAnsi="Times New Roman" w:cs="Times New Roman"/>
          <w:sz w:val="24"/>
          <w:szCs w:val="24"/>
          <w:lang w:eastAsia="bg-BG"/>
        </w:rPr>
        <w:t>в изследваните образци</w:t>
      </w:r>
      <w:r w:rsidR="00F74D9E" w:rsidRPr="00A1696A">
        <w:rPr>
          <w:rFonts w:ascii="Times New Roman" w:hAnsi="Times New Roman" w:cs="Times New Roman"/>
          <w:sz w:val="24"/>
          <w:szCs w:val="24"/>
          <w:lang w:eastAsia="bg-BG"/>
        </w:rPr>
        <w:t xml:space="preserve">. </w:t>
      </w:r>
      <w:r w:rsidR="00EB1D27" w:rsidRPr="00A1696A">
        <w:rPr>
          <w:rFonts w:ascii="Times New Roman" w:hAnsi="Times New Roman" w:cs="Times New Roman"/>
          <w:sz w:val="24"/>
          <w:szCs w:val="24"/>
          <w:lang w:eastAsia="bg-BG"/>
        </w:rPr>
        <w:t xml:space="preserve">За целта на изследването са взети представителни скални проби - 27 бр. </w:t>
      </w:r>
      <w:r w:rsidR="00690168" w:rsidRPr="00A1696A">
        <w:rPr>
          <w:rFonts w:ascii="Times New Roman" w:hAnsi="Times New Roman" w:cs="Times New Roman"/>
          <w:sz w:val="24"/>
          <w:szCs w:val="24"/>
          <w:lang w:eastAsia="bg-BG"/>
        </w:rPr>
        <w:t>Единадесет</w:t>
      </w:r>
      <w:r w:rsidR="00EB1D27" w:rsidRPr="00A1696A">
        <w:rPr>
          <w:rFonts w:ascii="Times New Roman" w:hAnsi="Times New Roman" w:cs="Times New Roman"/>
          <w:sz w:val="24"/>
          <w:szCs w:val="24"/>
          <w:lang w:eastAsia="bg-BG"/>
        </w:rPr>
        <w:t xml:space="preserve"> от пробите са взети от съществуващ ядков материал на единствения дълбок сондаж в областта </w:t>
      </w:r>
      <w:r w:rsidR="0003236E" w:rsidRPr="00A1696A">
        <w:rPr>
          <w:rFonts w:ascii="Times New Roman" w:hAnsi="Times New Roman" w:cs="Times New Roman"/>
          <w:sz w:val="24"/>
          <w:szCs w:val="24"/>
          <w:lang w:eastAsia="bg-BG"/>
        </w:rPr>
        <w:t xml:space="preserve">- </w:t>
      </w:r>
      <w:r w:rsidR="00EB1D27" w:rsidRPr="00A1696A">
        <w:rPr>
          <w:rFonts w:ascii="Times New Roman" w:hAnsi="Times New Roman" w:cs="Times New Roman"/>
          <w:sz w:val="24"/>
          <w:szCs w:val="24"/>
          <w:lang w:eastAsia="bg-BG"/>
        </w:rPr>
        <w:t xml:space="preserve">Р-1 Свиленград, а останалите </w:t>
      </w:r>
      <w:r w:rsidR="00690168" w:rsidRPr="00A1696A">
        <w:rPr>
          <w:rFonts w:ascii="Times New Roman" w:hAnsi="Times New Roman" w:cs="Times New Roman"/>
          <w:sz w:val="24"/>
          <w:szCs w:val="24"/>
          <w:lang w:eastAsia="bg-BG"/>
        </w:rPr>
        <w:t>16</w:t>
      </w:r>
      <w:r w:rsidR="00EB1D27" w:rsidRPr="00A1696A">
        <w:rPr>
          <w:rFonts w:ascii="Times New Roman" w:hAnsi="Times New Roman" w:cs="Times New Roman"/>
          <w:sz w:val="24"/>
          <w:szCs w:val="24"/>
          <w:lang w:eastAsia="bg-BG"/>
        </w:rPr>
        <w:t xml:space="preserve"> образеца са от разкрития от интервали, които са набелязани за потенциално нефтогазомайчини скали</w:t>
      </w:r>
      <w:r w:rsidR="0016583A" w:rsidRPr="00A1696A">
        <w:rPr>
          <w:rFonts w:ascii="Times New Roman" w:hAnsi="Times New Roman" w:cs="Times New Roman"/>
          <w:sz w:val="24"/>
          <w:szCs w:val="24"/>
          <w:lang w:eastAsia="bg-BG"/>
        </w:rPr>
        <w:t xml:space="preserve"> (фиг.</w:t>
      </w:r>
      <w:r w:rsidR="009412EC" w:rsidRPr="00A1696A">
        <w:rPr>
          <w:rFonts w:ascii="Times New Roman" w:hAnsi="Times New Roman" w:cs="Times New Roman"/>
          <w:sz w:val="24"/>
          <w:szCs w:val="24"/>
          <w:lang w:eastAsia="bg-BG"/>
        </w:rPr>
        <w:t>4</w:t>
      </w:r>
      <w:r w:rsidR="0016583A" w:rsidRPr="00A1696A">
        <w:rPr>
          <w:rFonts w:ascii="Times New Roman" w:hAnsi="Times New Roman" w:cs="Times New Roman"/>
          <w:sz w:val="24"/>
          <w:szCs w:val="24"/>
          <w:lang w:eastAsia="bg-BG"/>
        </w:rPr>
        <w:t>)</w:t>
      </w:r>
      <w:r w:rsidR="00EB1D27" w:rsidRPr="00A1696A">
        <w:rPr>
          <w:rFonts w:ascii="Times New Roman" w:hAnsi="Times New Roman" w:cs="Times New Roman"/>
          <w:sz w:val="24"/>
          <w:szCs w:val="24"/>
          <w:lang w:eastAsia="bg-BG"/>
        </w:rPr>
        <w:t>.</w:t>
      </w:r>
    </w:p>
    <w:p w14:paraId="0B72CA5E" w14:textId="4A34C89C" w:rsidR="0016583A" w:rsidRPr="00A1696A" w:rsidRDefault="0016583A" w:rsidP="001D3ADD">
      <w:pPr>
        <w:numPr>
          <w:ilvl w:val="0"/>
          <w:numId w:val="11"/>
        </w:numPr>
        <w:autoSpaceDE w:val="0"/>
        <w:autoSpaceDN w:val="0"/>
        <w:adjustRightInd w:val="0"/>
        <w:spacing w:after="0" w:line="240" w:lineRule="auto"/>
        <w:jc w:val="both"/>
        <w:rPr>
          <w:rFonts w:ascii="Times New Roman" w:hAnsi="Times New Roman" w:cs="Times New Roman"/>
          <w:b/>
          <w:i/>
          <w:sz w:val="24"/>
          <w:szCs w:val="24"/>
        </w:rPr>
      </w:pPr>
      <w:r w:rsidRPr="00A1696A">
        <w:rPr>
          <w:rFonts w:ascii="Times New Roman" w:hAnsi="Times New Roman" w:cs="Times New Roman"/>
          <w:b/>
          <w:i/>
          <w:sz w:val="24"/>
          <w:szCs w:val="24"/>
        </w:rPr>
        <w:t>метод газхроматография-масспектрометрия</w:t>
      </w:r>
      <w:r w:rsidR="00762F83" w:rsidRPr="00A1696A">
        <w:rPr>
          <w:rFonts w:ascii="Times New Roman" w:hAnsi="Times New Roman" w:cs="Times New Roman"/>
          <w:b/>
          <w:i/>
          <w:sz w:val="24"/>
          <w:szCs w:val="24"/>
        </w:rPr>
        <w:t xml:space="preserve"> (ГХ-МС)</w:t>
      </w:r>
      <w:r w:rsidRPr="00A1696A">
        <w:rPr>
          <w:rFonts w:ascii="Times New Roman" w:hAnsi="Times New Roman" w:cs="Times New Roman"/>
          <w:b/>
          <w:i/>
          <w:sz w:val="24"/>
          <w:szCs w:val="24"/>
        </w:rPr>
        <w:t xml:space="preserve"> - </w:t>
      </w:r>
      <w:r w:rsidRPr="00A1696A">
        <w:rPr>
          <w:rFonts w:ascii="Times New Roman" w:hAnsi="Times New Roman" w:cs="Times New Roman"/>
          <w:sz w:val="24"/>
          <w:szCs w:val="24"/>
        </w:rPr>
        <w:t xml:space="preserve">Чрез съвременния инструментален метод </w:t>
      </w:r>
      <w:r w:rsidR="00762F83" w:rsidRPr="00A1696A">
        <w:rPr>
          <w:rFonts w:ascii="Times New Roman" w:hAnsi="Times New Roman" w:cs="Times New Roman"/>
          <w:sz w:val="24"/>
          <w:szCs w:val="24"/>
        </w:rPr>
        <w:t>ГХ-МС</w:t>
      </w:r>
      <w:r w:rsidRPr="00A1696A">
        <w:rPr>
          <w:rFonts w:ascii="Times New Roman" w:hAnsi="Times New Roman" w:cs="Times New Roman"/>
          <w:sz w:val="24"/>
          <w:szCs w:val="24"/>
        </w:rPr>
        <w:t xml:space="preserve"> са анализирани съставите на индивидуални органични вещества и на сложни многокомпонентни смеси (Philps, 1985; Radke </w:t>
      </w:r>
      <w:r w:rsidRPr="00A1696A">
        <w:rPr>
          <w:rFonts w:ascii="Times New Roman" w:hAnsi="Times New Roman" w:cs="Times New Roman"/>
          <w:i/>
          <w:sz w:val="24"/>
          <w:szCs w:val="24"/>
          <w:lang w:eastAsia="bg-BG"/>
        </w:rPr>
        <w:t>et. al.</w:t>
      </w:r>
      <w:r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rPr>
        <w:t xml:space="preserve">1986; Volkman, 1988; Peters and Moldowan, 1993; Connan and Bordenave, 1993; Ficken </w:t>
      </w:r>
      <w:r w:rsidRPr="00A1696A">
        <w:rPr>
          <w:rFonts w:ascii="Times New Roman" w:hAnsi="Times New Roman" w:cs="Times New Roman"/>
          <w:i/>
          <w:sz w:val="24"/>
          <w:szCs w:val="24"/>
          <w:lang w:eastAsia="bg-BG"/>
        </w:rPr>
        <w:t>et. al.</w:t>
      </w:r>
      <w:r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rPr>
        <w:t xml:space="preserve">2000). </w:t>
      </w:r>
      <w:r w:rsidR="006B080C" w:rsidRPr="00A1696A">
        <w:rPr>
          <w:rFonts w:ascii="Times New Roman" w:hAnsi="Times New Roman" w:cs="Times New Roman"/>
          <w:sz w:val="24"/>
          <w:szCs w:val="24"/>
        </w:rPr>
        <w:t>От потенциални генериращи седименти са подбрани 12 бр. образци – 8 от ядкови интервали на сондаж Р-1 Свиленград и 4 от разкрития, които са подготвени и смлени до необходимата фракция (до 0,2 mm) и изследвани в лабораторията по Масспек</w:t>
      </w:r>
      <w:r w:rsidR="00552D80">
        <w:rPr>
          <w:rFonts w:ascii="Times New Roman" w:hAnsi="Times New Roman" w:cs="Times New Roman"/>
          <w:sz w:val="24"/>
          <w:szCs w:val="24"/>
        </w:rPr>
        <w:t>т</w:t>
      </w:r>
      <w:r w:rsidR="006B080C" w:rsidRPr="00A1696A">
        <w:rPr>
          <w:rFonts w:ascii="Times New Roman" w:hAnsi="Times New Roman" w:cs="Times New Roman"/>
          <w:sz w:val="24"/>
          <w:szCs w:val="24"/>
        </w:rPr>
        <w:t xml:space="preserve">рометрия на ИОХЦФ към БАН. </w:t>
      </w:r>
      <w:r w:rsidRPr="00A1696A">
        <w:rPr>
          <w:rFonts w:ascii="Times New Roman" w:hAnsi="Times New Roman" w:cs="Times New Roman"/>
          <w:sz w:val="24"/>
          <w:szCs w:val="24"/>
        </w:rPr>
        <w:t xml:space="preserve"> </w:t>
      </w:r>
    </w:p>
    <w:p w14:paraId="08D3FA7E" w14:textId="186CE269" w:rsidR="007E3134" w:rsidRPr="00A1696A" w:rsidRDefault="007E3134" w:rsidP="007E3134">
      <w:pPr>
        <w:spacing w:after="0" w:line="240" w:lineRule="auto"/>
        <w:jc w:val="center"/>
        <w:rPr>
          <w:rFonts w:ascii="Times New Roman" w:hAnsi="Times New Roman" w:cs="Times New Roman"/>
          <w:sz w:val="24"/>
          <w:szCs w:val="24"/>
        </w:rPr>
      </w:pPr>
      <w:r w:rsidRPr="00A1696A">
        <w:rPr>
          <w:noProof/>
          <w:lang w:eastAsia="bg-BG"/>
        </w:rPr>
        <w:drawing>
          <wp:inline distT="0" distB="0" distL="0" distR="0" wp14:anchorId="24368A5F" wp14:editId="7CC82890">
            <wp:extent cx="5982474" cy="4227341"/>
            <wp:effectExtent l="0" t="0" r="0" b="1905"/>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em.BMP"/>
                    <pic:cNvPicPr/>
                  </pic:nvPicPr>
                  <pic:blipFill rotWithShape="1">
                    <a:blip r:embed="rId15" cstate="print">
                      <a:extLst>
                        <a:ext uri="{28A0092B-C50C-407E-A947-70E740481C1C}">
                          <a14:useLocalDpi xmlns:a14="http://schemas.microsoft.com/office/drawing/2010/main" val="0"/>
                        </a:ext>
                      </a:extLst>
                    </a:blip>
                    <a:srcRect l="1753" t="2911" r="3746" b="2635"/>
                    <a:stretch/>
                  </pic:blipFill>
                  <pic:spPr bwMode="auto">
                    <a:xfrm>
                      <a:off x="0" y="0"/>
                      <a:ext cx="6023875" cy="4256596"/>
                    </a:xfrm>
                    <a:prstGeom prst="rect">
                      <a:avLst/>
                    </a:prstGeom>
                    <a:ln>
                      <a:noFill/>
                    </a:ln>
                    <a:extLst>
                      <a:ext uri="{53640926-AAD7-44D8-BBD7-CCE9431645EC}">
                        <a14:shadowObscured xmlns:a14="http://schemas.microsoft.com/office/drawing/2010/main"/>
                      </a:ext>
                    </a:extLst>
                  </pic:spPr>
                </pic:pic>
              </a:graphicData>
            </a:graphic>
          </wp:inline>
        </w:drawing>
      </w:r>
    </w:p>
    <w:p w14:paraId="784110A1" w14:textId="4FEEDB3F" w:rsidR="00762F83" w:rsidRPr="00A1696A" w:rsidRDefault="00762F83" w:rsidP="007E3134">
      <w:pPr>
        <w:spacing w:after="0" w:line="240" w:lineRule="auto"/>
        <w:jc w:val="center"/>
        <w:rPr>
          <w:rFonts w:ascii="Times New Roman" w:hAnsi="Times New Roman" w:cs="Times New Roman"/>
          <w:i/>
          <w:sz w:val="24"/>
          <w:szCs w:val="24"/>
        </w:rPr>
      </w:pPr>
      <w:bookmarkStart w:id="54" w:name="_Hlk7788549"/>
      <w:r w:rsidRPr="00A1696A">
        <w:rPr>
          <w:rFonts w:ascii="Times New Roman" w:hAnsi="Times New Roman" w:cs="Times New Roman"/>
          <w:i/>
          <w:sz w:val="24"/>
          <w:szCs w:val="24"/>
        </w:rPr>
        <w:t xml:space="preserve">Фиг. 4. Схема с разположение на изследваните образци чрез RockEval и </w:t>
      </w:r>
      <w:r w:rsidR="003C5417" w:rsidRPr="00A1696A">
        <w:rPr>
          <w:rFonts w:ascii="Times New Roman" w:hAnsi="Times New Roman" w:cs="Times New Roman"/>
          <w:i/>
          <w:sz w:val="24"/>
          <w:szCs w:val="24"/>
        </w:rPr>
        <w:t>ГХ-МС</w:t>
      </w:r>
      <w:r w:rsidRPr="00A1696A">
        <w:rPr>
          <w:rFonts w:ascii="Times New Roman" w:hAnsi="Times New Roman" w:cs="Times New Roman"/>
          <w:i/>
          <w:sz w:val="24"/>
          <w:szCs w:val="24"/>
        </w:rPr>
        <w:t xml:space="preserve"> анализи и </w:t>
      </w:r>
      <w:r w:rsidRPr="00A1696A">
        <w:rPr>
          <w:rFonts w:ascii="Times New Roman" w:hAnsi="Times New Roman" w:cs="Times New Roman"/>
          <w:i/>
          <w:sz w:val="24"/>
          <w:szCs w:val="24"/>
          <w:lang w:eastAsia="bg-BG"/>
        </w:rPr>
        <w:t>на сондажите</w:t>
      </w:r>
      <w:r w:rsidR="002420DC" w:rsidRPr="00A1696A">
        <w:rPr>
          <w:rFonts w:ascii="Times New Roman" w:hAnsi="Times New Roman" w:cs="Times New Roman"/>
          <w:i/>
          <w:sz w:val="24"/>
          <w:szCs w:val="24"/>
          <w:lang w:eastAsia="bg-BG"/>
        </w:rPr>
        <w:t xml:space="preserve"> за </w:t>
      </w:r>
      <w:r w:rsidRPr="00A1696A">
        <w:rPr>
          <w:rFonts w:ascii="Times New Roman" w:hAnsi="Times New Roman" w:cs="Times New Roman"/>
          <w:i/>
          <w:sz w:val="24"/>
          <w:szCs w:val="24"/>
          <w:lang w:eastAsia="bg-BG"/>
        </w:rPr>
        <w:t>моделиране/реконструкция на историята на потъване на изследвания район (Р-1 Свиленград и условни сондажи Псевдо Р-1, Псевдо Р-2, Псевдо Р-3)</w:t>
      </w:r>
    </w:p>
    <w:p w14:paraId="2C3843B5" w14:textId="77777777" w:rsidR="00762F83" w:rsidRPr="00A1696A" w:rsidRDefault="00762F83" w:rsidP="00762F83">
      <w:pPr>
        <w:autoSpaceDE w:val="0"/>
        <w:autoSpaceDN w:val="0"/>
        <w:adjustRightInd w:val="0"/>
        <w:spacing w:after="0" w:line="240" w:lineRule="auto"/>
        <w:jc w:val="both"/>
        <w:rPr>
          <w:rFonts w:ascii="Times New Roman" w:hAnsi="Times New Roman" w:cs="Times New Roman"/>
          <w:b/>
          <w:i/>
          <w:sz w:val="24"/>
          <w:szCs w:val="24"/>
        </w:rPr>
      </w:pPr>
    </w:p>
    <w:p w14:paraId="71C1A37A" w14:textId="4AF1A8F7" w:rsidR="00EB1D27" w:rsidRPr="00A1696A" w:rsidRDefault="00EB1D27" w:rsidP="006B6EBF">
      <w:pPr>
        <w:pStyle w:val="Style1"/>
        <w:ind w:left="0" w:firstLine="709"/>
        <w:jc w:val="both"/>
        <w:rPr>
          <w:lang w:val="bg-BG"/>
        </w:rPr>
      </w:pPr>
      <w:bookmarkStart w:id="55" w:name="_Toc7820641"/>
      <w:r w:rsidRPr="00A1696A">
        <w:rPr>
          <w:lang w:val="bg-BG"/>
        </w:rPr>
        <w:t>3.</w:t>
      </w:r>
      <w:r w:rsidR="0016583A" w:rsidRPr="00A1696A">
        <w:rPr>
          <w:lang w:val="bg-BG"/>
        </w:rPr>
        <w:t>3</w:t>
      </w:r>
      <w:r w:rsidRPr="00A1696A">
        <w:rPr>
          <w:lang w:val="bg-BG"/>
        </w:rPr>
        <w:t xml:space="preserve">. Моделни </w:t>
      </w:r>
      <w:r w:rsidR="001642C5" w:rsidRPr="00A1696A">
        <w:rPr>
          <w:lang w:val="bg-BG"/>
        </w:rPr>
        <w:t>изследвания</w:t>
      </w:r>
      <w:bookmarkEnd w:id="55"/>
    </w:p>
    <w:p w14:paraId="58984A1A" w14:textId="44FD04B4" w:rsidR="00553E9E" w:rsidRPr="00103EDE" w:rsidRDefault="001F1466" w:rsidP="00103EDE">
      <w:pPr>
        <w:numPr>
          <w:ilvl w:val="0"/>
          <w:numId w:val="11"/>
        </w:numPr>
        <w:autoSpaceDE w:val="0"/>
        <w:autoSpaceDN w:val="0"/>
        <w:adjustRightInd w:val="0"/>
        <w:spacing w:after="0" w:line="240" w:lineRule="auto"/>
        <w:jc w:val="both"/>
        <w:rPr>
          <w:rFonts w:ascii="Times New Roman" w:hAnsi="Times New Roman" w:cs="Times New Roman"/>
          <w:b/>
          <w:i/>
          <w:sz w:val="24"/>
          <w:szCs w:val="24"/>
        </w:rPr>
      </w:pPr>
      <w:r w:rsidRPr="00A1696A">
        <w:rPr>
          <w:rFonts w:ascii="Times New Roman" w:hAnsi="Times New Roman" w:cs="Times New Roman"/>
          <w:b/>
          <w:i/>
          <w:sz w:val="24"/>
          <w:szCs w:val="24"/>
        </w:rPr>
        <w:t>3D геоложко моделиране</w:t>
      </w:r>
      <w:r w:rsidR="00103EDE">
        <w:rPr>
          <w:rFonts w:ascii="Times New Roman" w:hAnsi="Times New Roman" w:cs="Times New Roman"/>
          <w:b/>
          <w:i/>
          <w:sz w:val="24"/>
          <w:szCs w:val="24"/>
        </w:rPr>
        <w:t xml:space="preserve"> - </w:t>
      </w:r>
      <w:r w:rsidR="000C79C7" w:rsidRPr="00103EDE">
        <w:rPr>
          <w:rFonts w:ascii="Times New Roman" w:hAnsi="Times New Roman" w:cs="Times New Roman"/>
          <w:sz w:val="24"/>
          <w:szCs w:val="24"/>
          <w:lang w:eastAsia="bg-BG"/>
        </w:rPr>
        <w:t>За проследяване на сложните вертикални и латерални пространствени и структурно-тектонски взаимоотношения на седиментни</w:t>
      </w:r>
      <w:r w:rsidR="00103EDE" w:rsidRPr="00103EDE">
        <w:rPr>
          <w:rFonts w:ascii="Times New Roman" w:hAnsi="Times New Roman" w:cs="Times New Roman"/>
          <w:sz w:val="24"/>
          <w:szCs w:val="24"/>
          <w:lang w:eastAsia="bg-BG"/>
        </w:rPr>
        <w:t>те</w:t>
      </w:r>
      <w:r w:rsidR="000C79C7" w:rsidRPr="00103EDE">
        <w:rPr>
          <w:rFonts w:ascii="Times New Roman" w:hAnsi="Times New Roman" w:cs="Times New Roman"/>
          <w:sz w:val="24"/>
          <w:szCs w:val="24"/>
          <w:lang w:eastAsia="bg-BG"/>
        </w:rPr>
        <w:t xml:space="preserve"> скални комплекси от терциерния разрез</w:t>
      </w:r>
      <w:r w:rsidR="009E06AD" w:rsidRPr="00103EDE">
        <w:rPr>
          <w:rFonts w:ascii="Times New Roman" w:hAnsi="Times New Roman" w:cs="Times New Roman"/>
          <w:sz w:val="24"/>
          <w:szCs w:val="24"/>
          <w:lang w:eastAsia="bg-BG"/>
        </w:rPr>
        <w:t>, посредством необходимите компютърни средства за геоложко характеризиране,</w:t>
      </w:r>
      <w:r w:rsidR="000C79C7" w:rsidRPr="00103EDE">
        <w:rPr>
          <w:rFonts w:ascii="Times New Roman" w:hAnsi="Times New Roman" w:cs="Times New Roman"/>
          <w:sz w:val="24"/>
          <w:szCs w:val="24"/>
          <w:lang w:eastAsia="bg-BG"/>
        </w:rPr>
        <w:t xml:space="preserve"> е извършено 3D геоложко моделиране</w:t>
      </w:r>
      <w:r w:rsidR="00553E9E" w:rsidRPr="00103EDE">
        <w:rPr>
          <w:rFonts w:ascii="Times New Roman" w:hAnsi="Times New Roman" w:cs="Times New Roman"/>
          <w:sz w:val="24"/>
          <w:szCs w:val="24"/>
          <w:lang w:eastAsia="bg-BG"/>
        </w:rPr>
        <w:t xml:space="preserve"> като последователност </w:t>
      </w:r>
      <w:r w:rsidR="00553E9E" w:rsidRPr="00103EDE">
        <w:rPr>
          <w:rFonts w:ascii="Times New Roman" w:hAnsi="Times New Roman" w:cs="Times New Roman"/>
          <w:sz w:val="24"/>
          <w:szCs w:val="24"/>
          <w:lang w:eastAsia="bg-BG"/>
        </w:rPr>
        <w:lastRenderedPageBreak/>
        <w:t xml:space="preserve">от дейности по: </w:t>
      </w:r>
      <w:r w:rsidR="000C79C7" w:rsidRPr="00103EDE">
        <w:rPr>
          <w:rFonts w:ascii="Times New Roman" w:hAnsi="Times New Roman" w:cs="Times New Roman"/>
          <w:sz w:val="24"/>
          <w:szCs w:val="24"/>
          <w:lang w:eastAsia="bg-BG"/>
        </w:rPr>
        <w:t xml:space="preserve"> </w:t>
      </w:r>
      <w:r w:rsidR="00553E9E" w:rsidRPr="00103EDE">
        <w:rPr>
          <w:rFonts w:ascii="Times New Roman" w:hAnsi="Times New Roman" w:cs="Times New Roman"/>
          <w:sz w:val="24"/>
          <w:szCs w:val="24"/>
          <w:lang w:eastAsia="bg-BG"/>
        </w:rPr>
        <w:t>Управление на пространствената информация; Геоложка интерпретация на наличните данни</w:t>
      </w:r>
      <w:r w:rsidR="0044618F">
        <w:rPr>
          <w:rFonts w:ascii="Times New Roman" w:hAnsi="Times New Roman" w:cs="Times New Roman"/>
          <w:sz w:val="24"/>
          <w:szCs w:val="24"/>
          <w:lang w:eastAsia="bg-BG"/>
        </w:rPr>
        <w:t xml:space="preserve"> (геоложки, гравиметрични, магнитометрични, сеизмични и сондажни)</w:t>
      </w:r>
      <w:r w:rsidR="00553E9E" w:rsidRPr="00103EDE">
        <w:rPr>
          <w:rFonts w:ascii="Times New Roman" w:hAnsi="Times New Roman" w:cs="Times New Roman"/>
          <w:sz w:val="24"/>
          <w:szCs w:val="24"/>
          <w:lang w:eastAsia="bg-BG"/>
        </w:rPr>
        <w:t>, като комплекс от точки и линии; Създаване на структурна рамка, съдържаща основните повърхнини – разломи, хоризонти, несъгласия, геоложки тела; Създаване на скоростен модел на средата за преобразуване на времевите данни в дълбочинни; Създаване на триизмерна мрежа на основата на структурната рамка, обезпечаваща обемното представяне на хетерогенността на средата, посредством геостатистическа обработка на данните; Ясна и информативна графична визуализация (Houlding, 1994)</w:t>
      </w:r>
      <w:r w:rsidR="00762F83" w:rsidRPr="00103EDE">
        <w:rPr>
          <w:rFonts w:ascii="Times New Roman" w:hAnsi="Times New Roman" w:cs="Times New Roman"/>
          <w:sz w:val="24"/>
          <w:szCs w:val="24"/>
          <w:lang w:eastAsia="bg-BG"/>
        </w:rPr>
        <w:t>.</w:t>
      </w:r>
      <w:r w:rsidR="00553E9E" w:rsidRPr="00103EDE">
        <w:rPr>
          <w:rFonts w:ascii="Times New Roman" w:hAnsi="Times New Roman" w:cs="Times New Roman"/>
          <w:sz w:val="24"/>
          <w:szCs w:val="24"/>
          <w:lang w:eastAsia="bg-BG"/>
        </w:rPr>
        <w:t xml:space="preserve"> </w:t>
      </w:r>
    </w:p>
    <w:p w14:paraId="19840236" w14:textId="7B307E8C" w:rsidR="00C31111" w:rsidRPr="00103EDE" w:rsidRDefault="001F1466" w:rsidP="00103EDE">
      <w:pPr>
        <w:numPr>
          <w:ilvl w:val="0"/>
          <w:numId w:val="11"/>
        </w:numPr>
        <w:autoSpaceDE w:val="0"/>
        <w:autoSpaceDN w:val="0"/>
        <w:adjustRightInd w:val="0"/>
        <w:spacing w:after="0" w:line="240" w:lineRule="auto"/>
        <w:jc w:val="both"/>
        <w:rPr>
          <w:rFonts w:ascii="Times New Roman" w:hAnsi="Times New Roman" w:cs="Times New Roman"/>
          <w:b/>
          <w:i/>
          <w:sz w:val="24"/>
          <w:szCs w:val="24"/>
        </w:rPr>
      </w:pPr>
      <w:r w:rsidRPr="00A1696A">
        <w:rPr>
          <w:rFonts w:ascii="Times New Roman" w:hAnsi="Times New Roman" w:cs="Times New Roman"/>
          <w:b/>
          <w:i/>
          <w:sz w:val="24"/>
          <w:szCs w:val="24"/>
        </w:rPr>
        <w:t>1D петролно-системно моделиране</w:t>
      </w:r>
      <w:r w:rsidR="00103EDE">
        <w:rPr>
          <w:rFonts w:ascii="Times New Roman" w:hAnsi="Times New Roman" w:cs="Times New Roman"/>
          <w:b/>
          <w:i/>
          <w:sz w:val="24"/>
          <w:szCs w:val="24"/>
        </w:rPr>
        <w:t xml:space="preserve"> - </w:t>
      </w:r>
      <w:r w:rsidR="009E06AD" w:rsidRPr="00103EDE">
        <w:rPr>
          <w:rFonts w:ascii="Times New Roman" w:hAnsi="Times New Roman" w:cs="Times New Roman"/>
          <w:sz w:val="24"/>
          <w:szCs w:val="24"/>
          <w:lang w:eastAsia="bg-BG"/>
        </w:rPr>
        <w:t xml:space="preserve">За реконструкция на историята на потъване и геотермичната история на част от изследвания район </w:t>
      </w:r>
      <w:r w:rsidR="00790595" w:rsidRPr="00103EDE">
        <w:rPr>
          <w:rFonts w:ascii="Times New Roman" w:hAnsi="Times New Roman" w:cs="Times New Roman"/>
          <w:sz w:val="24"/>
          <w:szCs w:val="24"/>
          <w:lang w:eastAsia="bg-BG"/>
        </w:rPr>
        <w:t xml:space="preserve">е извършено </w:t>
      </w:r>
      <w:r w:rsidR="009E06AD" w:rsidRPr="00103EDE">
        <w:rPr>
          <w:rFonts w:ascii="Times New Roman" w:hAnsi="Times New Roman" w:cs="Times New Roman"/>
          <w:sz w:val="24"/>
          <w:szCs w:val="24"/>
          <w:lang w:eastAsia="bg-BG"/>
        </w:rPr>
        <w:t xml:space="preserve">едноизмерно (1D) </w:t>
      </w:r>
      <w:r w:rsidR="00790595" w:rsidRPr="00103EDE">
        <w:rPr>
          <w:rFonts w:ascii="Times New Roman" w:hAnsi="Times New Roman" w:cs="Times New Roman"/>
          <w:sz w:val="24"/>
          <w:szCs w:val="24"/>
          <w:lang w:eastAsia="bg-BG"/>
        </w:rPr>
        <w:t>петролно-системно моделиране (</w:t>
      </w:r>
      <w:r w:rsidR="009E06AD" w:rsidRPr="00103EDE">
        <w:rPr>
          <w:rFonts w:ascii="Times New Roman" w:hAnsi="Times New Roman" w:cs="Times New Roman"/>
          <w:sz w:val="24"/>
          <w:szCs w:val="24"/>
          <w:lang w:eastAsia="bg-BG"/>
        </w:rPr>
        <w:t>Sweeney and Burnham, 1990; Pepper and Corvi. 1995a;</w:t>
      </w:r>
      <w:r w:rsidR="009E06AD" w:rsidRPr="00103EDE">
        <w:rPr>
          <w:rFonts w:ascii="Times New Roman" w:hAnsi="Times New Roman" w:cs="Times New Roman"/>
          <w:color w:val="000000"/>
          <w:sz w:val="24"/>
          <w:szCs w:val="24"/>
        </w:rPr>
        <w:t xml:space="preserve"> Hantschel and Kauerauf, 2009</w:t>
      </w:r>
      <w:r w:rsidR="00790595" w:rsidRPr="00103EDE">
        <w:rPr>
          <w:rFonts w:ascii="Times New Roman" w:hAnsi="Times New Roman" w:cs="Times New Roman"/>
          <w:sz w:val="24"/>
          <w:szCs w:val="24"/>
          <w:lang w:eastAsia="bg-BG"/>
        </w:rPr>
        <w:t>)</w:t>
      </w:r>
      <w:r w:rsidR="009E06AD" w:rsidRPr="00103EDE">
        <w:rPr>
          <w:rFonts w:ascii="Times New Roman" w:hAnsi="Times New Roman" w:cs="Times New Roman"/>
          <w:sz w:val="24"/>
          <w:szCs w:val="24"/>
          <w:lang w:eastAsia="bg-BG"/>
        </w:rPr>
        <w:t xml:space="preserve">, като е приложен един от съвременните подходи, ползван в последните години от изследователите в петролното направление (Ботушаров, 2005; Hosgörmez and Yalçın, 2005; Huvaz </w:t>
      </w:r>
      <w:r w:rsidR="009E06AD" w:rsidRPr="00103EDE">
        <w:rPr>
          <w:rFonts w:ascii="Times New Roman" w:hAnsi="Times New Roman" w:cs="Times New Roman"/>
          <w:i/>
          <w:sz w:val="24"/>
          <w:szCs w:val="24"/>
          <w:lang w:eastAsia="bg-BG"/>
        </w:rPr>
        <w:t>et al</w:t>
      </w:r>
      <w:r w:rsidR="009E06AD" w:rsidRPr="00103EDE">
        <w:rPr>
          <w:rFonts w:ascii="Times New Roman" w:hAnsi="Times New Roman" w:cs="Times New Roman"/>
          <w:sz w:val="24"/>
          <w:szCs w:val="24"/>
          <w:lang w:eastAsia="bg-BG"/>
        </w:rPr>
        <w:t xml:space="preserve">, 2007; </w:t>
      </w:r>
      <w:r w:rsidR="00471F2F" w:rsidRPr="00103EDE">
        <w:rPr>
          <w:rFonts w:ascii="Times New Roman" w:hAnsi="Times New Roman" w:cs="Times New Roman"/>
          <w:sz w:val="24"/>
          <w:szCs w:val="24"/>
          <w:lang w:eastAsia="bg-BG"/>
        </w:rPr>
        <w:t xml:space="preserve">Makeen </w:t>
      </w:r>
      <w:r w:rsidR="00471F2F" w:rsidRPr="00103EDE">
        <w:rPr>
          <w:rFonts w:ascii="Times New Roman" w:hAnsi="Times New Roman" w:cs="Times New Roman"/>
          <w:i/>
          <w:sz w:val="24"/>
          <w:szCs w:val="24"/>
          <w:lang w:eastAsia="bg-BG"/>
        </w:rPr>
        <w:t>et al.</w:t>
      </w:r>
      <w:r w:rsidR="00471F2F" w:rsidRPr="00103EDE">
        <w:rPr>
          <w:rFonts w:ascii="Times New Roman" w:hAnsi="Times New Roman" w:cs="Times New Roman"/>
          <w:sz w:val="24"/>
          <w:szCs w:val="24"/>
          <w:lang w:eastAsia="bg-BG"/>
        </w:rPr>
        <w:t xml:space="preserve">, 2016; </w:t>
      </w:r>
      <w:r w:rsidR="009E06AD" w:rsidRPr="00103EDE">
        <w:rPr>
          <w:rFonts w:ascii="Times New Roman" w:hAnsi="Times New Roman" w:cs="Times New Roman"/>
          <w:sz w:val="24"/>
          <w:szCs w:val="24"/>
          <w:lang w:eastAsia="bg-BG"/>
        </w:rPr>
        <w:t xml:space="preserve">Hakimi </w:t>
      </w:r>
      <w:r w:rsidR="009E06AD" w:rsidRPr="00103EDE">
        <w:rPr>
          <w:rFonts w:ascii="Times New Roman" w:hAnsi="Times New Roman" w:cs="Times New Roman"/>
          <w:i/>
          <w:sz w:val="24"/>
          <w:szCs w:val="24"/>
          <w:lang w:eastAsia="bg-BG"/>
        </w:rPr>
        <w:t>et al.</w:t>
      </w:r>
      <w:r w:rsidR="009E06AD" w:rsidRPr="00103EDE">
        <w:rPr>
          <w:rFonts w:ascii="Times New Roman" w:hAnsi="Times New Roman" w:cs="Times New Roman"/>
          <w:sz w:val="24"/>
          <w:szCs w:val="24"/>
          <w:lang w:eastAsia="bg-BG"/>
        </w:rPr>
        <w:t>, 2018)</w:t>
      </w:r>
      <w:r w:rsidR="00471F2F" w:rsidRPr="00103EDE">
        <w:rPr>
          <w:rFonts w:ascii="Times New Roman" w:hAnsi="Times New Roman" w:cs="Times New Roman"/>
          <w:sz w:val="24"/>
          <w:szCs w:val="24"/>
          <w:lang w:eastAsia="bg-BG"/>
        </w:rPr>
        <w:t>.</w:t>
      </w:r>
      <w:r w:rsidR="00762F83" w:rsidRPr="00103EDE">
        <w:rPr>
          <w:rFonts w:ascii="Times New Roman" w:hAnsi="Times New Roman" w:cs="Times New Roman"/>
          <w:sz w:val="24"/>
          <w:szCs w:val="24"/>
          <w:lang w:eastAsia="bg-BG"/>
        </w:rPr>
        <w:t xml:space="preserve"> </w:t>
      </w:r>
      <w:r w:rsidR="00790595" w:rsidRPr="00103EDE">
        <w:rPr>
          <w:rFonts w:ascii="Times New Roman" w:hAnsi="Times New Roman" w:cs="Times New Roman"/>
          <w:sz w:val="24"/>
          <w:szCs w:val="24"/>
          <w:lang w:eastAsia="bg-BG"/>
        </w:rPr>
        <w:t xml:space="preserve">За </w:t>
      </w:r>
      <w:r w:rsidR="00471F2F" w:rsidRPr="00103EDE">
        <w:rPr>
          <w:rFonts w:ascii="Times New Roman" w:hAnsi="Times New Roman" w:cs="Times New Roman"/>
          <w:sz w:val="24"/>
          <w:szCs w:val="24"/>
          <w:lang w:eastAsia="bg-BG"/>
        </w:rPr>
        <w:t>това</w:t>
      </w:r>
      <w:r w:rsidR="00790595" w:rsidRPr="00103EDE">
        <w:rPr>
          <w:rFonts w:ascii="Times New Roman" w:hAnsi="Times New Roman" w:cs="Times New Roman"/>
          <w:sz w:val="24"/>
          <w:szCs w:val="24"/>
          <w:lang w:eastAsia="bg-BG"/>
        </w:rPr>
        <w:t xml:space="preserve"> моделиране са използвани геоложките и геохимичните данни от сондаж</w:t>
      </w:r>
      <w:r w:rsidR="00103EDE">
        <w:rPr>
          <w:rFonts w:ascii="Times New Roman" w:hAnsi="Times New Roman" w:cs="Times New Roman"/>
          <w:sz w:val="24"/>
          <w:szCs w:val="24"/>
          <w:lang w:eastAsia="bg-BG"/>
        </w:rPr>
        <w:t xml:space="preserve"> </w:t>
      </w:r>
      <w:r w:rsidR="00790595" w:rsidRPr="00103EDE">
        <w:rPr>
          <w:rFonts w:ascii="Times New Roman" w:hAnsi="Times New Roman" w:cs="Times New Roman"/>
          <w:sz w:val="24"/>
          <w:szCs w:val="24"/>
          <w:lang w:eastAsia="bg-BG"/>
        </w:rPr>
        <w:t xml:space="preserve">Р-1 Свиленград. Тези данни са интерполирани в няколко участъка на север и на запад от </w:t>
      </w:r>
      <w:r w:rsidR="00103EDE">
        <w:rPr>
          <w:rFonts w:ascii="Times New Roman" w:hAnsi="Times New Roman" w:cs="Times New Roman"/>
          <w:sz w:val="24"/>
          <w:szCs w:val="24"/>
          <w:lang w:eastAsia="bg-BG"/>
        </w:rPr>
        <w:t>сондажа</w:t>
      </w:r>
      <w:r w:rsidR="00790595" w:rsidRPr="00103EDE">
        <w:rPr>
          <w:rFonts w:ascii="Times New Roman" w:hAnsi="Times New Roman" w:cs="Times New Roman"/>
          <w:sz w:val="24"/>
          <w:szCs w:val="24"/>
          <w:lang w:eastAsia="bg-BG"/>
        </w:rPr>
        <w:t>, като са използвани интерпретираните представителни сеизмични разрези и изчислените впоследствие дебелини на литолого-стратиграфските единици в 3D структурния модел. На тази основа са създадени още три 1D модела на реконструкция на условни сондажи</w:t>
      </w:r>
      <w:r w:rsidR="001D282A" w:rsidRPr="00103EDE">
        <w:rPr>
          <w:rFonts w:ascii="Times New Roman" w:hAnsi="Times New Roman" w:cs="Times New Roman"/>
          <w:sz w:val="24"/>
          <w:szCs w:val="24"/>
          <w:lang w:eastAsia="bg-BG"/>
        </w:rPr>
        <w:t>,</w:t>
      </w:r>
      <w:r w:rsidR="00790595" w:rsidRPr="00103EDE">
        <w:rPr>
          <w:rFonts w:ascii="Times New Roman" w:hAnsi="Times New Roman" w:cs="Times New Roman"/>
          <w:sz w:val="24"/>
          <w:szCs w:val="24"/>
          <w:lang w:eastAsia="bg-BG"/>
        </w:rPr>
        <w:t xml:space="preserve"> наречени </w:t>
      </w:r>
      <w:r w:rsidR="001D282A" w:rsidRPr="00103EDE">
        <w:rPr>
          <w:rFonts w:ascii="Times New Roman" w:hAnsi="Times New Roman" w:cs="Times New Roman"/>
          <w:sz w:val="24"/>
          <w:szCs w:val="24"/>
          <w:lang w:eastAsia="bg-BG"/>
        </w:rPr>
        <w:t xml:space="preserve">Псевдо </w:t>
      </w:r>
      <w:r w:rsidR="00790595" w:rsidRPr="00103EDE">
        <w:rPr>
          <w:rFonts w:ascii="Times New Roman" w:hAnsi="Times New Roman" w:cs="Times New Roman"/>
          <w:sz w:val="24"/>
          <w:szCs w:val="24"/>
          <w:lang w:eastAsia="bg-BG"/>
        </w:rPr>
        <w:t xml:space="preserve">Р-1, </w:t>
      </w:r>
      <w:r w:rsidR="001D282A" w:rsidRPr="00103EDE">
        <w:rPr>
          <w:rFonts w:ascii="Times New Roman" w:hAnsi="Times New Roman" w:cs="Times New Roman"/>
          <w:sz w:val="24"/>
          <w:szCs w:val="24"/>
          <w:lang w:eastAsia="bg-BG"/>
        </w:rPr>
        <w:t xml:space="preserve">Псевдо </w:t>
      </w:r>
      <w:r w:rsidR="00790595" w:rsidRPr="00103EDE">
        <w:rPr>
          <w:rFonts w:ascii="Times New Roman" w:hAnsi="Times New Roman" w:cs="Times New Roman"/>
          <w:sz w:val="24"/>
          <w:szCs w:val="24"/>
          <w:lang w:eastAsia="bg-BG"/>
        </w:rPr>
        <w:t xml:space="preserve">Р-2, </w:t>
      </w:r>
      <w:r w:rsidR="001D282A" w:rsidRPr="00103EDE">
        <w:rPr>
          <w:rFonts w:ascii="Times New Roman" w:hAnsi="Times New Roman" w:cs="Times New Roman"/>
          <w:sz w:val="24"/>
          <w:szCs w:val="24"/>
          <w:lang w:eastAsia="bg-BG"/>
        </w:rPr>
        <w:t xml:space="preserve">Псевдо </w:t>
      </w:r>
      <w:r w:rsidR="00790595" w:rsidRPr="00103EDE">
        <w:rPr>
          <w:rFonts w:ascii="Times New Roman" w:hAnsi="Times New Roman" w:cs="Times New Roman"/>
          <w:sz w:val="24"/>
          <w:szCs w:val="24"/>
          <w:lang w:eastAsia="bg-BG"/>
        </w:rPr>
        <w:t>Р-3 (фиг.</w:t>
      </w:r>
      <w:r w:rsidR="004336BA" w:rsidRPr="00103EDE">
        <w:rPr>
          <w:rFonts w:ascii="Times New Roman" w:hAnsi="Times New Roman" w:cs="Times New Roman"/>
          <w:sz w:val="24"/>
          <w:szCs w:val="24"/>
          <w:lang w:eastAsia="bg-BG"/>
        </w:rPr>
        <w:t>4</w:t>
      </w:r>
      <w:r w:rsidR="00790595" w:rsidRPr="00103EDE">
        <w:rPr>
          <w:rFonts w:ascii="Times New Roman" w:hAnsi="Times New Roman" w:cs="Times New Roman"/>
          <w:sz w:val="24"/>
          <w:szCs w:val="24"/>
          <w:lang w:eastAsia="bg-BG"/>
        </w:rPr>
        <w:t xml:space="preserve">). </w:t>
      </w:r>
    </w:p>
    <w:p w14:paraId="6BF0AE87" w14:textId="2B8272B7" w:rsidR="00790595" w:rsidRPr="00A1696A" w:rsidRDefault="00790595" w:rsidP="006B6EBF">
      <w:pPr>
        <w:spacing w:after="0" w:line="240" w:lineRule="auto"/>
        <w:ind w:firstLine="709"/>
        <w:jc w:val="both"/>
        <w:rPr>
          <w:rFonts w:ascii="Times New Roman" w:hAnsi="Times New Roman" w:cs="Times New Roman"/>
          <w:sz w:val="24"/>
          <w:szCs w:val="24"/>
          <w:lang w:eastAsia="bg-BG"/>
        </w:rPr>
      </w:pPr>
    </w:p>
    <w:p w14:paraId="7C6C88F4" w14:textId="47917F9B" w:rsidR="00F6401C" w:rsidRPr="00A1696A" w:rsidRDefault="00F6401C" w:rsidP="006B6EBF">
      <w:pPr>
        <w:pStyle w:val="Style1"/>
        <w:ind w:left="0" w:firstLine="709"/>
        <w:jc w:val="both"/>
        <w:rPr>
          <w:lang w:val="bg-BG"/>
        </w:rPr>
      </w:pPr>
      <w:bookmarkStart w:id="56" w:name="_Toc7820642"/>
      <w:r w:rsidRPr="00A1696A">
        <w:rPr>
          <w:lang w:val="bg-BG"/>
        </w:rPr>
        <w:t>Глава 4. Интерпретация, анализ и оценка на басейновото пространство</w:t>
      </w:r>
      <w:r w:rsidR="00CD5A2E" w:rsidRPr="00A1696A">
        <w:rPr>
          <w:lang w:val="bg-BG"/>
        </w:rPr>
        <w:t xml:space="preserve">. Оценка на </w:t>
      </w:r>
      <w:r w:rsidRPr="00A1696A">
        <w:rPr>
          <w:lang w:val="bg-BG"/>
        </w:rPr>
        <w:t>нефтогазоносната перспективност</w:t>
      </w:r>
      <w:bookmarkEnd w:id="56"/>
    </w:p>
    <w:p w14:paraId="5D4CB98F" w14:textId="466DBD6B" w:rsidR="00D65902" w:rsidRDefault="00F6401C" w:rsidP="00762F83">
      <w:pPr>
        <w:pStyle w:val="Style1"/>
        <w:ind w:left="0" w:firstLine="709"/>
        <w:jc w:val="both"/>
        <w:rPr>
          <w:lang w:val="bg-BG"/>
        </w:rPr>
      </w:pPr>
      <w:bookmarkStart w:id="57" w:name="_Toc7820643"/>
      <w:r w:rsidRPr="00A1696A">
        <w:rPr>
          <w:lang w:val="bg-BG"/>
        </w:rPr>
        <w:t xml:space="preserve">4.1. Характеристика на басейновото </w:t>
      </w:r>
      <w:r w:rsidR="00C304F5" w:rsidRPr="00A1696A">
        <w:rPr>
          <w:lang w:val="bg-BG"/>
        </w:rPr>
        <w:t>запълване</w:t>
      </w:r>
      <w:r w:rsidRPr="00A1696A">
        <w:rPr>
          <w:lang w:val="bg-BG"/>
        </w:rPr>
        <w:t xml:space="preserve"> и </w:t>
      </w:r>
      <w:r w:rsidR="00C304F5" w:rsidRPr="00A1696A">
        <w:rPr>
          <w:lang w:val="bg-BG"/>
        </w:rPr>
        <w:t>история</w:t>
      </w:r>
      <w:r w:rsidRPr="00A1696A">
        <w:rPr>
          <w:lang w:val="bg-BG"/>
        </w:rPr>
        <w:t xml:space="preserve"> на геоложкото развитие на района</w:t>
      </w:r>
      <w:bookmarkEnd w:id="57"/>
    </w:p>
    <w:p w14:paraId="052A8743" w14:textId="73E2C281" w:rsidR="00762F83" w:rsidRPr="00D65902" w:rsidRDefault="00654DE3" w:rsidP="00D65902">
      <w:pPr>
        <w:spacing w:after="0" w:line="240" w:lineRule="auto"/>
        <w:ind w:firstLine="709"/>
        <w:jc w:val="both"/>
        <w:rPr>
          <w:rFonts w:ascii="Times New Roman" w:hAnsi="Times New Roman" w:cs="Times New Roman"/>
          <w:sz w:val="24"/>
          <w:szCs w:val="24"/>
          <w:lang w:eastAsia="bg-BG"/>
        </w:rPr>
      </w:pPr>
      <w:r w:rsidRPr="00D65902">
        <w:rPr>
          <w:rFonts w:ascii="Times New Roman" w:hAnsi="Times New Roman" w:cs="Times New Roman"/>
          <w:sz w:val="24"/>
          <w:szCs w:val="24"/>
          <w:lang w:eastAsia="bg-BG"/>
        </w:rPr>
        <w:t>За да бъде коректно и правилно оценена изучаваната територия</w:t>
      </w:r>
      <w:r w:rsidR="0078683E" w:rsidRPr="00D65902">
        <w:rPr>
          <w:rFonts w:ascii="Times New Roman" w:hAnsi="Times New Roman" w:cs="Times New Roman"/>
          <w:sz w:val="24"/>
          <w:szCs w:val="24"/>
          <w:lang w:eastAsia="bg-BG"/>
        </w:rPr>
        <w:t xml:space="preserve"> </w:t>
      </w:r>
      <w:r w:rsidRPr="00D65902">
        <w:rPr>
          <w:rFonts w:ascii="Times New Roman" w:hAnsi="Times New Roman" w:cs="Times New Roman"/>
          <w:sz w:val="24"/>
          <w:szCs w:val="24"/>
          <w:lang w:eastAsia="bg-BG"/>
        </w:rPr>
        <w:t>по отношение перспективността</w:t>
      </w:r>
      <w:r w:rsidR="00C232F1" w:rsidRPr="00D65902">
        <w:rPr>
          <w:rFonts w:ascii="Times New Roman" w:hAnsi="Times New Roman" w:cs="Times New Roman"/>
          <w:sz w:val="24"/>
          <w:szCs w:val="24"/>
          <w:lang w:eastAsia="bg-BG"/>
        </w:rPr>
        <w:t xml:space="preserve"> ѝ </w:t>
      </w:r>
      <w:r w:rsidRPr="00D65902">
        <w:rPr>
          <w:rFonts w:ascii="Times New Roman" w:hAnsi="Times New Roman" w:cs="Times New Roman"/>
          <w:sz w:val="24"/>
          <w:szCs w:val="24"/>
          <w:lang w:eastAsia="bg-BG"/>
        </w:rPr>
        <w:t>в нефтогазоносно отношение, е необходим анализ на басейновото пространство в по-</w:t>
      </w:r>
      <w:r w:rsidR="0078683E" w:rsidRPr="00D65902">
        <w:rPr>
          <w:rFonts w:ascii="Times New Roman" w:hAnsi="Times New Roman" w:cs="Times New Roman"/>
          <w:sz w:val="24"/>
          <w:szCs w:val="24"/>
          <w:lang w:eastAsia="bg-BG"/>
        </w:rPr>
        <w:t>широк</w:t>
      </w:r>
      <w:r w:rsidRPr="00D65902">
        <w:rPr>
          <w:rFonts w:ascii="Times New Roman" w:hAnsi="Times New Roman" w:cs="Times New Roman"/>
          <w:sz w:val="24"/>
          <w:szCs w:val="24"/>
          <w:lang w:eastAsia="bg-BG"/>
        </w:rPr>
        <w:t xml:space="preserve"> мащаб. Това е продиктувано от факта, че формирането на изучавания седиментен басейн, контролирано от тектонските процеси и зависещо от взаимодействието на тектонските движения и процесите на седиментация, се осъществява на площ включително извън рамките на държавната ни граница. </w:t>
      </w:r>
      <w:r w:rsidR="00CD5A2E" w:rsidRPr="00D65902">
        <w:rPr>
          <w:rFonts w:ascii="Times New Roman" w:hAnsi="Times New Roman" w:cs="Times New Roman"/>
          <w:sz w:val="24"/>
          <w:szCs w:val="24"/>
          <w:lang w:eastAsia="bg-BG"/>
        </w:rPr>
        <w:t>Като северозападен борд на Тракийския басейн в Турция</w:t>
      </w:r>
      <w:r w:rsidR="00B22408" w:rsidRPr="00D65902">
        <w:rPr>
          <w:rFonts w:ascii="Times New Roman" w:hAnsi="Times New Roman" w:cs="Times New Roman"/>
          <w:sz w:val="24"/>
          <w:szCs w:val="24"/>
          <w:lang w:eastAsia="bg-BG"/>
        </w:rPr>
        <w:t xml:space="preserve"> (Okay et al., 2004; Caracciolo, 2011; d’Atri et al., 2012; Cavazza et al., 2013)</w:t>
      </w:r>
      <w:r w:rsidR="00CD5A2E" w:rsidRPr="00D65902">
        <w:rPr>
          <w:rFonts w:ascii="Times New Roman" w:hAnsi="Times New Roman" w:cs="Times New Roman"/>
          <w:sz w:val="24"/>
          <w:szCs w:val="24"/>
          <w:lang w:eastAsia="bg-BG"/>
        </w:rPr>
        <w:t xml:space="preserve">, изследвания район се разглежда в контекста на процесите, водещи до образуване на седиментния комплекс в целия басейн (фиг. </w:t>
      </w:r>
      <w:r w:rsidR="004336BA" w:rsidRPr="00D65902">
        <w:rPr>
          <w:rFonts w:ascii="Times New Roman" w:hAnsi="Times New Roman" w:cs="Times New Roman"/>
          <w:sz w:val="24"/>
          <w:szCs w:val="24"/>
          <w:lang w:eastAsia="bg-BG"/>
        </w:rPr>
        <w:t>5</w:t>
      </w:r>
      <w:r w:rsidR="00CD5A2E" w:rsidRPr="00D65902">
        <w:rPr>
          <w:rFonts w:ascii="Times New Roman" w:hAnsi="Times New Roman" w:cs="Times New Roman"/>
          <w:sz w:val="24"/>
          <w:szCs w:val="24"/>
          <w:lang w:eastAsia="bg-BG"/>
        </w:rPr>
        <w:t xml:space="preserve">). </w:t>
      </w:r>
      <w:r w:rsidRPr="00D65902">
        <w:rPr>
          <w:rFonts w:ascii="Times New Roman" w:hAnsi="Times New Roman" w:cs="Times New Roman"/>
          <w:sz w:val="24"/>
          <w:szCs w:val="24"/>
          <w:lang w:eastAsia="bg-BG"/>
        </w:rPr>
        <w:t>В Тракийския басейн в Турция са проведени множеството изследвания, но въпреки това период</w:t>
      </w:r>
      <w:r w:rsidR="00241DE1" w:rsidRPr="00D65902">
        <w:rPr>
          <w:rFonts w:ascii="Times New Roman" w:hAnsi="Times New Roman" w:cs="Times New Roman"/>
          <w:sz w:val="24"/>
          <w:szCs w:val="24"/>
          <w:lang w:eastAsia="bg-BG"/>
        </w:rPr>
        <w:t>ът</w:t>
      </w:r>
      <w:r w:rsidRPr="00D65902">
        <w:rPr>
          <w:rFonts w:ascii="Times New Roman" w:hAnsi="Times New Roman" w:cs="Times New Roman"/>
          <w:sz w:val="24"/>
          <w:szCs w:val="24"/>
          <w:lang w:eastAsia="bg-BG"/>
        </w:rPr>
        <w:t xml:space="preserve"> на неговото формиране и последващото геоложко развитие са все още обект на</w:t>
      </w:r>
      <w:r w:rsidR="00762F83" w:rsidRPr="00D65902">
        <w:rPr>
          <w:rFonts w:ascii="Times New Roman" w:hAnsi="Times New Roman" w:cs="Times New Roman"/>
          <w:sz w:val="24"/>
          <w:szCs w:val="24"/>
          <w:lang w:eastAsia="bg-BG"/>
        </w:rPr>
        <w:t xml:space="preserve"> обсъждане и от турските изследователи (Keskin, 1974; Turgut et al., 1983; Perinçek, 1991; Turgut et al., 1991; Coskun, 2000; Siyaco and Huvas, 2007; Elmas, 2012).</w:t>
      </w:r>
    </w:p>
    <w:p w14:paraId="27FCD7EB" w14:textId="77777777" w:rsidR="00762F83" w:rsidRPr="00DA6E8E" w:rsidRDefault="00762F83" w:rsidP="00DA6E8E">
      <w:pPr>
        <w:spacing w:after="0" w:line="240" w:lineRule="auto"/>
        <w:ind w:firstLine="709"/>
        <w:jc w:val="both"/>
        <w:rPr>
          <w:rFonts w:ascii="Times New Roman" w:hAnsi="Times New Roman" w:cs="Times New Roman"/>
          <w:b/>
          <w:sz w:val="24"/>
          <w:szCs w:val="24"/>
          <w:u w:val="single"/>
          <w:lang w:eastAsia="bg-BG"/>
        </w:rPr>
      </w:pPr>
      <w:r w:rsidRPr="00DA6E8E">
        <w:rPr>
          <w:rFonts w:ascii="Times New Roman" w:hAnsi="Times New Roman" w:cs="Times New Roman"/>
          <w:b/>
          <w:sz w:val="24"/>
          <w:szCs w:val="24"/>
          <w:u w:val="single"/>
          <w:lang w:eastAsia="bg-BG"/>
        </w:rPr>
        <w:t>Палеоцен - ранен-среден еоцен</w:t>
      </w:r>
    </w:p>
    <w:p w14:paraId="29F4077F" w14:textId="174347BB" w:rsidR="00762F83" w:rsidRPr="00A1696A" w:rsidRDefault="003C5417" w:rsidP="00762F83">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О</w:t>
      </w:r>
      <w:r w:rsidR="00762F83" w:rsidRPr="00A1696A">
        <w:rPr>
          <w:rFonts w:ascii="Times New Roman" w:hAnsi="Times New Roman" w:cs="Times New Roman"/>
          <w:sz w:val="24"/>
          <w:szCs w:val="24"/>
          <w:lang w:eastAsia="bg-BG"/>
        </w:rPr>
        <w:t>бобщава</w:t>
      </w:r>
      <w:r w:rsidRPr="00A1696A">
        <w:rPr>
          <w:rFonts w:ascii="Times New Roman" w:hAnsi="Times New Roman" w:cs="Times New Roman"/>
          <w:sz w:val="24"/>
          <w:szCs w:val="24"/>
          <w:lang w:eastAsia="bg-BG"/>
        </w:rPr>
        <w:t xml:space="preserve"> се (Elmas, 2012)</w:t>
      </w:r>
      <w:r w:rsidR="00762F83" w:rsidRPr="00A1696A">
        <w:rPr>
          <w:rFonts w:ascii="Times New Roman" w:hAnsi="Times New Roman" w:cs="Times New Roman"/>
          <w:sz w:val="24"/>
          <w:szCs w:val="24"/>
          <w:lang w:eastAsia="bg-BG"/>
        </w:rPr>
        <w:t>, че седиментацията на Тракийския басейн започва през ранноеоценската епоха в неговата югозападна част, през ранно-средное</w:t>
      </w:r>
      <w:r w:rsidR="00C97D54">
        <w:rPr>
          <w:rFonts w:ascii="Times New Roman" w:hAnsi="Times New Roman" w:cs="Times New Roman"/>
          <w:sz w:val="24"/>
          <w:szCs w:val="24"/>
          <w:lang w:eastAsia="bg-BG"/>
        </w:rPr>
        <w:t>о</w:t>
      </w:r>
      <w:r w:rsidR="00762F83" w:rsidRPr="00A1696A">
        <w:rPr>
          <w:rFonts w:ascii="Times New Roman" w:hAnsi="Times New Roman" w:cs="Times New Roman"/>
          <w:sz w:val="24"/>
          <w:szCs w:val="24"/>
          <w:lang w:eastAsia="bg-BG"/>
        </w:rPr>
        <w:t xml:space="preserve">ценската епоха в неговата централна част, и през късния лютески век в неговата северна и североизточна части, и продължава до късноолигоценската – ранно-средномиоценската епохи (фиг.6.). </w:t>
      </w:r>
    </w:p>
    <w:p w14:paraId="11D064A9" w14:textId="7993C3F8" w:rsidR="00762F83" w:rsidRPr="00A1696A" w:rsidRDefault="00762F83" w:rsidP="00762F83">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u w:val="single"/>
        </w:rPr>
        <w:t xml:space="preserve">В централната част на Тракийския басейн </w:t>
      </w:r>
      <w:r w:rsidRPr="00A1696A">
        <w:rPr>
          <w:rFonts w:ascii="Times New Roman" w:hAnsi="Times New Roman" w:cs="Times New Roman"/>
          <w:sz w:val="24"/>
          <w:szCs w:val="24"/>
        </w:rPr>
        <w:t>съществува издигната площ, наричана Kuleli-Babaeski Highlan (Keskin 1974; Coskun 2000) или Централно тракийско издигане - Central Thrace High (Elmas, 2012), ко</w:t>
      </w:r>
      <w:r w:rsidR="003C5417" w:rsidRPr="00A1696A">
        <w:rPr>
          <w:rFonts w:ascii="Times New Roman" w:hAnsi="Times New Roman" w:cs="Times New Roman"/>
          <w:sz w:val="24"/>
          <w:szCs w:val="24"/>
        </w:rPr>
        <w:t>я</w:t>
      </w:r>
      <w:r w:rsidRPr="00A1696A">
        <w:rPr>
          <w:rFonts w:ascii="Times New Roman" w:hAnsi="Times New Roman" w:cs="Times New Roman"/>
          <w:sz w:val="24"/>
          <w:szCs w:val="24"/>
        </w:rPr>
        <w:t>то на север и на юг е ограден</w:t>
      </w:r>
      <w:r w:rsidR="003C5417" w:rsidRPr="00A1696A">
        <w:rPr>
          <w:rFonts w:ascii="Times New Roman" w:hAnsi="Times New Roman" w:cs="Times New Roman"/>
          <w:sz w:val="24"/>
          <w:szCs w:val="24"/>
        </w:rPr>
        <w:t>а</w:t>
      </w:r>
      <w:r w:rsidRPr="00A1696A">
        <w:rPr>
          <w:rFonts w:ascii="Times New Roman" w:hAnsi="Times New Roman" w:cs="Times New Roman"/>
          <w:sz w:val="24"/>
          <w:szCs w:val="24"/>
        </w:rPr>
        <w:t xml:space="preserve"> от разклоняващи се разломи с посока ЗСЗ-ЮЮИ. Те контролират от северната </w:t>
      </w:r>
      <w:r w:rsidR="00A11C1A" w:rsidRPr="00A1696A">
        <w:rPr>
          <w:rFonts w:ascii="Times New Roman" w:hAnsi="Times New Roman" w:cs="Times New Roman"/>
          <w:sz w:val="24"/>
          <w:szCs w:val="24"/>
        </w:rPr>
        <w:t>ѝ</w:t>
      </w:r>
      <w:r w:rsidRPr="00A1696A">
        <w:rPr>
          <w:rFonts w:ascii="Times New Roman" w:hAnsi="Times New Roman" w:cs="Times New Roman"/>
          <w:sz w:val="24"/>
          <w:szCs w:val="24"/>
        </w:rPr>
        <w:t xml:space="preserve"> страна седиментацията на скалите на първата образувана седиментна формация – </w:t>
      </w:r>
      <w:r w:rsidRPr="00A1696A">
        <w:rPr>
          <w:rFonts w:ascii="Times New Roman" w:hAnsi="Times New Roman" w:cs="Times New Roman"/>
          <w:b/>
          <w:i/>
          <w:sz w:val="24"/>
          <w:szCs w:val="24"/>
        </w:rPr>
        <w:t>Hamitabat</w:t>
      </w:r>
      <w:r w:rsidRPr="00A1696A">
        <w:rPr>
          <w:rFonts w:ascii="Times New Roman" w:hAnsi="Times New Roman" w:cs="Times New Roman"/>
          <w:sz w:val="24"/>
          <w:szCs w:val="24"/>
        </w:rPr>
        <w:t xml:space="preserve">, с възраст ранен-среден еоцен. Долната част на формацията се състои от едрозърнести седименти представени от конгломерати и брекчи, с плиткоморски и лагунни варовикови интервали, докато горната част се състои от характерния дълбокоморски турбидитен фациес, представен от тъмни глини с пясъчникови прослойки (Siyaco and Huvas, 2007). </w:t>
      </w:r>
    </w:p>
    <w:bookmarkEnd w:id="54"/>
    <w:p w14:paraId="3F711950" w14:textId="0CC5390E" w:rsidR="001936A9" w:rsidRPr="00A1696A" w:rsidRDefault="001936A9" w:rsidP="00762F83">
      <w:pPr>
        <w:spacing w:after="0" w:line="240" w:lineRule="auto"/>
        <w:jc w:val="center"/>
        <w:rPr>
          <w:rFonts w:ascii="Times New Roman" w:hAnsi="Times New Roman" w:cs="Times New Roman"/>
          <w:sz w:val="24"/>
          <w:szCs w:val="24"/>
          <w:lang w:eastAsia="bg-BG"/>
        </w:rPr>
      </w:pPr>
      <w:r w:rsidRPr="00A1696A">
        <w:rPr>
          <w:rFonts w:ascii="Times New Roman" w:hAnsi="Times New Roman" w:cs="Times New Roman"/>
          <w:noProof/>
          <w:sz w:val="24"/>
          <w:szCs w:val="24"/>
          <w:lang w:eastAsia="bg-BG"/>
        </w:rPr>
        <w:lastRenderedPageBreak/>
        <w:drawing>
          <wp:inline distT="0" distB="0" distL="0" distR="0" wp14:anchorId="2CEDA9CB" wp14:editId="50BE55DC">
            <wp:extent cx="5502181" cy="5465299"/>
            <wp:effectExtent l="0" t="0" r="3810" b="2540"/>
            <wp:docPr id="7178" name="Картина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Thrace_geomap_Okay_bg.png"/>
                    <pic:cNvPicPr/>
                  </pic:nvPicPr>
                  <pic:blipFill rotWithShape="1">
                    <a:blip r:embed="rId16" cstate="print">
                      <a:extLst>
                        <a:ext uri="{28A0092B-C50C-407E-A947-70E740481C1C}">
                          <a14:useLocalDpi xmlns:a14="http://schemas.microsoft.com/office/drawing/2010/main" val="0"/>
                        </a:ext>
                      </a:extLst>
                    </a:blip>
                    <a:srcRect l="7839" t="11495" b="2658"/>
                    <a:stretch/>
                  </pic:blipFill>
                  <pic:spPr bwMode="auto">
                    <a:xfrm>
                      <a:off x="0" y="0"/>
                      <a:ext cx="5514749" cy="5477783"/>
                    </a:xfrm>
                    <a:prstGeom prst="rect">
                      <a:avLst/>
                    </a:prstGeom>
                    <a:ln>
                      <a:noFill/>
                    </a:ln>
                    <a:extLst>
                      <a:ext uri="{53640926-AAD7-44D8-BBD7-CCE9431645EC}">
                        <a14:shadowObscured xmlns:a14="http://schemas.microsoft.com/office/drawing/2010/main"/>
                      </a:ext>
                    </a:extLst>
                  </pic:spPr>
                </pic:pic>
              </a:graphicData>
            </a:graphic>
          </wp:inline>
        </w:drawing>
      </w:r>
    </w:p>
    <w:p w14:paraId="6CED79AF" w14:textId="5EE1A4A9" w:rsidR="001936A9" w:rsidRPr="00A1696A" w:rsidRDefault="001936A9" w:rsidP="00762F83">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4336BA" w:rsidRPr="00A1696A">
        <w:rPr>
          <w:rFonts w:ascii="Times New Roman" w:hAnsi="Times New Roman" w:cs="Times New Roman"/>
          <w:i/>
          <w:sz w:val="24"/>
          <w:szCs w:val="24"/>
          <w:lang w:eastAsia="bg-BG"/>
        </w:rPr>
        <w:t>5</w:t>
      </w:r>
      <w:r w:rsidRPr="00A1696A">
        <w:rPr>
          <w:rFonts w:ascii="Times New Roman" w:hAnsi="Times New Roman" w:cs="Times New Roman"/>
          <w:i/>
          <w:sz w:val="24"/>
          <w:szCs w:val="24"/>
          <w:lang w:eastAsia="bg-BG"/>
        </w:rPr>
        <w:t xml:space="preserve">. </w:t>
      </w:r>
      <w:r w:rsidR="007F33B0" w:rsidRPr="00A1696A">
        <w:rPr>
          <w:rFonts w:ascii="Times New Roman" w:hAnsi="Times New Roman" w:cs="Times New Roman"/>
          <w:i/>
          <w:sz w:val="24"/>
          <w:szCs w:val="24"/>
          <w:lang w:eastAsia="bg-BG"/>
        </w:rPr>
        <w:t>Геоложка карта</w:t>
      </w:r>
      <w:r w:rsidRPr="00A1696A">
        <w:rPr>
          <w:rFonts w:ascii="Times New Roman" w:hAnsi="Times New Roman" w:cs="Times New Roman"/>
          <w:i/>
          <w:sz w:val="24"/>
          <w:szCs w:val="24"/>
          <w:lang w:eastAsia="bg-BG"/>
        </w:rPr>
        <w:t xml:space="preserve"> на Тракийския басейн в Турция (по </w:t>
      </w:r>
      <w:r w:rsidR="007F33B0" w:rsidRPr="00A1696A">
        <w:rPr>
          <w:rFonts w:ascii="Times New Roman" w:hAnsi="Times New Roman" w:cs="Times New Roman"/>
          <w:i/>
          <w:sz w:val="24"/>
          <w:szCs w:val="24"/>
          <w:lang w:eastAsia="bg-BG"/>
        </w:rPr>
        <w:t>Okay et al.</w:t>
      </w:r>
      <w:r w:rsidRPr="00A1696A">
        <w:rPr>
          <w:rFonts w:ascii="Times New Roman" w:hAnsi="Times New Roman" w:cs="Times New Roman"/>
          <w:i/>
          <w:sz w:val="24"/>
          <w:szCs w:val="24"/>
          <w:lang w:eastAsia="bg-BG"/>
        </w:rPr>
        <w:t>, 201</w:t>
      </w:r>
      <w:r w:rsidR="007F33B0" w:rsidRPr="00A1696A">
        <w:rPr>
          <w:rFonts w:ascii="Times New Roman" w:hAnsi="Times New Roman" w:cs="Times New Roman"/>
          <w:i/>
          <w:sz w:val="24"/>
          <w:szCs w:val="24"/>
          <w:lang w:eastAsia="bg-BG"/>
        </w:rPr>
        <w:t>0</w:t>
      </w:r>
      <w:r w:rsidRPr="00A1696A">
        <w:rPr>
          <w:rFonts w:ascii="Times New Roman" w:hAnsi="Times New Roman" w:cs="Times New Roman"/>
          <w:i/>
          <w:sz w:val="24"/>
          <w:szCs w:val="24"/>
          <w:lang w:eastAsia="bg-BG"/>
        </w:rPr>
        <w:t>)</w:t>
      </w:r>
    </w:p>
    <w:p w14:paraId="1176C91B" w14:textId="77777777" w:rsidR="003C5417" w:rsidRPr="00A1696A" w:rsidRDefault="003C5417" w:rsidP="00762F83">
      <w:pPr>
        <w:spacing w:after="0" w:line="240" w:lineRule="auto"/>
        <w:jc w:val="center"/>
        <w:rPr>
          <w:rFonts w:ascii="Times New Roman" w:hAnsi="Times New Roman" w:cs="Times New Roman"/>
          <w:i/>
          <w:sz w:val="24"/>
          <w:szCs w:val="24"/>
          <w:lang w:eastAsia="bg-BG"/>
        </w:rPr>
      </w:pPr>
    </w:p>
    <w:p w14:paraId="73642791" w14:textId="04A9D5FD" w:rsidR="00C31111" w:rsidRPr="00D65902" w:rsidRDefault="00C31111" w:rsidP="00103EDE">
      <w:pPr>
        <w:spacing w:after="0" w:line="240" w:lineRule="auto"/>
        <w:jc w:val="center"/>
        <w:rPr>
          <w:rFonts w:ascii="Times New Roman" w:hAnsi="Times New Roman" w:cs="Times New Roman"/>
          <w:noProof/>
          <w:sz w:val="24"/>
          <w:szCs w:val="24"/>
          <w:lang w:eastAsia="bg-BG"/>
        </w:rPr>
      </w:pPr>
      <w:r w:rsidRPr="00D65902">
        <w:rPr>
          <w:rFonts w:ascii="Times New Roman" w:hAnsi="Times New Roman" w:cs="Times New Roman"/>
          <w:noProof/>
          <w:sz w:val="24"/>
          <w:szCs w:val="24"/>
          <w:lang w:eastAsia="bg-BG"/>
        </w:rPr>
        <w:drawing>
          <wp:inline distT="0" distB="0" distL="0" distR="0" wp14:anchorId="3DD66887" wp14:editId="43ED9B9B">
            <wp:extent cx="5799409" cy="2954215"/>
            <wp:effectExtent l="0" t="0" r="0" b="0"/>
            <wp:docPr id="7188" name="Картина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thrace_basin_cross_section_hiRes_бг.gif"/>
                    <pic:cNvPicPr/>
                  </pic:nvPicPr>
                  <pic:blipFill rotWithShape="1">
                    <a:blip r:embed="rId17" cstate="print">
                      <a:extLst>
                        <a:ext uri="{28A0092B-C50C-407E-A947-70E740481C1C}">
                          <a14:useLocalDpi xmlns:a14="http://schemas.microsoft.com/office/drawing/2010/main" val="0"/>
                        </a:ext>
                      </a:extLst>
                    </a:blip>
                    <a:srcRect l="12429" t="4057" r="1014" b="4355"/>
                    <a:stretch/>
                  </pic:blipFill>
                  <pic:spPr bwMode="auto">
                    <a:xfrm>
                      <a:off x="0" y="0"/>
                      <a:ext cx="5884187" cy="2997401"/>
                    </a:xfrm>
                    <a:prstGeom prst="rect">
                      <a:avLst/>
                    </a:prstGeom>
                    <a:ln>
                      <a:noFill/>
                    </a:ln>
                    <a:extLst>
                      <a:ext uri="{53640926-AAD7-44D8-BBD7-CCE9431645EC}">
                        <a14:shadowObscured xmlns:a14="http://schemas.microsoft.com/office/drawing/2010/main"/>
                      </a:ext>
                    </a:extLst>
                  </pic:spPr>
                </pic:pic>
              </a:graphicData>
            </a:graphic>
          </wp:inline>
        </w:drawing>
      </w:r>
    </w:p>
    <w:p w14:paraId="644ECB34" w14:textId="6417596F" w:rsidR="00C31111" w:rsidRDefault="00C31111" w:rsidP="00103EDE">
      <w:pPr>
        <w:spacing w:after="0" w:line="240" w:lineRule="auto"/>
        <w:jc w:val="center"/>
        <w:rPr>
          <w:rFonts w:ascii="Times New Roman" w:hAnsi="Times New Roman" w:cs="Times New Roman"/>
          <w:i/>
          <w:sz w:val="24"/>
          <w:szCs w:val="24"/>
          <w:lang w:eastAsia="bg-BG"/>
        </w:rPr>
      </w:pPr>
      <w:r w:rsidRPr="00103EDE">
        <w:rPr>
          <w:rFonts w:ascii="Times New Roman" w:hAnsi="Times New Roman" w:cs="Times New Roman"/>
          <w:i/>
          <w:sz w:val="24"/>
          <w:szCs w:val="24"/>
          <w:lang w:eastAsia="bg-BG"/>
        </w:rPr>
        <w:t xml:space="preserve">Фиг. </w:t>
      </w:r>
      <w:r w:rsidR="004336BA" w:rsidRPr="00103EDE">
        <w:rPr>
          <w:rFonts w:ascii="Times New Roman" w:hAnsi="Times New Roman" w:cs="Times New Roman"/>
          <w:i/>
          <w:sz w:val="24"/>
          <w:szCs w:val="24"/>
          <w:lang w:eastAsia="bg-BG"/>
        </w:rPr>
        <w:t>6</w:t>
      </w:r>
      <w:r w:rsidRPr="00103EDE">
        <w:rPr>
          <w:rFonts w:ascii="Times New Roman" w:hAnsi="Times New Roman" w:cs="Times New Roman"/>
          <w:i/>
          <w:sz w:val="24"/>
          <w:szCs w:val="24"/>
          <w:lang w:eastAsia="bg-BG"/>
        </w:rPr>
        <w:t>. Обобщена хроностратиграфска схема на Тракийския басейн (по Siyako and Huvaz, 2007)</w:t>
      </w:r>
    </w:p>
    <w:p w14:paraId="144B6F9B" w14:textId="3A11E43C" w:rsidR="00C97D54" w:rsidRPr="00A1696A" w:rsidRDefault="00C97D54" w:rsidP="00C97D54">
      <w:pPr>
        <w:spacing w:after="0" w:line="240" w:lineRule="auto"/>
        <w:ind w:firstLine="709"/>
        <w:jc w:val="both"/>
        <w:rPr>
          <w:rFonts w:ascii="Times New Roman" w:hAnsi="Times New Roman" w:cs="Times New Roman"/>
          <w:sz w:val="24"/>
          <w:szCs w:val="24"/>
        </w:rPr>
      </w:pPr>
      <w:bookmarkStart w:id="58" w:name="_Hlk7788766"/>
      <w:r w:rsidRPr="00A1696A">
        <w:rPr>
          <w:rFonts w:ascii="Times New Roman" w:hAnsi="Times New Roman" w:cs="Times New Roman"/>
          <w:sz w:val="24"/>
          <w:szCs w:val="24"/>
        </w:rPr>
        <w:lastRenderedPageBreak/>
        <w:t xml:space="preserve">При направените интерпретации на сеизмичните изследвания и анализите на данните от сондажите и теренните изследвания, проведени </w:t>
      </w:r>
      <w:r w:rsidRPr="00A1696A">
        <w:rPr>
          <w:rFonts w:ascii="Times New Roman" w:hAnsi="Times New Roman" w:cs="Times New Roman"/>
          <w:sz w:val="24"/>
          <w:szCs w:val="24"/>
          <w:u w:val="single"/>
        </w:rPr>
        <w:t>на българска територия</w:t>
      </w:r>
      <w:r w:rsidRPr="00A1696A">
        <w:rPr>
          <w:rFonts w:ascii="Times New Roman" w:hAnsi="Times New Roman" w:cs="Times New Roman"/>
          <w:sz w:val="24"/>
          <w:szCs w:val="24"/>
        </w:rPr>
        <w:t xml:space="preserve">, се наблюдава подобно издигане в района на дълбокия сондаж Р-1 Свиленград, което може да се предположи, че е продължение на това от турска територия. В допълнение на този факт, на север от обособения по фундамента хорст (Р-1 Свиленград) се наблюдава </w:t>
      </w:r>
      <w:r w:rsidRPr="00A1696A">
        <w:rPr>
          <w:rFonts w:ascii="Times New Roman" w:hAnsi="Times New Roman" w:cs="Times New Roman"/>
          <w:b/>
          <w:i/>
          <w:sz w:val="24"/>
          <w:szCs w:val="24"/>
        </w:rPr>
        <w:t>допълнителен седиментен разрез</w:t>
      </w:r>
      <w:r w:rsidRPr="00A1696A">
        <w:rPr>
          <w:rFonts w:ascii="Times New Roman" w:hAnsi="Times New Roman" w:cs="Times New Roman"/>
          <w:sz w:val="24"/>
          <w:szCs w:val="24"/>
        </w:rPr>
        <w:t>, който на сеизмичните профили се отделя като зона с неясна конфигурация, но с характерен песъчливо-конгломератен до турбидитен фациес с ясна долна (фиг. 7, тъмно лилав цвят) и горна граница (фиг. 7, светло</w:t>
      </w:r>
      <w:r>
        <w:rPr>
          <w:rFonts w:ascii="Times New Roman" w:hAnsi="Times New Roman" w:cs="Times New Roman"/>
          <w:sz w:val="24"/>
          <w:szCs w:val="24"/>
        </w:rPr>
        <w:t xml:space="preserve"> </w:t>
      </w:r>
      <w:r w:rsidRPr="00A1696A">
        <w:rPr>
          <w:rFonts w:ascii="Times New Roman" w:hAnsi="Times New Roman" w:cs="Times New Roman"/>
          <w:sz w:val="24"/>
          <w:szCs w:val="24"/>
        </w:rPr>
        <w:t xml:space="preserve">лилав цвят). </w:t>
      </w:r>
    </w:p>
    <w:bookmarkEnd w:id="58"/>
    <w:p w14:paraId="0B0629A2" w14:textId="5566FE63" w:rsidR="00172487" w:rsidRPr="00A1696A" w:rsidRDefault="00172487" w:rsidP="00DB7A2C">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4D0630CF" wp14:editId="233BE55B">
            <wp:extent cx="6092093" cy="4588119"/>
            <wp:effectExtent l="19050" t="19050" r="23495" b="22225"/>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_1_2019.png"/>
                    <pic:cNvPicPr/>
                  </pic:nvPicPr>
                  <pic:blipFill rotWithShape="1">
                    <a:blip r:embed="rId18">
                      <a:extLst>
                        <a:ext uri="{28A0092B-C50C-407E-A947-70E740481C1C}">
                          <a14:useLocalDpi xmlns:a14="http://schemas.microsoft.com/office/drawing/2010/main" val="0"/>
                        </a:ext>
                      </a:extLst>
                    </a:blip>
                    <a:srcRect t="4522" b="1567"/>
                    <a:stretch/>
                  </pic:blipFill>
                  <pic:spPr bwMode="auto">
                    <a:xfrm>
                      <a:off x="0" y="0"/>
                      <a:ext cx="6119509" cy="4608767"/>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539B0A31" w14:textId="2DA48107" w:rsidR="00654DE3" w:rsidRPr="00A1696A" w:rsidRDefault="00654DE3"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4336BA" w:rsidRPr="00A1696A">
        <w:rPr>
          <w:rFonts w:ascii="Times New Roman" w:hAnsi="Times New Roman" w:cs="Times New Roman"/>
          <w:i/>
          <w:sz w:val="24"/>
          <w:szCs w:val="24"/>
          <w:lang w:eastAsia="bg-BG"/>
        </w:rPr>
        <w:t>7</w:t>
      </w:r>
      <w:r w:rsidRPr="00A1696A">
        <w:rPr>
          <w:rFonts w:ascii="Times New Roman" w:hAnsi="Times New Roman" w:cs="Times New Roman"/>
          <w:i/>
          <w:sz w:val="24"/>
          <w:szCs w:val="24"/>
          <w:lang w:eastAsia="bg-BG"/>
        </w:rPr>
        <w:t>. Интерпретиран сеизмичен разрез GGP-5018-01 във време</w:t>
      </w:r>
    </w:p>
    <w:p w14:paraId="4B60FF81" w14:textId="77777777" w:rsidR="003C5417" w:rsidRPr="00A1696A" w:rsidRDefault="003C5417" w:rsidP="00C31111">
      <w:pPr>
        <w:spacing w:after="0" w:line="240" w:lineRule="auto"/>
        <w:ind w:firstLine="709"/>
        <w:jc w:val="both"/>
        <w:rPr>
          <w:rFonts w:ascii="Times New Roman" w:hAnsi="Times New Roman" w:cs="Times New Roman"/>
          <w:sz w:val="24"/>
          <w:szCs w:val="24"/>
        </w:rPr>
      </w:pPr>
    </w:p>
    <w:p w14:paraId="4596330A" w14:textId="16A18E98" w:rsidR="00C31111" w:rsidRDefault="00C31111" w:rsidP="003C5417">
      <w:pPr>
        <w:spacing w:after="0" w:line="240" w:lineRule="auto"/>
        <w:ind w:firstLine="709"/>
        <w:jc w:val="both"/>
        <w:rPr>
          <w:rFonts w:ascii="Times New Roman" w:hAnsi="Times New Roman" w:cs="Times New Roman"/>
          <w:sz w:val="24"/>
          <w:szCs w:val="24"/>
        </w:rPr>
      </w:pPr>
      <w:bookmarkStart w:id="59" w:name="_Hlk7789323"/>
      <w:r w:rsidRPr="00A1696A">
        <w:rPr>
          <w:rFonts w:ascii="Times New Roman" w:hAnsi="Times New Roman" w:cs="Times New Roman"/>
          <w:sz w:val="24"/>
          <w:szCs w:val="24"/>
        </w:rPr>
        <w:t xml:space="preserve">На сеизмичния разрез добре се отличава несъгласното прилягане на седиментите от тази секвенция към фундамента, а в горната част се забелязва ерозионната граница с отгоре залягащите седименти, изразяваща се в ерозионно срязване. Тези скали достигат голяма дебелина в близост до разлома и изтъняват и/или изклинват на север към фундамента. Това вероятно се дължи на трансгресивното залягане и интензивна ерозия през среден-горен еоцен, която настъпва след отлагането на седиментите. Наблюдава се продължаване на седиментния басейн в запад-северозападна посока и значителна дебелина на този седиментен комплекс там (фиг. </w:t>
      </w:r>
      <w:r w:rsidR="00895F40" w:rsidRPr="00A1696A">
        <w:rPr>
          <w:rFonts w:ascii="Times New Roman" w:hAnsi="Times New Roman" w:cs="Times New Roman"/>
          <w:sz w:val="24"/>
          <w:szCs w:val="24"/>
        </w:rPr>
        <w:t>8</w:t>
      </w:r>
      <w:r w:rsidRPr="00A1696A">
        <w:rPr>
          <w:rFonts w:ascii="Times New Roman" w:hAnsi="Times New Roman" w:cs="Times New Roman"/>
          <w:sz w:val="24"/>
          <w:szCs w:val="24"/>
        </w:rPr>
        <w:t xml:space="preserve">). В най-западната част на изучавания район на повърхността се разкриват теригенни седименти на </w:t>
      </w:r>
      <w:r w:rsidRPr="00A1696A">
        <w:rPr>
          <w:rFonts w:ascii="Times New Roman" w:hAnsi="Times New Roman" w:cs="Times New Roman"/>
          <w:b/>
          <w:i/>
          <w:sz w:val="24"/>
          <w:szCs w:val="24"/>
        </w:rPr>
        <w:t xml:space="preserve">Бисерска и Лешниковска свити </w:t>
      </w:r>
      <w:r w:rsidR="00907BAD">
        <w:rPr>
          <w:rFonts w:ascii="Times New Roman" w:hAnsi="Times New Roman" w:cs="Times New Roman"/>
          <w:sz w:val="24"/>
          <w:szCs w:val="24"/>
        </w:rPr>
        <w:t>от</w:t>
      </w:r>
      <w:r w:rsidRPr="00A1696A">
        <w:rPr>
          <w:rFonts w:ascii="Times New Roman" w:hAnsi="Times New Roman" w:cs="Times New Roman"/>
          <w:b/>
          <w:i/>
          <w:sz w:val="24"/>
          <w:szCs w:val="24"/>
        </w:rPr>
        <w:t xml:space="preserve"> </w:t>
      </w:r>
      <w:r w:rsidRPr="00A1696A">
        <w:rPr>
          <w:rFonts w:ascii="Times New Roman" w:hAnsi="Times New Roman" w:cs="Times New Roman"/>
          <w:sz w:val="24"/>
          <w:szCs w:val="24"/>
        </w:rPr>
        <w:t>същия стратиграфски интервал.</w:t>
      </w:r>
      <w:r w:rsidR="003C5417" w:rsidRPr="00A1696A">
        <w:rPr>
          <w:rFonts w:ascii="Times New Roman" w:hAnsi="Times New Roman" w:cs="Times New Roman"/>
          <w:sz w:val="24"/>
          <w:szCs w:val="24"/>
        </w:rPr>
        <w:t xml:space="preserve"> Всички тези факти дават основание тази последователност да се приеме за корелат на формация Hamitabat от турската част на басейна, където събитията са съпоставими. </w:t>
      </w:r>
      <w:r w:rsidRPr="00A1696A">
        <w:rPr>
          <w:rFonts w:ascii="Times New Roman" w:hAnsi="Times New Roman" w:cs="Times New Roman"/>
          <w:sz w:val="24"/>
          <w:szCs w:val="24"/>
        </w:rPr>
        <w:t xml:space="preserve">Може да се приеме, че скалите, отложени в тази част от разглеждания район, показват характер на типичния модел на едрозърнеста турбидитна система (Bauma, 2000), чийто фациес и геометрия се определят от морфологията на дъното на басейна и силно се повлияват от тектонските процеси по време на образуване на акомодационното пространство. За </w:t>
      </w:r>
      <w:r w:rsidR="00907BAD">
        <w:rPr>
          <w:rFonts w:ascii="Times New Roman" w:hAnsi="Times New Roman" w:cs="Times New Roman"/>
          <w:sz w:val="24"/>
          <w:szCs w:val="24"/>
        </w:rPr>
        <w:t>тази система</w:t>
      </w:r>
      <w:r w:rsidRPr="00A1696A">
        <w:rPr>
          <w:rFonts w:ascii="Times New Roman" w:hAnsi="Times New Roman" w:cs="Times New Roman"/>
          <w:sz w:val="24"/>
          <w:szCs w:val="24"/>
        </w:rPr>
        <w:t xml:space="preserve"> са характерни тесен шелф и стръмен склон, източник на седиментацията в близост до брега, представен от няколко по-</w:t>
      </w:r>
      <w:r w:rsidRPr="00A1696A">
        <w:rPr>
          <w:rFonts w:ascii="Times New Roman" w:hAnsi="Times New Roman" w:cs="Times New Roman"/>
          <w:sz w:val="24"/>
          <w:szCs w:val="24"/>
        </w:rPr>
        <w:lastRenderedPageBreak/>
        <w:t xml:space="preserve">малки потока, кратък транспорт на седиментите от шелфа до дъното на басейна. Такава седиментна обстановка е характерна за зоните с трансформни разломи, допълнително усложнена от постоянното реактивиране на тектонската дейност (Nemcok </w:t>
      </w:r>
      <w:r w:rsidRPr="00A1696A">
        <w:rPr>
          <w:rFonts w:ascii="Times New Roman" w:hAnsi="Times New Roman" w:cs="Times New Roman"/>
          <w:i/>
          <w:sz w:val="24"/>
          <w:szCs w:val="24"/>
          <w:lang w:eastAsia="bg-BG"/>
        </w:rPr>
        <w:t>et al.</w:t>
      </w:r>
      <w:r w:rsidRPr="00A1696A">
        <w:rPr>
          <w:rFonts w:ascii="Times New Roman" w:hAnsi="Times New Roman" w:cs="Times New Roman"/>
          <w:sz w:val="24"/>
          <w:szCs w:val="24"/>
          <w:lang w:eastAsia="bg-BG"/>
        </w:rPr>
        <w:t>,</w:t>
      </w:r>
      <w:r w:rsidRPr="00A1696A">
        <w:rPr>
          <w:rFonts w:ascii="Times New Roman" w:hAnsi="Times New Roman" w:cs="Times New Roman"/>
          <w:sz w:val="24"/>
          <w:szCs w:val="24"/>
        </w:rPr>
        <w:t xml:space="preserve"> 2016).</w:t>
      </w:r>
    </w:p>
    <w:p w14:paraId="4EE818F0" w14:textId="77777777" w:rsidR="00907BAD" w:rsidRPr="00A1696A" w:rsidRDefault="00907BAD" w:rsidP="003C5417">
      <w:pPr>
        <w:spacing w:after="0" w:line="240" w:lineRule="auto"/>
        <w:ind w:firstLine="709"/>
        <w:jc w:val="both"/>
        <w:rPr>
          <w:rFonts w:ascii="Times New Roman" w:hAnsi="Times New Roman" w:cs="Times New Roman"/>
          <w:sz w:val="24"/>
          <w:szCs w:val="24"/>
        </w:rPr>
      </w:pPr>
    </w:p>
    <w:bookmarkEnd w:id="59"/>
    <w:p w14:paraId="3370BCC8" w14:textId="2788F867" w:rsidR="00272522" w:rsidRPr="00A1696A" w:rsidRDefault="00272522"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noProof/>
          <w:sz w:val="24"/>
          <w:szCs w:val="24"/>
          <w:lang w:eastAsia="bg-BG"/>
        </w:rPr>
        <w:drawing>
          <wp:inline distT="0" distB="0" distL="0" distR="0" wp14:anchorId="40BE73B7" wp14:editId="49AEEB6C">
            <wp:extent cx="6077096" cy="4458863"/>
            <wp:effectExtent l="19050" t="19050" r="19050" b="18415"/>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0_36_last_1_2019.png"/>
                    <pic:cNvPicPr/>
                  </pic:nvPicPr>
                  <pic:blipFill rotWithShape="1">
                    <a:blip r:embed="rId19">
                      <a:extLst>
                        <a:ext uri="{28A0092B-C50C-407E-A947-70E740481C1C}">
                          <a14:useLocalDpi xmlns:a14="http://schemas.microsoft.com/office/drawing/2010/main" val="0"/>
                        </a:ext>
                      </a:extLst>
                    </a:blip>
                    <a:srcRect l="1133" t="5687" r="1037"/>
                    <a:stretch/>
                  </pic:blipFill>
                  <pic:spPr bwMode="auto">
                    <a:xfrm>
                      <a:off x="0" y="0"/>
                      <a:ext cx="6115162" cy="4486793"/>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74C94350" w14:textId="7ED6C96F" w:rsidR="00654DE3" w:rsidRDefault="00654DE3"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895F40" w:rsidRPr="00A1696A">
        <w:rPr>
          <w:rFonts w:ascii="Times New Roman" w:hAnsi="Times New Roman" w:cs="Times New Roman"/>
          <w:i/>
          <w:sz w:val="24"/>
          <w:szCs w:val="24"/>
          <w:lang w:eastAsia="bg-BG"/>
        </w:rPr>
        <w:t>8</w:t>
      </w:r>
      <w:r w:rsidRPr="00A1696A">
        <w:rPr>
          <w:rFonts w:ascii="Times New Roman" w:hAnsi="Times New Roman" w:cs="Times New Roman"/>
          <w:i/>
          <w:sz w:val="24"/>
          <w:szCs w:val="24"/>
          <w:lang w:eastAsia="bg-BG"/>
        </w:rPr>
        <w:t>. Интерпретиран и комбиниран сеизмичен разрез GGP-3018-04 и GGP-3018-06 във време, илюстриращ продължение на седиментния басейн на запад и характерните турбидитни депоцентрове по продължението на основния отсед</w:t>
      </w:r>
    </w:p>
    <w:p w14:paraId="7D68A13D" w14:textId="77777777" w:rsidR="00907BAD" w:rsidRDefault="00907BAD" w:rsidP="00907BAD">
      <w:pPr>
        <w:spacing w:after="0" w:line="240" w:lineRule="auto"/>
        <w:ind w:firstLine="709"/>
        <w:jc w:val="both"/>
        <w:rPr>
          <w:rFonts w:ascii="Times New Roman" w:hAnsi="Times New Roman" w:cs="Times New Roman"/>
          <w:sz w:val="24"/>
          <w:szCs w:val="24"/>
        </w:rPr>
      </w:pPr>
    </w:p>
    <w:p w14:paraId="56FBD830" w14:textId="62DE18C1" w:rsidR="00907BAD" w:rsidRPr="00A1696A" w:rsidRDefault="00907BAD" w:rsidP="00907BAD">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 xml:space="preserve">Въз основа на направените анализи може да предположим, че седиментацията през ранния-средния еоцен (фиг. 9), в северната и североизточната части на района на изследване, е представена от континентални, флувиоделтови, </w:t>
      </w:r>
      <w:bookmarkStart w:id="60" w:name="_Hlk949486"/>
      <w:r w:rsidRPr="00A1696A">
        <w:rPr>
          <w:rFonts w:ascii="Times New Roman" w:hAnsi="Times New Roman" w:cs="Times New Roman"/>
          <w:sz w:val="24"/>
          <w:szCs w:val="24"/>
        </w:rPr>
        <w:t>плиткоморски и турбидитни отложения на корелата на формация Hamitabat</w:t>
      </w:r>
      <w:bookmarkEnd w:id="60"/>
      <w:r w:rsidRPr="00A1696A">
        <w:rPr>
          <w:rFonts w:ascii="Times New Roman" w:hAnsi="Times New Roman" w:cs="Times New Roman"/>
          <w:sz w:val="24"/>
          <w:szCs w:val="24"/>
        </w:rPr>
        <w:t xml:space="preserve"> от турска територия</w:t>
      </w:r>
      <w:bookmarkStart w:id="61" w:name="_Hlk949439"/>
      <w:r w:rsidRPr="00A1696A">
        <w:rPr>
          <w:rFonts w:ascii="Times New Roman" w:hAnsi="Times New Roman" w:cs="Times New Roman"/>
          <w:sz w:val="24"/>
          <w:szCs w:val="24"/>
        </w:rPr>
        <w:t>, отложени под силно-тектонски контрол</w:t>
      </w:r>
      <w:bookmarkEnd w:id="61"/>
      <w:r w:rsidRPr="00A1696A">
        <w:rPr>
          <w:rFonts w:ascii="Times New Roman" w:hAnsi="Times New Roman" w:cs="Times New Roman"/>
          <w:sz w:val="24"/>
          <w:szCs w:val="24"/>
        </w:rPr>
        <w:t xml:space="preserve">. В западната част на изследваната площ, скалите от Бисерска и Лешниковска свити вероятно са образувани в </w:t>
      </w:r>
      <w:bookmarkStart w:id="62" w:name="_Hlk949320"/>
      <w:r w:rsidRPr="00A1696A">
        <w:rPr>
          <w:rFonts w:ascii="Times New Roman" w:hAnsi="Times New Roman" w:cs="Times New Roman"/>
          <w:sz w:val="24"/>
          <w:szCs w:val="24"/>
        </w:rPr>
        <w:t>алувиална и пролувиална обстановка</w:t>
      </w:r>
      <w:bookmarkEnd w:id="62"/>
      <w:r w:rsidRPr="00A1696A">
        <w:rPr>
          <w:rFonts w:ascii="Times New Roman" w:hAnsi="Times New Roman" w:cs="Times New Roman"/>
          <w:sz w:val="24"/>
          <w:szCs w:val="24"/>
        </w:rPr>
        <w:t>. В южната част на района на изследване, хорста,</w:t>
      </w:r>
      <w:r w:rsidRPr="00A1696A">
        <w:rPr>
          <w:rFonts w:ascii="Times New Roman" w:hAnsi="Times New Roman"/>
          <w:sz w:val="24"/>
          <w:szCs w:val="24"/>
        </w:rPr>
        <w:t xml:space="preserve"> в който е прокаран сондаж </w:t>
      </w:r>
      <w:r w:rsidRPr="00A1696A">
        <w:rPr>
          <w:rFonts w:ascii="Times New Roman" w:hAnsi="Times New Roman" w:cs="Times New Roman"/>
          <w:sz w:val="24"/>
          <w:szCs w:val="24"/>
        </w:rPr>
        <w:t xml:space="preserve">Р-1 Свиленград и Имбреджекската хорст-антиклинала, се характеризира с отсъствие на седиментация през този </w:t>
      </w:r>
      <w:r>
        <w:rPr>
          <w:rFonts w:ascii="Times New Roman" w:hAnsi="Times New Roman" w:cs="Times New Roman"/>
          <w:sz w:val="24"/>
          <w:szCs w:val="24"/>
        </w:rPr>
        <w:t>стратиграфски</w:t>
      </w:r>
      <w:r w:rsidRPr="00A1696A">
        <w:rPr>
          <w:rFonts w:ascii="Times New Roman" w:hAnsi="Times New Roman" w:cs="Times New Roman"/>
          <w:sz w:val="24"/>
          <w:szCs w:val="24"/>
        </w:rPr>
        <w:t xml:space="preserve"> интервал.  </w:t>
      </w:r>
    </w:p>
    <w:p w14:paraId="3D24C0BD" w14:textId="77777777" w:rsidR="00907BAD" w:rsidRPr="00A1696A" w:rsidRDefault="00907BAD" w:rsidP="00907BAD">
      <w:pPr>
        <w:spacing w:after="0" w:line="240" w:lineRule="auto"/>
        <w:ind w:firstLine="709"/>
        <w:jc w:val="both"/>
        <w:rPr>
          <w:rFonts w:ascii="Times New Roman" w:hAnsi="Times New Roman" w:cs="Times New Roman"/>
          <w:b/>
          <w:sz w:val="24"/>
          <w:szCs w:val="24"/>
          <w:u w:val="single"/>
          <w:lang w:eastAsia="bg-BG"/>
        </w:rPr>
      </w:pPr>
      <w:bookmarkStart w:id="63" w:name="_Hlk7789465"/>
      <w:r w:rsidRPr="00A1696A">
        <w:rPr>
          <w:rFonts w:ascii="Times New Roman" w:hAnsi="Times New Roman" w:cs="Times New Roman"/>
          <w:b/>
          <w:sz w:val="24"/>
          <w:szCs w:val="24"/>
          <w:u w:val="single"/>
          <w:lang w:eastAsia="bg-BG"/>
        </w:rPr>
        <w:t>Късен еоцен (приабон)</w:t>
      </w:r>
    </w:p>
    <w:p w14:paraId="4602F797" w14:textId="77777777" w:rsidR="00907BAD" w:rsidRPr="00A1696A" w:rsidRDefault="00907BAD" w:rsidP="00907BAD">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u w:val="single"/>
          <w:lang w:eastAsia="bg-BG"/>
        </w:rPr>
        <w:t>На турска територия,</w:t>
      </w:r>
      <w:r w:rsidRPr="00A1696A">
        <w:rPr>
          <w:rFonts w:ascii="Times New Roman" w:hAnsi="Times New Roman" w:cs="Times New Roman"/>
          <w:sz w:val="24"/>
          <w:szCs w:val="24"/>
          <w:lang w:eastAsia="bg-BG"/>
        </w:rPr>
        <w:t xml:space="preserve"> в издигнатите структури, най-южните части на Странджа и Централното тракийско издигане, директно върху фундамента, се отлагат съответно хаотично разположени едрокъсови теригенни седименти с широко разпространени дебритови потоци и олистостромни хоризонти на формация </w:t>
      </w:r>
      <w:r w:rsidRPr="00A1696A">
        <w:rPr>
          <w:rFonts w:ascii="Times New Roman" w:hAnsi="Times New Roman" w:cs="Times New Roman"/>
          <w:b/>
          <w:i/>
          <w:sz w:val="24"/>
          <w:szCs w:val="24"/>
          <w:lang w:eastAsia="bg-BG"/>
        </w:rPr>
        <w:t>Akalan</w:t>
      </w:r>
      <w:r w:rsidRPr="00A1696A">
        <w:rPr>
          <w:rFonts w:ascii="Times New Roman" w:hAnsi="Times New Roman" w:cs="Times New Roman"/>
          <w:sz w:val="24"/>
          <w:szCs w:val="24"/>
          <w:lang w:eastAsia="bg-BG"/>
        </w:rPr>
        <w:t xml:space="preserve">, и брекчоконгломерати и пясъчници на формация </w:t>
      </w:r>
      <w:r w:rsidRPr="00A1696A">
        <w:rPr>
          <w:rFonts w:ascii="Times New Roman" w:hAnsi="Times New Roman" w:cs="Times New Roman"/>
          <w:b/>
          <w:i/>
          <w:sz w:val="24"/>
          <w:szCs w:val="24"/>
          <w:lang w:eastAsia="bg-BG"/>
        </w:rPr>
        <w:t>Koyunbaba</w:t>
      </w:r>
      <w:r w:rsidRPr="00A1696A">
        <w:rPr>
          <w:rFonts w:ascii="Times New Roman" w:hAnsi="Times New Roman" w:cs="Times New Roman"/>
          <w:sz w:val="24"/>
          <w:szCs w:val="24"/>
          <w:lang w:eastAsia="bg-BG"/>
        </w:rPr>
        <w:t xml:space="preserve"> (Keskin, 1974, фиг. 6). </w:t>
      </w:r>
    </w:p>
    <w:bookmarkEnd w:id="63"/>
    <w:p w14:paraId="10FAAD00" w14:textId="77777777" w:rsidR="00907BAD" w:rsidRPr="00A1696A" w:rsidRDefault="00907BAD" w:rsidP="006B6EBF">
      <w:pPr>
        <w:spacing w:after="0" w:line="240" w:lineRule="auto"/>
        <w:jc w:val="center"/>
        <w:rPr>
          <w:rFonts w:ascii="Times New Roman" w:hAnsi="Times New Roman" w:cs="Times New Roman"/>
          <w:i/>
          <w:sz w:val="24"/>
          <w:szCs w:val="24"/>
          <w:lang w:eastAsia="bg-BG"/>
        </w:rPr>
      </w:pPr>
    </w:p>
    <w:p w14:paraId="737B64A9" w14:textId="5FD1A57F" w:rsidR="00B17D4F" w:rsidRPr="00A1696A" w:rsidRDefault="00B17D4F"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noProof/>
          <w:sz w:val="24"/>
          <w:szCs w:val="24"/>
          <w:lang w:eastAsia="bg-BG"/>
        </w:rPr>
        <w:lastRenderedPageBreak/>
        <w:drawing>
          <wp:inline distT="0" distB="0" distL="0" distR="0" wp14:anchorId="08C6EDF4" wp14:editId="3B9244C3">
            <wp:extent cx="5941401" cy="4459459"/>
            <wp:effectExtent l="0" t="0" r="2540" b="0"/>
            <wp:docPr id="7181" name="Картина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Lithofacies middle eocene2.jpg"/>
                    <pic:cNvPicPr/>
                  </pic:nvPicPr>
                  <pic:blipFill rotWithShape="1">
                    <a:blip r:embed="rId20" cstate="print">
                      <a:extLst>
                        <a:ext uri="{28A0092B-C50C-407E-A947-70E740481C1C}">
                          <a14:useLocalDpi xmlns:a14="http://schemas.microsoft.com/office/drawing/2010/main" val="0"/>
                        </a:ext>
                      </a:extLst>
                    </a:blip>
                    <a:srcRect l="6865" t="1046" r="6739"/>
                    <a:stretch/>
                  </pic:blipFill>
                  <pic:spPr bwMode="auto">
                    <a:xfrm>
                      <a:off x="0" y="0"/>
                      <a:ext cx="5987697" cy="4494208"/>
                    </a:xfrm>
                    <a:prstGeom prst="rect">
                      <a:avLst/>
                    </a:prstGeom>
                    <a:ln>
                      <a:noFill/>
                    </a:ln>
                    <a:extLst>
                      <a:ext uri="{53640926-AAD7-44D8-BBD7-CCE9431645EC}">
                        <a14:shadowObscured xmlns:a14="http://schemas.microsoft.com/office/drawing/2010/main"/>
                      </a:ext>
                    </a:extLst>
                  </pic:spPr>
                </pic:pic>
              </a:graphicData>
            </a:graphic>
          </wp:inline>
        </w:drawing>
      </w:r>
    </w:p>
    <w:p w14:paraId="41057FDF" w14:textId="2B97D7A9" w:rsidR="00654DE3" w:rsidRPr="00A1696A" w:rsidRDefault="00654DE3"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895F40" w:rsidRPr="00A1696A">
        <w:rPr>
          <w:rFonts w:ascii="Times New Roman" w:hAnsi="Times New Roman" w:cs="Times New Roman"/>
          <w:i/>
          <w:sz w:val="24"/>
          <w:szCs w:val="24"/>
          <w:lang w:eastAsia="bg-BG"/>
        </w:rPr>
        <w:t>9</w:t>
      </w:r>
      <w:r w:rsidRPr="00A1696A">
        <w:rPr>
          <w:rFonts w:ascii="Times New Roman" w:hAnsi="Times New Roman" w:cs="Times New Roman"/>
          <w:i/>
          <w:sz w:val="24"/>
          <w:szCs w:val="24"/>
          <w:lang w:eastAsia="bg-BG"/>
        </w:rPr>
        <w:t xml:space="preserve">. Палеогеографска схема на района на изучаване през палеоцен – </w:t>
      </w:r>
      <w:r w:rsidR="00CF4055" w:rsidRPr="00A1696A">
        <w:rPr>
          <w:rFonts w:ascii="Times New Roman" w:hAnsi="Times New Roman" w:cs="Times New Roman"/>
          <w:i/>
          <w:sz w:val="24"/>
          <w:szCs w:val="24"/>
          <w:lang w:eastAsia="bg-BG"/>
        </w:rPr>
        <w:t>ранно</w:t>
      </w:r>
      <w:r w:rsidRPr="00A1696A">
        <w:rPr>
          <w:rFonts w:ascii="Times New Roman" w:hAnsi="Times New Roman" w:cs="Times New Roman"/>
          <w:i/>
          <w:sz w:val="24"/>
          <w:szCs w:val="24"/>
          <w:lang w:eastAsia="bg-BG"/>
        </w:rPr>
        <w:t>-средноеоценската епоха</w:t>
      </w:r>
    </w:p>
    <w:p w14:paraId="346F06AC" w14:textId="77777777" w:rsidR="00907BAD" w:rsidRDefault="00907BAD" w:rsidP="008F6CA4">
      <w:pPr>
        <w:spacing w:after="0" w:line="240" w:lineRule="auto"/>
        <w:ind w:firstLine="709"/>
        <w:jc w:val="both"/>
        <w:rPr>
          <w:rFonts w:ascii="Times New Roman" w:hAnsi="Times New Roman" w:cs="Times New Roman"/>
          <w:sz w:val="24"/>
          <w:szCs w:val="24"/>
          <w:u w:val="single"/>
          <w:lang w:eastAsia="bg-BG"/>
        </w:rPr>
      </w:pPr>
    </w:p>
    <w:p w14:paraId="060B54CE" w14:textId="4CA05BDC" w:rsidR="00654DE3" w:rsidRPr="00A1696A" w:rsidRDefault="00654DE3" w:rsidP="008F6CA4">
      <w:pPr>
        <w:spacing w:after="0" w:line="240" w:lineRule="auto"/>
        <w:ind w:firstLine="709"/>
        <w:jc w:val="both"/>
        <w:rPr>
          <w:rFonts w:ascii="Times New Roman" w:hAnsi="Times New Roman" w:cs="Times New Roman"/>
          <w:sz w:val="24"/>
          <w:szCs w:val="24"/>
        </w:rPr>
      </w:pPr>
      <w:bookmarkStart w:id="64" w:name="_Hlk7789705"/>
      <w:r w:rsidRPr="00A1696A">
        <w:rPr>
          <w:rFonts w:ascii="Times New Roman" w:hAnsi="Times New Roman" w:cs="Times New Roman"/>
          <w:sz w:val="24"/>
          <w:szCs w:val="24"/>
          <w:u w:val="single"/>
          <w:lang w:eastAsia="bg-BG"/>
        </w:rPr>
        <w:t>На българска територия</w:t>
      </w:r>
      <w:r w:rsidRPr="00A1696A">
        <w:rPr>
          <w:rFonts w:ascii="Times New Roman" w:hAnsi="Times New Roman" w:cs="Times New Roman"/>
          <w:sz w:val="24"/>
          <w:szCs w:val="24"/>
          <w:lang w:eastAsia="bg-BG"/>
        </w:rPr>
        <w:t xml:space="preserve">, в северната част на изследвания район и </w:t>
      </w:r>
      <w:r w:rsidR="00D044DB" w:rsidRPr="00A1696A">
        <w:rPr>
          <w:rFonts w:ascii="Times New Roman" w:hAnsi="Times New Roman" w:cs="Times New Roman"/>
          <w:sz w:val="24"/>
          <w:szCs w:val="24"/>
          <w:lang w:eastAsia="bg-BG"/>
        </w:rPr>
        <w:t xml:space="preserve">в хорста със </w:t>
      </w:r>
      <w:r w:rsidRPr="00A1696A">
        <w:rPr>
          <w:rFonts w:ascii="Times New Roman" w:hAnsi="Times New Roman" w:cs="Times New Roman"/>
          <w:sz w:val="24"/>
          <w:szCs w:val="24"/>
          <w:lang w:eastAsia="bg-BG"/>
        </w:rPr>
        <w:t>сондаж Р-1 Свиленгра</w:t>
      </w:r>
      <w:r w:rsidR="008F6CA4" w:rsidRPr="00A1696A">
        <w:rPr>
          <w:rFonts w:ascii="Times New Roman" w:hAnsi="Times New Roman" w:cs="Times New Roman"/>
          <w:sz w:val="24"/>
          <w:szCs w:val="24"/>
          <w:lang w:eastAsia="bg-BG"/>
        </w:rPr>
        <w:t>д</w:t>
      </w:r>
      <w:r w:rsidRPr="00A1696A">
        <w:rPr>
          <w:rFonts w:ascii="Times New Roman" w:hAnsi="Times New Roman" w:cs="Times New Roman"/>
          <w:sz w:val="24"/>
          <w:szCs w:val="24"/>
          <w:lang w:eastAsia="bg-BG"/>
        </w:rPr>
        <w:t xml:space="preserve">, се наблюдава отлагане на съответно </w:t>
      </w:r>
      <w:r w:rsidRPr="00A1696A">
        <w:rPr>
          <w:rFonts w:ascii="Times New Roman" w:hAnsi="Times New Roman" w:cs="Times New Roman"/>
          <w:b/>
          <w:i/>
          <w:sz w:val="24"/>
          <w:szCs w:val="24"/>
          <w:lang w:eastAsia="bg-BG"/>
        </w:rPr>
        <w:t>брекчоконгломерато-пясъчниковата</w:t>
      </w:r>
      <w:r w:rsidRPr="00A1696A">
        <w:rPr>
          <w:rFonts w:ascii="Times New Roman" w:hAnsi="Times New Roman" w:cs="Times New Roman"/>
          <w:sz w:val="24"/>
          <w:szCs w:val="24"/>
          <w:lang w:eastAsia="bg-BG"/>
        </w:rPr>
        <w:t xml:space="preserve"> и </w:t>
      </w:r>
      <w:r w:rsidRPr="00A1696A">
        <w:rPr>
          <w:rFonts w:ascii="Times New Roman" w:hAnsi="Times New Roman" w:cs="Times New Roman"/>
          <w:b/>
          <w:i/>
          <w:sz w:val="24"/>
          <w:szCs w:val="24"/>
          <w:lang w:eastAsia="bg-BG"/>
        </w:rPr>
        <w:t>брекчоконгомератната задруги</w:t>
      </w:r>
      <w:r w:rsidRPr="00A1696A">
        <w:rPr>
          <w:rFonts w:ascii="Times New Roman" w:hAnsi="Times New Roman" w:cs="Times New Roman"/>
          <w:sz w:val="24"/>
          <w:szCs w:val="24"/>
          <w:lang w:eastAsia="bg-BG"/>
        </w:rPr>
        <w:t xml:space="preserve">. На сеизмичните разрези </w:t>
      </w:r>
      <w:r w:rsidRPr="00A1696A">
        <w:rPr>
          <w:rFonts w:ascii="Times New Roman" w:hAnsi="Times New Roman" w:cs="Times New Roman"/>
          <w:sz w:val="24"/>
          <w:szCs w:val="24"/>
        </w:rPr>
        <w:t>ясно се проследява несъгласно залягане на скалите от тези задруги, с характерен ъглов дискорданс</w:t>
      </w:r>
      <w:r w:rsidR="00907BAD">
        <w:rPr>
          <w:rFonts w:ascii="Times New Roman" w:hAnsi="Times New Roman" w:cs="Times New Roman"/>
          <w:sz w:val="24"/>
          <w:szCs w:val="24"/>
        </w:rPr>
        <w:t xml:space="preserve">, както </w:t>
      </w:r>
      <w:r w:rsidRPr="00A1696A">
        <w:rPr>
          <w:rFonts w:ascii="Times New Roman" w:hAnsi="Times New Roman" w:cs="Times New Roman"/>
          <w:sz w:val="24"/>
          <w:szCs w:val="24"/>
        </w:rPr>
        <w:t>директно върху фундамента, така също и върху аналога на формация Hamitabat (фиг.</w:t>
      </w:r>
      <w:r w:rsidR="00895F40" w:rsidRPr="00A1696A">
        <w:rPr>
          <w:rFonts w:ascii="Times New Roman" w:hAnsi="Times New Roman" w:cs="Times New Roman"/>
          <w:sz w:val="24"/>
          <w:szCs w:val="24"/>
        </w:rPr>
        <w:t>7</w:t>
      </w:r>
      <w:r w:rsidRPr="00A1696A">
        <w:rPr>
          <w:rFonts w:ascii="Times New Roman" w:hAnsi="Times New Roman" w:cs="Times New Roman"/>
          <w:sz w:val="24"/>
          <w:szCs w:val="24"/>
        </w:rPr>
        <w:t xml:space="preserve">, </w:t>
      </w:r>
      <w:r w:rsidR="004247B5" w:rsidRPr="00A1696A">
        <w:rPr>
          <w:rFonts w:ascii="Times New Roman" w:hAnsi="Times New Roman" w:cs="Times New Roman"/>
          <w:sz w:val="24"/>
          <w:szCs w:val="24"/>
        </w:rPr>
        <w:t xml:space="preserve">горнище на </w:t>
      </w:r>
      <w:r w:rsidRPr="00A1696A">
        <w:rPr>
          <w:rFonts w:ascii="Times New Roman" w:hAnsi="Times New Roman" w:cs="Times New Roman"/>
          <w:sz w:val="24"/>
          <w:szCs w:val="24"/>
        </w:rPr>
        <w:t>хоризонт</w:t>
      </w:r>
      <w:r w:rsidR="004247B5" w:rsidRPr="00A1696A">
        <w:rPr>
          <w:rFonts w:ascii="Times New Roman" w:hAnsi="Times New Roman" w:cs="Times New Roman"/>
          <w:sz w:val="24"/>
          <w:szCs w:val="24"/>
        </w:rPr>
        <w:t>а</w:t>
      </w:r>
      <w:r w:rsidRPr="00A1696A">
        <w:rPr>
          <w:rFonts w:ascii="Times New Roman" w:hAnsi="Times New Roman" w:cs="Times New Roman"/>
          <w:sz w:val="24"/>
          <w:szCs w:val="24"/>
        </w:rPr>
        <w:t xml:space="preserve"> в розов цвят). </w:t>
      </w:r>
      <w:r w:rsidRPr="00A1696A">
        <w:rPr>
          <w:rFonts w:ascii="Times New Roman" w:hAnsi="Times New Roman" w:cs="Times New Roman"/>
          <w:sz w:val="24"/>
          <w:szCs w:val="24"/>
          <w:lang w:eastAsia="bg-BG"/>
        </w:rPr>
        <w:t xml:space="preserve">Тази секвенция показва силно син-тектонско развитие на пластовете срещу главния разлом, северно от </w:t>
      </w:r>
      <w:r w:rsidR="00907BAD">
        <w:rPr>
          <w:rFonts w:ascii="Times New Roman" w:hAnsi="Times New Roman" w:cs="Times New Roman"/>
          <w:sz w:val="24"/>
          <w:szCs w:val="24"/>
          <w:lang w:eastAsia="bg-BG"/>
        </w:rPr>
        <w:t xml:space="preserve">сондаж </w:t>
      </w:r>
      <w:r w:rsidRPr="00A1696A">
        <w:rPr>
          <w:rFonts w:ascii="Times New Roman" w:hAnsi="Times New Roman" w:cs="Times New Roman"/>
          <w:sz w:val="24"/>
          <w:szCs w:val="24"/>
          <w:lang w:eastAsia="bg-BG"/>
        </w:rPr>
        <w:t xml:space="preserve">Р-1 Свиленград, а в местата на залягане към фундамента се наблюдава характерно изтъняване. </w:t>
      </w:r>
      <w:r w:rsidR="00D044DB" w:rsidRPr="00A1696A">
        <w:rPr>
          <w:rFonts w:ascii="Times New Roman" w:hAnsi="Times New Roman" w:cs="Times New Roman"/>
          <w:sz w:val="24"/>
          <w:szCs w:val="24"/>
          <w:lang w:eastAsia="bg-BG"/>
        </w:rPr>
        <w:t>На места се наблюдават отражения, които биха могли да се интерпретират като подводни конуси. У</w:t>
      </w:r>
      <w:r w:rsidRPr="00A1696A">
        <w:rPr>
          <w:rFonts w:ascii="Times New Roman" w:hAnsi="Times New Roman" w:cs="Times New Roman"/>
          <w:sz w:val="24"/>
          <w:szCs w:val="24"/>
          <w:lang w:eastAsia="bg-BG"/>
        </w:rPr>
        <w:t>становените фораминиферни съобщества в пясъчниците на задруга</w:t>
      </w:r>
      <w:r w:rsidR="008F6CA4" w:rsidRPr="00A1696A">
        <w:rPr>
          <w:rFonts w:ascii="Times New Roman" w:hAnsi="Times New Roman" w:cs="Times New Roman"/>
          <w:sz w:val="24"/>
          <w:szCs w:val="24"/>
          <w:lang w:eastAsia="bg-BG"/>
        </w:rPr>
        <w:t>та</w:t>
      </w:r>
      <w:r w:rsidRPr="00A1696A">
        <w:rPr>
          <w:rFonts w:ascii="Times New Roman" w:hAnsi="Times New Roman" w:cs="Times New Roman"/>
          <w:sz w:val="24"/>
          <w:szCs w:val="24"/>
          <w:lang w:eastAsia="bg-BG"/>
        </w:rPr>
        <w:t xml:space="preserve"> в хорста</w:t>
      </w:r>
      <w:r w:rsidR="00514EC4" w:rsidRPr="00A1696A">
        <w:rPr>
          <w:rFonts w:ascii="Times New Roman" w:hAnsi="Times New Roman" w:cs="Times New Roman"/>
          <w:sz w:val="24"/>
          <w:szCs w:val="24"/>
          <w:lang w:eastAsia="bg-BG"/>
        </w:rPr>
        <w:t>, където е заложен</w:t>
      </w:r>
      <w:r w:rsidRPr="00A1696A">
        <w:rPr>
          <w:rFonts w:ascii="Times New Roman" w:hAnsi="Times New Roman" w:cs="Times New Roman"/>
          <w:sz w:val="24"/>
          <w:szCs w:val="24"/>
          <w:lang w:eastAsia="bg-BG"/>
        </w:rPr>
        <w:t xml:space="preserve"> </w:t>
      </w:r>
      <w:r w:rsidR="00C60C4F">
        <w:rPr>
          <w:rFonts w:ascii="Times New Roman" w:hAnsi="Times New Roman" w:cs="Times New Roman"/>
          <w:sz w:val="24"/>
          <w:szCs w:val="24"/>
          <w:lang w:eastAsia="bg-BG"/>
        </w:rPr>
        <w:t xml:space="preserve">сондаж </w:t>
      </w:r>
      <w:r w:rsidR="008F6CA4" w:rsidRPr="00A1696A">
        <w:rPr>
          <w:rFonts w:ascii="Times New Roman" w:hAnsi="Times New Roman" w:cs="Times New Roman"/>
          <w:sz w:val="24"/>
          <w:szCs w:val="24"/>
          <w:lang w:eastAsia="bg-BG"/>
        </w:rPr>
        <w:t xml:space="preserve"> Р-1 Свиленград</w:t>
      </w:r>
      <w:r w:rsidR="00514EC4"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доказва освен пр</w:t>
      </w:r>
      <w:r w:rsidR="00205DC9" w:rsidRPr="00A1696A">
        <w:rPr>
          <w:rFonts w:ascii="Times New Roman" w:hAnsi="Times New Roman" w:cs="Times New Roman"/>
          <w:sz w:val="24"/>
          <w:szCs w:val="24"/>
          <w:lang w:eastAsia="bg-BG"/>
        </w:rPr>
        <w:t>и</w:t>
      </w:r>
      <w:r w:rsidRPr="00A1696A">
        <w:rPr>
          <w:rFonts w:ascii="Times New Roman" w:hAnsi="Times New Roman" w:cs="Times New Roman"/>
          <w:sz w:val="24"/>
          <w:szCs w:val="24"/>
          <w:lang w:eastAsia="bg-BG"/>
        </w:rPr>
        <w:t>абонската възраст и налагането на морска обстановка.</w:t>
      </w:r>
      <w:r w:rsidR="008F6CA4"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В най-югозападната част на района на изследване (Имбреджекска </w:t>
      </w:r>
      <w:r w:rsidR="00907BAD">
        <w:rPr>
          <w:rFonts w:ascii="Times New Roman" w:hAnsi="Times New Roman" w:cs="Times New Roman"/>
          <w:sz w:val="24"/>
          <w:szCs w:val="24"/>
          <w:lang w:eastAsia="bg-BG"/>
        </w:rPr>
        <w:t>хорст-антиклинала</w:t>
      </w:r>
      <w:r w:rsidRPr="00A1696A">
        <w:rPr>
          <w:rFonts w:ascii="Times New Roman" w:hAnsi="Times New Roman" w:cs="Times New Roman"/>
          <w:sz w:val="24"/>
          <w:szCs w:val="24"/>
          <w:lang w:eastAsia="bg-BG"/>
        </w:rPr>
        <w:t xml:space="preserve"> и Бряговско понижение) брекчо</w:t>
      </w:r>
      <w:r w:rsidR="008F6CA4"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конгломератната задруга се характеризира със сложни латерални взаимоотношения на литотиповете в нея</w:t>
      </w:r>
      <w:r w:rsidR="00732C21"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както и преминаване от конгломератен към гравийно-песъчлив фациес. </w:t>
      </w:r>
    </w:p>
    <w:p w14:paraId="0DC83AD3" w14:textId="5950BBE4" w:rsidR="00654DE3" w:rsidRDefault="0078683E"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С</w:t>
      </w:r>
      <w:r w:rsidR="00654DE3" w:rsidRPr="00A1696A">
        <w:rPr>
          <w:rFonts w:ascii="Times New Roman" w:hAnsi="Times New Roman" w:cs="Times New Roman"/>
          <w:sz w:val="24"/>
          <w:szCs w:val="24"/>
          <w:lang w:eastAsia="bg-BG"/>
        </w:rPr>
        <w:t xml:space="preserve">ледствие на направените анализи на теренните, геофизичните и сондажните данни, геоложкото развитие </w:t>
      </w:r>
      <w:r w:rsidR="00FF5664" w:rsidRPr="00A1696A">
        <w:rPr>
          <w:rFonts w:ascii="Times New Roman" w:hAnsi="Times New Roman" w:cs="Times New Roman"/>
          <w:sz w:val="24"/>
          <w:szCs w:val="24"/>
          <w:lang w:eastAsia="bg-BG"/>
        </w:rPr>
        <w:t xml:space="preserve">в началото на </w:t>
      </w:r>
      <w:r w:rsidR="00CF4055" w:rsidRPr="00A1696A">
        <w:rPr>
          <w:rFonts w:ascii="Times New Roman" w:hAnsi="Times New Roman" w:cs="Times New Roman"/>
          <w:sz w:val="24"/>
          <w:szCs w:val="24"/>
          <w:lang w:eastAsia="bg-BG"/>
        </w:rPr>
        <w:t>къс</w:t>
      </w:r>
      <w:r w:rsidR="00FF5664" w:rsidRPr="00A1696A">
        <w:rPr>
          <w:rFonts w:ascii="Times New Roman" w:hAnsi="Times New Roman" w:cs="Times New Roman"/>
          <w:sz w:val="24"/>
          <w:szCs w:val="24"/>
          <w:lang w:eastAsia="bg-BG"/>
        </w:rPr>
        <w:t>ноеоценската епоха</w:t>
      </w:r>
      <w:r w:rsidR="00654DE3" w:rsidRPr="00A1696A">
        <w:rPr>
          <w:rFonts w:ascii="Times New Roman" w:hAnsi="Times New Roman" w:cs="Times New Roman"/>
          <w:sz w:val="24"/>
          <w:szCs w:val="24"/>
          <w:lang w:eastAsia="bg-BG"/>
        </w:rPr>
        <w:t>, в изследвания район, може да се тълкува по следния начин (фиг.</w:t>
      </w:r>
      <w:r w:rsidR="00246DE8" w:rsidRPr="00A1696A">
        <w:rPr>
          <w:rFonts w:ascii="Times New Roman" w:hAnsi="Times New Roman" w:cs="Times New Roman"/>
          <w:sz w:val="24"/>
          <w:szCs w:val="24"/>
          <w:lang w:eastAsia="bg-BG"/>
        </w:rPr>
        <w:t>1</w:t>
      </w:r>
      <w:r w:rsidR="00895F40" w:rsidRPr="00A1696A">
        <w:rPr>
          <w:rFonts w:ascii="Times New Roman" w:hAnsi="Times New Roman" w:cs="Times New Roman"/>
          <w:sz w:val="24"/>
          <w:szCs w:val="24"/>
          <w:lang w:eastAsia="bg-BG"/>
        </w:rPr>
        <w:t>0</w:t>
      </w:r>
      <w:r w:rsidR="00654DE3" w:rsidRPr="00A1696A">
        <w:rPr>
          <w:rFonts w:ascii="Times New Roman" w:hAnsi="Times New Roman" w:cs="Times New Roman"/>
          <w:sz w:val="24"/>
          <w:szCs w:val="24"/>
          <w:lang w:eastAsia="bg-BG"/>
        </w:rPr>
        <w:t xml:space="preserve">): </w:t>
      </w:r>
    </w:p>
    <w:p w14:paraId="35759698" w14:textId="77777777" w:rsidR="0041546F" w:rsidRPr="00A1696A" w:rsidRDefault="0041546F" w:rsidP="0041546F">
      <w:pPr>
        <w:spacing w:after="0" w:line="240" w:lineRule="auto"/>
        <w:ind w:firstLine="709"/>
        <w:jc w:val="both"/>
        <w:rPr>
          <w:rFonts w:ascii="Times New Roman" w:hAnsi="Times New Roman" w:cs="Times New Roman"/>
          <w:i/>
          <w:sz w:val="24"/>
          <w:szCs w:val="24"/>
          <w:lang w:eastAsia="bg-BG"/>
        </w:rPr>
      </w:pPr>
      <w:r w:rsidRPr="00A1696A">
        <w:rPr>
          <w:rFonts w:ascii="Times New Roman" w:hAnsi="Times New Roman" w:cs="Times New Roman"/>
          <w:sz w:val="24"/>
          <w:szCs w:val="24"/>
          <w:lang w:eastAsia="bg-BG"/>
        </w:rPr>
        <w:t xml:space="preserve">По време на Илирските нагъвателни движения стават значителни накъсвания и се образуват различни по форма и размери понижени части, в които се образува дебел конгломератов хоризонт. Пропаданията с голяма амплитуда по главния разлом, </w:t>
      </w:r>
      <w:bookmarkStart w:id="65" w:name="_Hlk949725"/>
      <w:r w:rsidRPr="00A1696A">
        <w:rPr>
          <w:rFonts w:ascii="Times New Roman" w:hAnsi="Times New Roman" w:cs="Times New Roman"/>
          <w:sz w:val="24"/>
          <w:szCs w:val="24"/>
          <w:lang w:eastAsia="bg-BG"/>
        </w:rPr>
        <w:t>първоначално контролират делувиално-пролувиална и колувиална континентална седиментация</w:t>
      </w:r>
      <w:bookmarkEnd w:id="65"/>
      <w:r w:rsidRPr="00A1696A">
        <w:rPr>
          <w:rFonts w:ascii="Times New Roman" w:hAnsi="Times New Roman" w:cs="Times New Roman"/>
          <w:sz w:val="24"/>
          <w:szCs w:val="24"/>
          <w:lang w:eastAsia="bg-BG"/>
        </w:rPr>
        <w:t xml:space="preserve">, а впоследствие се налага </w:t>
      </w:r>
      <w:bookmarkStart w:id="66" w:name="_Hlk949807"/>
      <w:r w:rsidRPr="00A1696A">
        <w:rPr>
          <w:rFonts w:ascii="Times New Roman" w:hAnsi="Times New Roman" w:cs="Times New Roman"/>
          <w:sz w:val="24"/>
          <w:szCs w:val="24"/>
          <w:lang w:eastAsia="bg-BG"/>
        </w:rPr>
        <w:t>плиткоморска прибрежна седиментация</w:t>
      </w:r>
      <w:bookmarkEnd w:id="66"/>
      <w:r w:rsidRPr="00A1696A">
        <w:rPr>
          <w:rFonts w:ascii="Times New Roman" w:hAnsi="Times New Roman" w:cs="Times New Roman"/>
          <w:sz w:val="24"/>
          <w:szCs w:val="24"/>
          <w:lang w:eastAsia="bg-BG"/>
        </w:rPr>
        <w:t xml:space="preserve">, като разширяването на басейна е от СЗ към ЮИ. Вероятно основното подхранване е от юг, където дебелините на приабонските седименти са най-големи - около 2 km. На север, в района на дълбокия сондаж </w:t>
      </w:r>
      <w:r w:rsidRPr="00A1696A">
        <w:rPr>
          <w:rFonts w:ascii="Times New Roman" w:hAnsi="Times New Roman" w:cs="Times New Roman"/>
          <w:sz w:val="24"/>
          <w:szCs w:val="24"/>
          <w:lang w:eastAsia="bg-BG"/>
        </w:rPr>
        <w:lastRenderedPageBreak/>
        <w:t xml:space="preserve">Р-1 Свиленград дебелините достигат няколкостотин метра и изклинват на север до няколко метра. </w:t>
      </w:r>
    </w:p>
    <w:bookmarkEnd w:id="64"/>
    <w:p w14:paraId="4B186297" w14:textId="23365292" w:rsidR="00B17D4F" w:rsidRPr="00A1696A" w:rsidRDefault="00B17D4F"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noProof/>
          <w:sz w:val="24"/>
          <w:szCs w:val="24"/>
          <w:lang w:eastAsia="bg-BG"/>
        </w:rPr>
        <w:drawing>
          <wp:inline distT="0" distB="0" distL="0" distR="0" wp14:anchorId="760A773D" wp14:editId="13ADDF1A">
            <wp:extent cx="5996541" cy="4283612"/>
            <wp:effectExtent l="0" t="0" r="4445" b="3175"/>
            <wp:docPr id="7182" name="Картина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 name="Lithofacies upper eocene 1_2019.jpg"/>
                    <pic:cNvPicPr/>
                  </pic:nvPicPr>
                  <pic:blipFill rotWithShape="1">
                    <a:blip r:embed="rId21" cstate="print">
                      <a:extLst>
                        <a:ext uri="{28A0092B-C50C-407E-A947-70E740481C1C}">
                          <a14:useLocalDpi xmlns:a14="http://schemas.microsoft.com/office/drawing/2010/main" val="0"/>
                        </a:ext>
                      </a:extLst>
                    </a:blip>
                    <a:srcRect l="6654" t="448" r="6633" b="1"/>
                    <a:stretch/>
                  </pic:blipFill>
                  <pic:spPr bwMode="auto">
                    <a:xfrm>
                      <a:off x="0" y="0"/>
                      <a:ext cx="6007120" cy="4291169"/>
                    </a:xfrm>
                    <a:prstGeom prst="rect">
                      <a:avLst/>
                    </a:prstGeom>
                    <a:ln>
                      <a:noFill/>
                    </a:ln>
                    <a:extLst>
                      <a:ext uri="{53640926-AAD7-44D8-BBD7-CCE9431645EC}">
                        <a14:shadowObscured xmlns:a14="http://schemas.microsoft.com/office/drawing/2010/main"/>
                      </a:ext>
                    </a:extLst>
                  </pic:spPr>
                </pic:pic>
              </a:graphicData>
            </a:graphic>
          </wp:inline>
        </w:drawing>
      </w:r>
    </w:p>
    <w:p w14:paraId="55857B82" w14:textId="0339477E" w:rsidR="00654DE3" w:rsidRPr="00A1696A" w:rsidRDefault="00654DE3"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4914E0" w:rsidRPr="00A1696A">
        <w:rPr>
          <w:rFonts w:ascii="Times New Roman" w:hAnsi="Times New Roman" w:cs="Times New Roman"/>
          <w:i/>
          <w:sz w:val="24"/>
          <w:szCs w:val="24"/>
          <w:lang w:eastAsia="bg-BG"/>
        </w:rPr>
        <w:t>1</w:t>
      </w:r>
      <w:r w:rsidR="00895F40" w:rsidRPr="00A1696A">
        <w:rPr>
          <w:rFonts w:ascii="Times New Roman" w:hAnsi="Times New Roman" w:cs="Times New Roman"/>
          <w:i/>
          <w:sz w:val="24"/>
          <w:szCs w:val="24"/>
          <w:lang w:eastAsia="bg-BG"/>
        </w:rPr>
        <w:t>0</w:t>
      </w:r>
      <w:r w:rsidRPr="00A1696A">
        <w:rPr>
          <w:rFonts w:ascii="Times New Roman" w:hAnsi="Times New Roman" w:cs="Times New Roman"/>
          <w:i/>
          <w:sz w:val="24"/>
          <w:szCs w:val="24"/>
          <w:lang w:eastAsia="bg-BG"/>
        </w:rPr>
        <w:t xml:space="preserve">. Палеогеографска схема на района на изучаване в началото на </w:t>
      </w:r>
      <w:r w:rsidR="00CF4055" w:rsidRPr="00A1696A">
        <w:rPr>
          <w:rFonts w:ascii="Times New Roman" w:hAnsi="Times New Roman" w:cs="Times New Roman"/>
          <w:i/>
          <w:sz w:val="24"/>
          <w:szCs w:val="24"/>
          <w:lang w:eastAsia="bg-BG"/>
        </w:rPr>
        <w:t>късно</w:t>
      </w:r>
      <w:r w:rsidRPr="00A1696A">
        <w:rPr>
          <w:rFonts w:ascii="Times New Roman" w:hAnsi="Times New Roman" w:cs="Times New Roman"/>
          <w:i/>
          <w:sz w:val="24"/>
          <w:szCs w:val="24"/>
          <w:lang w:eastAsia="bg-BG"/>
        </w:rPr>
        <w:t>еоценската епоха</w:t>
      </w:r>
    </w:p>
    <w:p w14:paraId="37A5D1C8" w14:textId="20D4E23D" w:rsidR="00654DE3" w:rsidRPr="00A1696A" w:rsidRDefault="00654DE3" w:rsidP="006B6EBF">
      <w:pPr>
        <w:spacing w:after="0" w:line="240" w:lineRule="auto"/>
        <w:ind w:firstLine="709"/>
        <w:jc w:val="both"/>
        <w:rPr>
          <w:rFonts w:ascii="Times New Roman" w:hAnsi="Times New Roman" w:cs="Times New Roman"/>
          <w:sz w:val="24"/>
          <w:szCs w:val="24"/>
          <w:lang w:eastAsia="bg-BG"/>
        </w:rPr>
      </w:pPr>
      <w:bookmarkStart w:id="67" w:name="_Hlk7790025"/>
      <w:r w:rsidRPr="00A1696A">
        <w:rPr>
          <w:rFonts w:ascii="Times New Roman" w:hAnsi="Times New Roman" w:cs="Times New Roman"/>
          <w:sz w:val="24"/>
          <w:szCs w:val="24"/>
          <w:u w:val="single"/>
          <w:lang w:eastAsia="bg-BG"/>
        </w:rPr>
        <w:t>На турска територия</w:t>
      </w:r>
      <w:r w:rsidRPr="00A1696A">
        <w:rPr>
          <w:rFonts w:ascii="Times New Roman" w:hAnsi="Times New Roman" w:cs="Times New Roman"/>
          <w:sz w:val="24"/>
          <w:szCs w:val="24"/>
          <w:lang w:eastAsia="bg-BG"/>
        </w:rPr>
        <w:t xml:space="preserve"> теригенните седименти преминават латерално или вертикално, в карбонатните скали на формация </w:t>
      </w:r>
      <w:r w:rsidRPr="00A1696A">
        <w:rPr>
          <w:rFonts w:ascii="Times New Roman" w:hAnsi="Times New Roman" w:cs="Times New Roman"/>
          <w:b/>
          <w:i/>
          <w:sz w:val="24"/>
          <w:szCs w:val="24"/>
          <w:lang w:eastAsia="bg-BG"/>
        </w:rPr>
        <w:t>Sogukak</w:t>
      </w:r>
      <w:r w:rsidR="00895F40" w:rsidRPr="00A1696A">
        <w:rPr>
          <w:rFonts w:ascii="Times New Roman" w:hAnsi="Times New Roman" w:cs="Times New Roman"/>
          <w:b/>
          <w:i/>
          <w:sz w:val="24"/>
          <w:szCs w:val="24"/>
          <w:lang w:eastAsia="bg-BG"/>
        </w:rPr>
        <w:t xml:space="preserve"> </w:t>
      </w:r>
      <w:r w:rsidR="00895F40" w:rsidRPr="00A1696A">
        <w:rPr>
          <w:rFonts w:ascii="Times New Roman" w:hAnsi="Times New Roman" w:cs="Times New Roman"/>
          <w:sz w:val="24"/>
          <w:szCs w:val="24"/>
          <w:lang w:eastAsia="bg-BG"/>
        </w:rPr>
        <w:t>(фиг. 6)</w:t>
      </w:r>
      <w:r w:rsidRPr="00A1696A">
        <w:rPr>
          <w:rFonts w:ascii="Times New Roman" w:hAnsi="Times New Roman" w:cs="Times New Roman"/>
          <w:sz w:val="24"/>
          <w:szCs w:val="24"/>
          <w:lang w:eastAsia="bg-BG"/>
        </w:rPr>
        <w:t xml:space="preserve">, представена от дебело-пластови до масивни плиткоморски органогенни варовици с останки от водорасли, корали, фораминифери. Това предполага, че се образуват в рифова, предрифова и дълбоководна среда на отлагане от приабон до късен олигоцен (Varol </w:t>
      </w:r>
      <w:r w:rsidRPr="00A1696A">
        <w:rPr>
          <w:rFonts w:ascii="Times New Roman" w:hAnsi="Times New Roman" w:cs="Times New Roman"/>
          <w:i/>
          <w:sz w:val="24"/>
          <w:szCs w:val="24"/>
          <w:lang w:eastAsia="bg-BG"/>
        </w:rPr>
        <w:t>et al.</w:t>
      </w:r>
      <w:r w:rsidRPr="00A1696A">
        <w:rPr>
          <w:rFonts w:ascii="Times New Roman" w:hAnsi="Times New Roman" w:cs="Times New Roman"/>
          <w:sz w:val="24"/>
          <w:szCs w:val="24"/>
          <w:lang w:eastAsia="bg-BG"/>
        </w:rPr>
        <w:t xml:space="preserve">, 2009). </w:t>
      </w:r>
      <w:r w:rsidR="004914E0" w:rsidRPr="00A1696A">
        <w:rPr>
          <w:rFonts w:ascii="Times New Roman" w:hAnsi="Times New Roman" w:cs="Times New Roman"/>
          <w:sz w:val="24"/>
          <w:szCs w:val="24"/>
          <w:lang w:eastAsia="bg-BG"/>
        </w:rPr>
        <w:t>А в централната част на басейна в Турция</w:t>
      </w:r>
      <w:r w:rsidR="00895F40" w:rsidRPr="00A1696A">
        <w:rPr>
          <w:rFonts w:ascii="Times New Roman" w:hAnsi="Times New Roman" w:cs="Times New Roman"/>
          <w:sz w:val="24"/>
          <w:szCs w:val="24"/>
          <w:lang w:eastAsia="bg-BG"/>
        </w:rPr>
        <w:t xml:space="preserve"> (фиг. 6)</w:t>
      </w:r>
      <w:r w:rsidR="004914E0" w:rsidRPr="00A1696A">
        <w:rPr>
          <w:rFonts w:ascii="Times New Roman" w:hAnsi="Times New Roman" w:cs="Times New Roman"/>
          <w:sz w:val="24"/>
          <w:szCs w:val="24"/>
          <w:lang w:eastAsia="bg-BG"/>
        </w:rPr>
        <w:t xml:space="preserve"> процесите са свързани с отлагане на последователност от дребно-зърнести пясъчници, аргилити, глини, мергели, аргилитни варовици и туфи на формация </w:t>
      </w:r>
      <w:r w:rsidR="004914E0" w:rsidRPr="00A1696A">
        <w:rPr>
          <w:rFonts w:ascii="Times New Roman" w:hAnsi="Times New Roman" w:cs="Times New Roman"/>
          <w:b/>
          <w:i/>
          <w:sz w:val="24"/>
          <w:szCs w:val="24"/>
          <w:lang w:eastAsia="bg-BG"/>
        </w:rPr>
        <w:t>Ceylan</w:t>
      </w:r>
      <w:r w:rsidR="004914E0" w:rsidRPr="00A1696A">
        <w:rPr>
          <w:rFonts w:ascii="Times New Roman" w:hAnsi="Times New Roman" w:cs="Times New Roman"/>
          <w:sz w:val="24"/>
          <w:szCs w:val="24"/>
          <w:lang w:eastAsia="bg-BG"/>
        </w:rPr>
        <w:t xml:space="preserve"> (Elmas, 2012). Тези данни, както и наличието на фораминифери и нанопланктон, потвърждават удълбочаването на басейна през приабона.</w:t>
      </w:r>
    </w:p>
    <w:p w14:paraId="3B5BAF78" w14:textId="6B6E55C1" w:rsidR="00654DE3" w:rsidRPr="00A1696A" w:rsidRDefault="00654DE3"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u w:val="single"/>
          <w:lang w:eastAsia="bg-BG"/>
        </w:rPr>
        <w:t>На българска територия</w:t>
      </w:r>
      <w:r w:rsidRPr="00A1696A">
        <w:rPr>
          <w:rFonts w:ascii="Times New Roman" w:hAnsi="Times New Roman" w:cs="Times New Roman"/>
          <w:sz w:val="24"/>
          <w:szCs w:val="24"/>
          <w:lang w:eastAsia="bg-BG"/>
        </w:rPr>
        <w:t xml:space="preserve"> съществува такова варовиково ниво, което е причислявано, вероятно поради сложните латерални взаимоотношения, към най-горната част на теригенно-варовиковата задруга. Но </w:t>
      </w:r>
      <w:r w:rsidR="00C34847" w:rsidRPr="00A1696A">
        <w:rPr>
          <w:rFonts w:ascii="Times New Roman" w:hAnsi="Times New Roman" w:cs="Times New Roman"/>
          <w:sz w:val="24"/>
          <w:szCs w:val="24"/>
          <w:lang w:eastAsia="bg-BG"/>
        </w:rPr>
        <w:t>поради това</w:t>
      </w:r>
      <w:r w:rsidRPr="00A1696A">
        <w:rPr>
          <w:rFonts w:ascii="Times New Roman" w:hAnsi="Times New Roman" w:cs="Times New Roman"/>
          <w:sz w:val="24"/>
          <w:szCs w:val="24"/>
          <w:lang w:eastAsia="bg-BG"/>
        </w:rPr>
        <w:t xml:space="preserve">, че тези масивни варовици, с </w:t>
      </w:r>
      <w:r w:rsidRPr="00A1696A">
        <w:rPr>
          <w:rFonts w:ascii="Times New Roman" w:hAnsi="Times New Roman" w:cs="Times New Roman"/>
          <w:b/>
          <w:i/>
          <w:sz w:val="24"/>
          <w:szCs w:val="24"/>
          <w:lang w:eastAsia="bg-BG"/>
        </w:rPr>
        <w:t>рифогенен произход</w:t>
      </w:r>
      <w:r w:rsidRPr="00A1696A">
        <w:rPr>
          <w:rFonts w:ascii="Times New Roman" w:hAnsi="Times New Roman" w:cs="Times New Roman"/>
          <w:sz w:val="24"/>
          <w:szCs w:val="24"/>
          <w:lang w:eastAsia="bg-BG"/>
        </w:rPr>
        <w:t>, са ясно проследими, следва да се отделят като отделна единица, добре корелираща се с формация Sogukak. Литостратиграфската единица се проследява по целия северен борд на басейна</w:t>
      </w:r>
      <w:r w:rsidR="00C34847"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съвпадащ с района на изследване</w:t>
      </w:r>
      <w:r w:rsidR="00C34847"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и се разкрива на кариерата при с. Щит</w:t>
      </w:r>
      <w:r w:rsidR="004914E0"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На сеизмичните разрези се наблюдават, в северната част в близост до фундамента, типичните отражения, характерни за рифогенни постройки</w:t>
      </w:r>
      <w:r w:rsidR="002E469C" w:rsidRPr="00A1696A">
        <w:rPr>
          <w:rFonts w:ascii="Times New Roman" w:hAnsi="Times New Roman" w:cs="Times New Roman"/>
          <w:sz w:val="24"/>
          <w:szCs w:val="24"/>
          <w:lang w:eastAsia="bg-BG"/>
        </w:rPr>
        <w:t xml:space="preserve">, които </w:t>
      </w:r>
      <w:r w:rsidR="004618B8" w:rsidRPr="00A1696A">
        <w:rPr>
          <w:rFonts w:ascii="Times New Roman" w:hAnsi="Times New Roman" w:cs="Times New Roman"/>
          <w:sz w:val="24"/>
          <w:szCs w:val="24"/>
          <w:lang w:eastAsia="bg-BG"/>
        </w:rPr>
        <w:t xml:space="preserve">са с </w:t>
      </w:r>
      <w:r w:rsidR="00FA4AAD" w:rsidRPr="00A1696A">
        <w:rPr>
          <w:rFonts w:ascii="Times New Roman" w:hAnsi="Times New Roman" w:cs="Times New Roman"/>
          <w:sz w:val="24"/>
          <w:szCs w:val="24"/>
          <w:lang w:eastAsia="bg-BG"/>
        </w:rPr>
        <w:t>изразена</w:t>
      </w:r>
      <w:r w:rsidR="004618B8" w:rsidRPr="00A1696A">
        <w:rPr>
          <w:rFonts w:ascii="Times New Roman" w:hAnsi="Times New Roman" w:cs="Times New Roman"/>
          <w:sz w:val="24"/>
          <w:szCs w:val="24"/>
          <w:lang w:eastAsia="bg-BG"/>
        </w:rPr>
        <w:t xml:space="preserve"> хълмиста форма и характерно </w:t>
      </w:r>
      <w:r w:rsidR="0041546F">
        <w:rPr>
          <w:rFonts w:ascii="Times New Roman" w:hAnsi="Times New Roman" w:cs="Times New Roman"/>
          <w:sz w:val="24"/>
          <w:szCs w:val="24"/>
          <w:lang w:eastAsia="bg-BG"/>
        </w:rPr>
        <w:t>„</w:t>
      </w:r>
      <w:r w:rsidR="004618B8" w:rsidRPr="00A1696A">
        <w:rPr>
          <w:rFonts w:ascii="Times New Roman" w:hAnsi="Times New Roman" w:cs="Times New Roman"/>
          <w:sz w:val="24"/>
          <w:szCs w:val="24"/>
          <w:lang w:eastAsia="bg-BG"/>
        </w:rPr>
        <w:t>обличане</w:t>
      </w:r>
      <w:r w:rsidR="0041546F">
        <w:rPr>
          <w:rFonts w:ascii="Times New Roman" w:hAnsi="Times New Roman" w:cs="Times New Roman"/>
          <w:sz w:val="24"/>
          <w:szCs w:val="24"/>
          <w:lang w:eastAsia="bg-BG"/>
        </w:rPr>
        <w:t>“</w:t>
      </w:r>
      <w:r w:rsidR="004618B8" w:rsidRPr="00A1696A">
        <w:rPr>
          <w:rFonts w:ascii="Times New Roman" w:hAnsi="Times New Roman" w:cs="Times New Roman"/>
          <w:sz w:val="24"/>
          <w:szCs w:val="24"/>
          <w:lang w:eastAsia="bg-BG"/>
        </w:rPr>
        <w:t xml:space="preserve"> на отгорележащите ясни сеизмични отражения</w:t>
      </w:r>
      <w:r w:rsidRPr="00A1696A">
        <w:rPr>
          <w:rFonts w:ascii="Times New Roman" w:hAnsi="Times New Roman" w:cs="Times New Roman"/>
          <w:sz w:val="24"/>
          <w:szCs w:val="24"/>
          <w:lang w:eastAsia="bg-BG"/>
        </w:rPr>
        <w:t xml:space="preserve"> (фиг.</w:t>
      </w:r>
      <w:r w:rsidR="004914E0" w:rsidRPr="00A1696A">
        <w:rPr>
          <w:rFonts w:ascii="Times New Roman" w:hAnsi="Times New Roman" w:cs="Times New Roman"/>
          <w:sz w:val="24"/>
          <w:szCs w:val="24"/>
          <w:lang w:eastAsia="bg-BG"/>
        </w:rPr>
        <w:t xml:space="preserve"> </w:t>
      </w:r>
      <w:r w:rsidR="00895F40" w:rsidRPr="00A1696A">
        <w:rPr>
          <w:rFonts w:ascii="Times New Roman" w:hAnsi="Times New Roman" w:cs="Times New Roman"/>
          <w:sz w:val="24"/>
          <w:szCs w:val="24"/>
          <w:lang w:eastAsia="bg-BG"/>
        </w:rPr>
        <w:t>7</w:t>
      </w:r>
      <w:r w:rsidRPr="00A1696A">
        <w:rPr>
          <w:rFonts w:ascii="Times New Roman" w:hAnsi="Times New Roman" w:cs="Times New Roman"/>
          <w:sz w:val="24"/>
          <w:szCs w:val="24"/>
          <w:lang w:eastAsia="bg-BG"/>
        </w:rPr>
        <w:t>, хоризонт в светло синьо).</w:t>
      </w:r>
      <w:r w:rsidR="004914E0" w:rsidRPr="00A1696A">
        <w:rPr>
          <w:rFonts w:ascii="Times New Roman" w:hAnsi="Times New Roman" w:cs="Times New Roman"/>
          <w:sz w:val="24"/>
          <w:szCs w:val="24"/>
          <w:lang w:eastAsia="bg-BG"/>
        </w:rPr>
        <w:t xml:space="preserve"> С</w:t>
      </w:r>
      <w:r w:rsidRPr="00A1696A">
        <w:rPr>
          <w:rFonts w:ascii="Times New Roman" w:hAnsi="Times New Roman" w:cs="Times New Roman"/>
          <w:sz w:val="24"/>
          <w:szCs w:val="24"/>
          <w:lang w:eastAsia="bg-BG"/>
        </w:rPr>
        <w:t xml:space="preserve"> постепенен преход над скалите от брекчоконгломератните задруги в северната част на изследвания район (хорста </w:t>
      </w:r>
      <w:r w:rsidR="00514EC4" w:rsidRPr="00A1696A">
        <w:rPr>
          <w:rFonts w:ascii="Times New Roman" w:hAnsi="Times New Roman" w:cs="Times New Roman"/>
          <w:sz w:val="24"/>
          <w:szCs w:val="24"/>
          <w:lang w:eastAsia="bg-BG"/>
        </w:rPr>
        <w:t>със сондаж</w:t>
      </w:r>
      <w:r w:rsidRPr="00A1696A">
        <w:rPr>
          <w:rFonts w:ascii="Times New Roman" w:hAnsi="Times New Roman" w:cs="Times New Roman"/>
          <w:sz w:val="24"/>
          <w:szCs w:val="24"/>
          <w:lang w:eastAsia="bg-BG"/>
        </w:rPr>
        <w:t xml:space="preserve"> Р-1 Свиленград</w:t>
      </w:r>
      <w:r w:rsidR="00FF5664" w:rsidRPr="00A1696A">
        <w:rPr>
          <w:rFonts w:ascii="Times New Roman" w:hAnsi="Times New Roman" w:cs="Times New Roman"/>
          <w:sz w:val="24"/>
          <w:szCs w:val="24"/>
          <w:lang w:eastAsia="bg-BG"/>
        </w:rPr>
        <w:t xml:space="preserve"> и северно от него</w:t>
      </w:r>
      <w:r w:rsidRPr="00A1696A">
        <w:rPr>
          <w:rFonts w:ascii="Times New Roman" w:hAnsi="Times New Roman" w:cs="Times New Roman"/>
          <w:sz w:val="24"/>
          <w:szCs w:val="24"/>
          <w:lang w:eastAsia="bg-BG"/>
        </w:rPr>
        <w:t xml:space="preserve">) се разполагат пластовете от пясъчници, алевролити и мергели на </w:t>
      </w:r>
      <w:r w:rsidRPr="00A1696A">
        <w:rPr>
          <w:rFonts w:ascii="Times New Roman" w:hAnsi="Times New Roman" w:cs="Times New Roman"/>
          <w:b/>
          <w:i/>
          <w:sz w:val="24"/>
          <w:szCs w:val="24"/>
          <w:lang w:eastAsia="bg-BG"/>
        </w:rPr>
        <w:t>теригенно-варовиково-мергелната задруга</w:t>
      </w:r>
      <w:r w:rsidRPr="00A1696A">
        <w:rPr>
          <w:rFonts w:ascii="Times New Roman" w:hAnsi="Times New Roman" w:cs="Times New Roman"/>
          <w:sz w:val="24"/>
          <w:szCs w:val="24"/>
          <w:lang w:eastAsia="bg-BG"/>
        </w:rPr>
        <w:t xml:space="preserve">, с множество фораминиферни съобщества в тях. Тази задруга плавно прехожда вертикално и латерално на запад и югозапад в </w:t>
      </w:r>
      <w:bookmarkStart w:id="68" w:name="_Hlk950055"/>
      <w:r w:rsidRPr="00A1696A">
        <w:rPr>
          <w:rFonts w:ascii="Times New Roman" w:hAnsi="Times New Roman" w:cs="Times New Roman"/>
          <w:b/>
          <w:i/>
          <w:sz w:val="24"/>
          <w:szCs w:val="24"/>
          <w:lang w:eastAsia="bg-BG"/>
        </w:rPr>
        <w:t xml:space="preserve">пирокластично-мергелно-варовиковата </w:t>
      </w:r>
      <w:r w:rsidRPr="00A1696A">
        <w:rPr>
          <w:rFonts w:ascii="Times New Roman" w:hAnsi="Times New Roman" w:cs="Times New Roman"/>
          <w:b/>
          <w:i/>
          <w:sz w:val="24"/>
          <w:szCs w:val="24"/>
          <w:lang w:eastAsia="bg-BG"/>
        </w:rPr>
        <w:lastRenderedPageBreak/>
        <w:t>задруга</w:t>
      </w:r>
      <w:bookmarkEnd w:id="68"/>
      <w:r w:rsidRPr="00A1696A">
        <w:rPr>
          <w:rFonts w:ascii="Times New Roman" w:hAnsi="Times New Roman" w:cs="Times New Roman"/>
          <w:sz w:val="24"/>
          <w:szCs w:val="24"/>
          <w:lang w:eastAsia="bg-BG"/>
        </w:rPr>
        <w:t>, представена от мергели, пясъчници и туфи</w:t>
      </w:r>
      <w:r w:rsidR="00B17D4F"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(фиг.</w:t>
      </w:r>
      <w:r w:rsidR="00895F40" w:rsidRPr="00A1696A">
        <w:rPr>
          <w:rFonts w:ascii="Times New Roman" w:hAnsi="Times New Roman" w:cs="Times New Roman"/>
          <w:sz w:val="24"/>
          <w:szCs w:val="24"/>
          <w:lang w:eastAsia="bg-BG"/>
        </w:rPr>
        <w:t>7</w:t>
      </w:r>
      <w:r w:rsidR="00CC5FFC" w:rsidRPr="00A1696A">
        <w:rPr>
          <w:rFonts w:ascii="Times New Roman" w:hAnsi="Times New Roman" w:cs="Times New Roman"/>
          <w:sz w:val="24"/>
          <w:szCs w:val="24"/>
          <w:lang w:eastAsia="bg-BG"/>
        </w:rPr>
        <w:t xml:space="preserve"> и 8</w:t>
      </w:r>
      <w:r w:rsidRPr="00A1696A">
        <w:rPr>
          <w:rFonts w:ascii="Times New Roman" w:hAnsi="Times New Roman" w:cs="Times New Roman"/>
          <w:sz w:val="24"/>
          <w:szCs w:val="24"/>
          <w:lang w:eastAsia="bg-BG"/>
        </w:rPr>
        <w:t xml:space="preserve">, хоризонт в оранжев цвят). Това дава основание </w:t>
      </w:r>
      <w:r w:rsidR="0041546F" w:rsidRPr="00A1696A">
        <w:rPr>
          <w:rFonts w:ascii="Times New Roman" w:hAnsi="Times New Roman" w:cs="Times New Roman"/>
          <w:sz w:val="24"/>
          <w:szCs w:val="24"/>
          <w:lang w:eastAsia="bg-BG"/>
        </w:rPr>
        <w:t xml:space="preserve">скалите от тези задруги </w:t>
      </w:r>
      <w:r w:rsidRPr="00A1696A">
        <w:rPr>
          <w:rFonts w:ascii="Times New Roman" w:hAnsi="Times New Roman" w:cs="Times New Roman"/>
          <w:sz w:val="24"/>
          <w:szCs w:val="24"/>
          <w:lang w:eastAsia="bg-BG"/>
        </w:rPr>
        <w:t xml:space="preserve">да </w:t>
      </w:r>
      <w:r w:rsidR="00C34847" w:rsidRPr="00A1696A">
        <w:rPr>
          <w:rFonts w:ascii="Times New Roman" w:hAnsi="Times New Roman" w:cs="Times New Roman"/>
          <w:sz w:val="24"/>
          <w:szCs w:val="24"/>
          <w:lang w:eastAsia="bg-BG"/>
        </w:rPr>
        <w:t xml:space="preserve">се </w:t>
      </w:r>
      <w:r w:rsidRPr="00A1696A">
        <w:rPr>
          <w:rFonts w:ascii="Times New Roman" w:hAnsi="Times New Roman" w:cs="Times New Roman"/>
          <w:sz w:val="24"/>
          <w:szCs w:val="24"/>
          <w:lang w:eastAsia="bg-BG"/>
        </w:rPr>
        <w:t>прием</w:t>
      </w:r>
      <w:r w:rsidR="00C34847" w:rsidRPr="00A1696A">
        <w:rPr>
          <w:rFonts w:ascii="Times New Roman" w:hAnsi="Times New Roman" w:cs="Times New Roman"/>
          <w:sz w:val="24"/>
          <w:szCs w:val="24"/>
          <w:lang w:eastAsia="bg-BG"/>
        </w:rPr>
        <w:t>ат</w:t>
      </w:r>
      <w:r w:rsidRPr="00A1696A">
        <w:rPr>
          <w:rFonts w:ascii="Times New Roman" w:hAnsi="Times New Roman" w:cs="Times New Roman"/>
          <w:sz w:val="24"/>
          <w:szCs w:val="24"/>
          <w:lang w:eastAsia="bg-BG"/>
        </w:rPr>
        <w:t xml:space="preserve"> за аналог на формация Ceylan от турска територия. В югозападната част на района на изследване скалите на </w:t>
      </w:r>
      <w:r w:rsidRPr="00A1696A">
        <w:rPr>
          <w:rFonts w:ascii="Times New Roman" w:hAnsi="Times New Roman" w:cs="Times New Roman"/>
          <w:b/>
          <w:i/>
          <w:sz w:val="24"/>
          <w:szCs w:val="24"/>
          <w:lang w:eastAsia="bg-BG"/>
        </w:rPr>
        <w:t>въгленосно-песъчливата задруга</w:t>
      </w:r>
      <w:r w:rsidRPr="00A1696A">
        <w:rPr>
          <w:rFonts w:ascii="Times New Roman" w:hAnsi="Times New Roman" w:cs="Times New Roman"/>
          <w:sz w:val="24"/>
          <w:szCs w:val="24"/>
          <w:lang w:eastAsia="bg-BG"/>
        </w:rPr>
        <w:t>, представени от дребнозърнести пясъчници</w:t>
      </w:r>
      <w:r w:rsidRPr="00A1696A">
        <w:rPr>
          <w:rFonts w:ascii="Times New Roman" w:hAnsi="Times New Roman" w:cs="Times New Roman"/>
          <w:sz w:val="24"/>
          <w:szCs w:val="24"/>
        </w:rPr>
        <w:t xml:space="preserve"> </w:t>
      </w:r>
      <w:r w:rsidRPr="00A1696A">
        <w:rPr>
          <w:rFonts w:ascii="Times New Roman" w:hAnsi="Times New Roman" w:cs="Times New Roman"/>
          <w:sz w:val="24"/>
          <w:szCs w:val="24"/>
          <w:lang w:eastAsia="bg-BG"/>
        </w:rPr>
        <w:t xml:space="preserve">с ритмично редуващи се гравийни до чакълни пясъчници (високоплътностни песъчливи турбидити до матрикс-поддържани дебрити), алевролити, мергели в горните части са индикация за удълбочаване на басейна. </w:t>
      </w:r>
    </w:p>
    <w:p w14:paraId="697BB3A1" w14:textId="2D1309F6" w:rsidR="00895F40" w:rsidRPr="00A1696A" w:rsidRDefault="00654DE3" w:rsidP="00895F40">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Вследствие на направените наблюдения и анализи може да се обобщи, че като цяло в края на приабонския век трансгресията продължава</w:t>
      </w:r>
      <w:r w:rsidR="00C34847"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докато морето не достигне и по-северните участъци на Тракийския басейн</w:t>
      </w:r>
      <w:r w:rsidR="00B17D4F"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 </w:t>
      </w:r>
      <w:r w:rsidR="00B17D4F" w:rsidRPr="00A1696A">
        <w:rPr>
          <w:rFonts w:ascii="Times New Roman" w:hAnsi="Times New Roman" w:cs="Times New Roman"/>
          <w:sz w:val="24"/>
          <w:szCs w:val="24"/>
          <w:lang w:eastAsia="bg-BG"/>
        </w:rPr>
        <w:t xml:space="preserve">Тази последователност маркира определено морска обстановка и доста бързо тектонско потъване с увеличаване на дистанцията на преотлагане. </w:t>
      </w:r>
      <w:r w:rsidRPr="00A1696A">
        <w:rPr>
          <w:rFonts w:ascii="Times New Roman" w:hAnsi="Times New Roman" w:cs="Times New Roman"/>
          <w:sz w:val="24"/>
          <w:szCs w:val="24"/>
          <w:lang w:eastAsia="bg-BG"/>
        </w:rPr>
        <w:t>(фиг.</w:t>
      </w:r>
      <w:r w:rsidR="00B17D4F" w:rsidRPr="00A1696A">
        <w:rPr>
          <w:rFonts w:ascii="Times New Roman" w:hAnsi="Times New Roman" w:cs="Times New Roman"/>
          <w:sz w:val="24"/>
          <w:szCs w:val="24"/>
          <w:lang w:eastAsia="bg-BG"/>
        </w:rPr>
        <w:t>1</w:t>
      </w:r>
      <w:r w:rsidR="00895F40" w:rsidRPr="00A1696A">
        <w:rPr>
          <w:rFonts w:ascii="Times New Roman" w:hAnsi="Times New Roman" w:cs="Times New Roman"/>
          <w:sz w:val="24"/>
          <w:szCs w:val="24"/>
          <w:lang w:eastAsia="bg-BG"/>
        </w:rPr>
        <w:t>1</w:t>
      </w:r>
      <w:r w:rsidRPr="00A1696A">
        <w:rPr>
          <w:rFonts w:ascii="Times New Roman" w:hAnsi="Times New Roman" w:cs="Times New Roman"/>
          <w:sz w:val="24"/>
          <w:szCs w:val="24"/>
          <w:lang w:eastAsia="bg-BG"/>
        </w:rPr>
        <w:t>)</w:t>
      </w:r>
      <w:r w:rsidR="00C34847" w:rsidRPr="00A1696A">
        <w:rPr>
          <w:rFonts w:ascii="Times New Roman" w:hAnsi="Times New Roman" w:cs="Times New Roman"/>
          <w:sz w:val="24"/>
          <w:szCs w:val="24"/>
          <w:lang w:eastAsia="bg-BG"/>
        </w:rPr>
        <w:t xml:space="preserve">. </w:t>
      </w:r>
    </w:p>
    <w:bookmarkEnd w:id="67"/>
    <w:p w14:paraId="39C4C834" w14:textId="5198AEEE" w:rsidR="00C47670" w:rsidRPr="00A1696A" w:rsidRDefault="00C47670" w:rsidP="00895F40">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noProof/>
          <w:sz w:val="24"/>
          <w:szCs w:val="24"/>
          <w:lang w:eastAsia="bg-BG"/>
        </w:rPr>
        <w:drawing>
          <wp:inline distT="0" distB="0" distL="0" distR="0" wp14:anchorId="04DC9992" wp14:editId="78D44B7A">
            <wp:extent cx="6012815" cy="4318503"/>
            <wp:effectExtent l="0" t="0" r="6985" b="6350"/>
            <wp:docPr id="7172" name="Картина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Lithofacies upper eocene end_2019.jpg"/>
                    <pic:cNvPicPr/>
                  </pic:nvPicPr>
                  <pic:blipFill rotWithShape="1">
                    <a:blip r:embed="rId22" cstate="print">
                      <a:extLst>
                        <a:ext uri="{28A0092B-C50C-407E-A947-70E740481C1C}">
                          <a14:useLocalDpi xmlns:a14="http://schemas.microsoft.com/office/drawing/2010/main" val="0"/>
                        </a:ext>
                      </a:extLst>
                    </a:blip>
                    <a:srcRect l="6669" t="1986" r="6522"/>
                    <a:stretch/>
                  </pic:blipFill>
                  <pic:spPr bwMode="auto">
                    <a:xfrm>
                      <a:off x="0" y="0"/>
                      <a:ext cx="6030320" cy="4331075"/>
                    </a:xfrm>
                    <a:prstGeom prst="rect">
                      <a:avLst/>
                    </a:prstGeom>
                    <a:ln>
                      <a:noFill/>
                    </a:ln>
                    <a:extLst>
                      <a:ext uri="{53640926-AAD7-44D8-BBD7-CCE9431645EC}">
                        <a14:shadowObscured xmlns:a14="http://schemas.microsoft.com/office/drawing/2010/main"/>
                      </a:ext>
                    </a:extLst>
                  </pic:spPr>
                </pic:pic>
              </a:graphicData>
            </a:graphic>
          </wp:inline>
        </w:drawing>
      </w:r>
    </w:p>
    <w:p w14:paraId="56E8A7C0" w14:textId="4D29F1BF" w:rsidR="00654DE3" w:rsidRPr="00A1696A" w:rsidRDefault="00654DE3"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B17D4F" w:rsidRPr="00A1696A">
        <w:rPr>
          <w:rFonts w:ascii="Times New Roman" w:hAnsi="Times New Roman" w:cs="Times New Roman"/>
          <w:i/>
          <w:sz w:val="24"/>
          <w:szCs w:val="24"/>
          <w:lang w:eastAsia="bg-BG"/>
        </w:rPr>
        <w:t>1</w:t>
      </w:r>
      <w:r w:rsidR="00895F40" w:rsidRPr="00A1696A">
        <w:rPr>
          <w:rFonts w:ascii="Times New Roman" w:hAnsi="Times New Roman" w:cs="Times New Roman"/>
          <w:i/>
          <w:sz w:val="24"/>
          <w:szCs w:val="24"/>
          <w:lang w:eastAsia="bg-BG"/>
        </w:rPr>
        <w:t>1</w:t>
      </w:r>
      <w:r w:rsidRPr="00A1696A">
        <w:rPr>
          <w:rFonts w:ascii="Times New Roman" w:hAnsi="Times New Roman" w:cs="Times New Roman"/>
          <w:i/>
          <w:sz w:val="24"/>
          <w:szCs w:val="24"/>
          <w:lang w:eastAsia="bg-BG"/>
        </w:rPr>
        <w:t xml:space="preserve">. Палеогеографска схема на района на изучаване в края на </w:t>
      </w:r>
      <w:r w:rsidR="00CF4055" w:rsidRPr="00A1696A">
        <w:rPr>
          <w:rFonts w:ascii="Times New Roman" w:hAnsi="Times New Roman" w:cs="Times New Roman"/>
          <w:i/>
          <w:sz w:val="24"/>
          <w:szCs w:val="24"/>
          <w:lang w:eastAsia="bg-BG"/>
        </w:rPr>
        <w:t>къс</w:t>
      </w:r>
      <w:r w:rsidRPr="00A1696A">
        <w:rPr>
          <w:rFonts w:ascii="Times New Roman" w:hAnsi="Times New Roman" w:cs="Times New Roman"/>
          <w:i/>
          <w:sz w:val="24"/>
          <w:szCs w:val="24"/>
          <w:lang w:eastAsia="bg-BG"/>
        </w:rPr>
        <w:t>ноеоценската епоха</w:t>
      </w:r>
    </w:p>
    <w:p w14:paraId="1C62BD23" w14:textId="77777777" w:rsidR="00895F40" w:rsidRPr="00A1696A" w:rsidRDefault="00895F40" w:rsidP="006B6EBF">
      <w:pPr>
        <w:spacing w:after="0" w:line="240" w:lineRule="auto"/>
        <w:ind w:firstLine="709"/>
        <w:jc w:val="both"/>
        <w:rPr>
          <w:rFonts w:ascii="Times New Roman" w:hAnsi="Times New Roman" w:cs="Times New Roman"/>
          <w:b/>
          <w:sz w:val="24"/>
          <w:szCs w:val="24"/>
          <w:u w:val="single"/>
          <w:lang w:eastAsia="bg-BG"/>
        </w:rPr>
      </w:pPr>
    </w:p>
    <w:p w14:paraId="5A5AA888" w14:textId="77777777" w:rsidR="0041546F" w:rsidRPr="00A1696A" w:rsidRDefault="0041546F" w:rsidP="0041546F">
      <w:pPr>
        <w:spacing w:after="0" w:line="240" w:lineRule="auto"/>
        <w:ind w:firstLine="709"/>
        <w:jc w:val="both"/>
        <w:rPr>
          <w:rFonts w:ascii="Times New Roman" w:hAnsi="Times New Roman" w:cs="Times New Roman"/>
          <w:b/>
          <w:sz w:val="24"/>
          <w:szCs w:val="24"/>
          <w:u w:val="single"/>
          <w:lang w:eastAsia="bg-BG"/>
        </w:rPr>
      </w:pPr>
      <w:bookmarkStart w:id="69" w:name="_Hlk7790339"/>
      <w:r w:rsidRPr="00A1696A">
        <w:rPr>
          <w:rFonts w:ascii="Times New Roman" w:hAnsi="Times New Roman" w:cs="Times New Roman"/>
          <w:b/>
          <w:sz w:val="24"/>
          <w:szCs w:val="24"/>
          <w:u w:val="single"/>
          <w:lang w:eastAsia="bg-BG"/>
        </w:rPr>
        <w:t>Олигоцен</w:t>
      </w:r>
    </w:p>
    <w:p w14:paraId="63004976" w14:textId="77777777" w:rsidR="0041546F" w:rsidRPr="00A1696A" w:rsidRDefault="0041546F" w:rsidP="0041546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u w:val="single"/>
          <w:lang w:eastAsia="bg-BG"/>
        </w:rPr>
        <w:t>В турската част на басейна</w:t>
      </w:r>
      <w:r w:rsidRPr="00A1696A">
        <w:rPr>
          <w:rFonts w:ascii="Times New Roman" w:hAnsi="Times New Roman" w:cs="Times New Roman"/>
          <w:sz w:val="24"/>
          <w:szCs w:val="24"/>
          <w:lang w:eastAsia="bg-BG"/>
        </w:rPr>
        <w:t xml:space="preserve"> над седиментите на формация Ceylan, с плавен преход, се разполагат прибрежноморските и континентални седименти на група Yenimuhacir (фиг. 6), представени от редуващи се пясъчници и глини с добре развита ламинация, лигнитни хоризонти и слоеве с плитководни фосили – гастроподи, остракоди, риби и растителни останки. Първата формация от групата – </w:t>
      </w:r>
      <w:r w:rsidRPr="00A1696A">
        <w:rPr>
          <w:rFonts w:ascii="Times New Roman" w:hAnsi="Times New Roman" w:cs="Times New Roman"/>
          <w:b/>
          <w:i/>
          <w:sz w:val="24"/>
          <w:szCs w:val="24"/>
          <w:lang w:eastAsia="bg-BG"/>
        </w:rPr>
        <w:t>Mezardere</w:t>
      </w:r>
      <w:r w:rsidRPr="00A1696A">
        <w:rPr>
          <w:rFonts w:ascii="Times New Roman" w:hAnsi="Times New Roman" w:cs="Times New Roman"/>
          <w:sz w:val="24"/>
          <w:szCs w:val="24"/>
          <w:lang w:eastAsia="bg-BG"/>
        </w:rPr>
        <w:t xml:space="preserve">, представена от сиво-зелени глини, аргилити, мергели и пясъчници със спорадично туфитни включения, се интерпретира като част от проделта (Sünnetçioğlu, 2008). Скалите, с постепенен преход, преминават в отложенията на формация </w:t>
      </w:r>
      <w:r w:rsidRPr="00A1696A">
        <w:rPr>
          <w:rFonts w:ascii="Times New Roman" w:hAnsi="Times New Roman" w:cs="Times New Roman"/>
          <w:b/>
          <w:i/>
          <w:sz w:val="24"/>
          <w:szCs w:val="24"/>
          <w:lang w:eastAsia="bg-BG"/>
        </w:rPr>
        <w:t>Osmancik</w:t>
      </w:r>
      <w:r w:rsidRPr="00A1696A">
        <w:rPr>
          <w:rFonts w:ascii="Times New Roman" w:hAnsi="Times New Roman" w:cs="Times New Roman"/>
          <w:sz w:val="24"/>
          <w:szCs w:val="24"/>
          <w:lang w:eastAsia="bg-BG"/>
        </w:rPr>
        <w:t xml:space="preserve">, представени от незакономерно редуващи се пластове от пясъчници, глини, аргилити, алевролити. Тази формация илюстрира развитието на различни фациеси – от континентална канална система, мястото на вливане на реката в морето, до фронт на делта. Най-горните отложения от разреза на групата, включени в обхвата на формация </w:t>
      </w:r>
      <w:r w:rsidRPr="00A1696A">
        <w:rPr>
          <w:rFonts w:ascii="Times New Roman" w:hAnsi="Times New Roman" w:cs="Times New Roman"/>
          <w:b/>
          <w:i/>
          <w:sz w:val="24"/>
          <w:szCs w:val="24"/>
          <w:lang w:eastAsia="bg-BG"/>
        </w:rPr>
        <w:t>Danismen</w:t>
      </w:r>
      <w:r w:rsidRPr="00A1696A">
        <w:rPr>
          <w:rFonts w:ascii="Times New Roman" w:hAnsi="Times New Roman" w:cs="Times New Roman"/>
          <w:sz w:val="24"/>
          <w:szCs w:val="24"/>
          <w:lang w:eastAsia="bg-BG"/>
        </w:rPr>
        <w:t>, са представени от глини, аргилити, алевролити, глинести пясъчници и въглищни слоеве, които са продукт на лагунни, блатни, алувиални и речни условия на образуване.</w:t>
      </w:r>
    </w:p>
    <w:p w14:paraId="29D604B2" w14:textId="6FC76E4F" w:rsidR="00AC21E3" w:rsidRPr="00A1696A" w:rsidRDefault="00E736C2" w:rsidP="00CC5FFC">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u w:val="single"/>
          <w:lang w:eastAsia="bg-BG"/>
        </w:rPr>
        <w:lastRenderedPageBreak/>
        <w:t>Н</w:t>
      </w:r>
      <w:r w:rsidR="00654DE3" w:rsidRPr="00A1696A">
        <w:rPr>
          <w:rFonts w:ascii="Times New Roman" w:hAnsi="Times New Roman" w:cs="Times New Roman"/>
          <w:sz w:val="24"/>
          <w:szCs w:val="24"/>
          <w:u w:val="single"/>
          <w:lang w:eastAsia="bg-BG"/>
        </w:rPr>
        <w:t>а територията на страната ни</w:t>
      </w:r>
      <w:r w:rsidR="00654DE3"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тази</w:t>
      </w:r>
      <w:r w:rsidR="00654DE3" w:rsidRPr="00A1696A">
        <w:rPr>
          <w:rFonts w:ascii="Times New Roman" w:hAnsi="Times New Roman" w:cs="Times New Roman"/>
          <w:sz w:val="24"/>
          <w:szCs w:val="24"/>
          <w:lang w:eastAsia="bg-BG"/>
        </w:rPr>
        <w:t xml:space="preserve"> част от разреза е много противоречива, както по възраст, така и по литология и разпространение</w:t>
      </w:r>
      <w:r w:rsidR="00AC21E3" w:rsidRPr="00A1696A">
        <w:rPr>
          <w:rFonts w:ascii="Times New Roman" w:hAnsi="Times New Roman" w:cs="Times New Roman"/>
          <w:sz w:val="24"/>
          <w:szCs w:val="24"/>
          <w:lang w:eastAsia="bg-BG"/>
        </w:rPr>
        <w:t xml:space="preserve">. Въз основа на </w:t>
      </w:r>
      <w:r w:rsidR="00AC21E3" w:rsidRPr="00A1696A">
        <w:rPr>
          <w:rFonts w:ascii="Times New Roman" w:hAnsi="Times New Roman"/>
          <w:sz w:val="24"/>
          <w:szCs w:val="24"/>
        </w:rPr>
        <w:t xml:space="preserve">извършените анализи и интерпретации на геофизичните и геохимичните данни и описваните теренни наблюдения може да се допусне следното съждение относно геоложкото развитие </w:t>
      </w:r>
      <w:r w:rsidR="00654DE3" w:rsidRPr="00A1696A">
        <w:rPr>
          <w:rFonts w:ascii="Times New Roman" w:hAnsi="Times New Roman" w:cs="Times New Roman"/>
          <w:sz w:val="24"/>
          <w:szCs w:val="24"/>
          <w:lang w:eastAsia="bg-BG"/>
        </w:rPr>
        <w:t>през този период</w:t>
      </w:r>
      <w:r w:rsidR="00AC21E3" w:rsidRPr="00A1696A">
        <w:rPr>
          <w:rFonts w:ascii="Times New Roman" w:hAnsi="Times New Roman" w:cs="Times New Roman"/>
          <w:sz w:val="24"/>
          <w:szCs w:val="24"/>
          <w:lang w:eastAsia="bg-BG"/>
        </w:rPr>
        <w:t xml:space="preserve"> (фиг. 1</w:t>
      </w:r>
      <w:r w:rsidR="0041546F">
        <w:rPr>
          <w:rFonts w:ascii="Times New Roman" w:hAnsi="Times New Roman" w:cs="Times New Roman"/>
          <w:sz w:val="24"/>
          <w:szCs w:val="24"/>
          <w:lang w:eastAsia="bg-BG"/>
        </w:rPr>
        <w:t>2</w:t>
      </w:r>
      <w:r w:rsidR="00AC21E3" w:rsidRPr="00A1696A">
        <w:rPr>
          <w:rFonts w:ascii="Times New Roman" w:hAnsi="Times New Roman" w:cs="Times New Roman"/>
          <w:sz w:val="24"/>
          <w:szCs w:val="24"/>
          <w:lang w:eastAsia="bg-BG"/>
        </w:rPr>
        <w:t>):</w:t>
      </w:r>
      <w:r w:rsidR="00CC5FFC" w:rsidRPr="00A1696A">
        <w:rPr>
          <w:rFonts w:ascii="Times New Roman" w:hAnsi="Times New Roman" w:cs="Times New Roman"/>
          <w:sz w:val="24"/>
          <w:szCs w:val="24"/>
          <w:lang w:eastAsia="bg-BG"/>
        </w:rPr>
        <w:t xml:space="preserve"> </w:t>
      </w:r>
      <w:r w:rsidR="00654DE3" w:rsidRPr="00A1696A">
        <w:rPr>
          <w:rFonts w:ascii="Times New Roman" w:hAnsi="Times New Roman" w:cs="Times New Roman"/>
          <w:sz w:val="24"/>
          <w:szCs w:val="24"/>
        </w:rPr>
        <w:t xml:space="preserve">В южната и западната части на района на изследване (Лозен-Имбреджекска зона и Бряговско понижение) </w:t>
      </w:r>
      <w:r w:rsidR="00240FE4">
        <w:rPr>
          <w:rFonts w:ascii="Times New Roman" w:hAnsi="Times New Roman" w:cs="Times New Roman"/>
          <w:sz w:val="24"/>
          <w:szCs w:val="24"/>
        </w:rPr>
        <w:t>о</w:t>
      </w:r>
      <w:r w:rsidR="00654DE3" w:rsidRPr="00A1696A">
        <w:rPr>
          <w:rFonts w:ascii="Times New Roman" w:hAnsi="Times New Roman" w:cs="Times New Roman"/>
          <w:sz w:val="24"/>
          <w:szCs w:val="24"/>
        </w:rPr>
        <w:t>лигоцен</w:t>
      </w:r>
      <w:r w:rsidR="00C34847" w:rsidRPr="00A1696A">
        <w:rPr>
          <w:rFonts w:ascii="Times New Roman" w:hAnsi="Times New Roman" w:cs="Times New Roman"/>
          <w:sz w:val="24"/>
          <w:szCs w:val="24"/>
        </w:rPr>
        <w:t>ът</w:t>
      </w:r>
      <w:r w:rsidR="00654DE3" w:rsidRPr="00A1696A">
        <w:rPr>
          <w:rFonts w:ascii="Times New Roman" w:hAnsi="Times New Roman" w:cs="Times New Roman"/>
          <w:sz w:val="24"/>
          <w:szCs w:val="24"/>
        </w:rPr>
        <w:t xml:space="preserve"> е представен от туфи, туфити, песъчливи и глинести вулканокластични турбидити, мергели и органогенни варовици. Скалите свидетелстват за плиткоморска обстановка на утаяване, с прояви на синседиментационен вулканизъм (фиг.</w:t>
      </w:r>
      <w:r w:rsidRPr="00A1696A">
        <w:rPr>
          <w:rFonts w:ascii="Times New Roman" w:hAnsi="Times New Roman" w:cs="Times New Roman"/>
          <w:sz w:val="24"/>
          <w:szCs w:val="24"/>
        </w:rPr>
        <w:t>1</w:t>
      </w:r>
      <w:r w:rsidR="00240FE4">
        <w:rPr>
          <w:rFonts w:ascii="Times New Roman" w:hAnsi="Times New Roman" w:cs="Times New Roman"/>
          <w:sz w:val="24"/>
          <w:szCs w:val="24"/>
        </w:rPr>
        <w:t>2</w:t>
      </w:r>
      <w:r w:rsidR="00654DE3" w:rsidRPr="00A1696A">
        <w:rPr>
          <w:rFonts w:ascii="Times New Roman" w:hAnsi="Times New Roman" w:cs="Times New Roman"/>
          <w:sz w:val="24"/>
          <w:szCs w:val="24"/>
        </w:rPr>
        <w:t xml:space="preserve">, </w:t>
      </w:r>
      <w:r w:rsidR="00654DE3" w:rsidRPr="00A1696A">
        <w:rPr>
          <w:rFonts w:ascii="Times New Roman" w:hAnsi="Times New Roman" w:cs="Times New Roman"/>
          <w:i/>
          <w:sz w:val="24"/>
          <w:szCs w:val="24"/>
        </w:rPr>
        <w:t>ляво</w:t>
      </w:r>
      <w:r w:rsidR="00654DE3" w:rsidRPr="00A1696A">
        <w:rPr>
          <w:rFonts w:ascii="Times New Roman" w:hAnsi="Times New Roman" w:cs="Times New Roman"/>
          <w:sz w:val="24"/>
          <w:szCs w:val="24"/>
        </w:rPr>
        <w:t>). Североизточната част на района на из</w:t>
      </w:r>
      <w:r w:rsidR="00247886" w:rsidRPr="00A1696A">
        <w:rPr>
          <w:rFonts w:ascii="Times New Roman" w:hAnsi="Times New Roman" w:cs="Times New Roman"/>
          <w:sz w:val="24"/>
          <w:szCs w:val="24"/>
        </w:rPr>
        <w:t>с</w:t>
      </w:r>
      <w:r w:rsidR="00654DE3" w:rsidRPr="00A1696A">
        <w:rPr>
          <w:rFonts w:ascii="Times New Roman" w:hAnsi="Times New Roman" w:cs="Times New Roman"/>
          <w:sz w:val="24"/>
          <w:szCs w:val="24"/>
        </w:rPr>
        <w:t xml:space="preserve">ледване се характеризира с пълно отсъствие на вулканизъм и напълно различни условия на седиментация, но скалите не следва да се разглеждат като отложени в различни басейни. Различията се дължат на специфичния тектонски контрол върху седиментацията, наличието на различни подхранващи системи и тяхната ефективност, мащабите и характеристиките на отделните седиментационни системи. В района около сондаж Р-1 Свиленград </w:t>
      </w:r>
      <w:r w:rsidR="00240FE4">
        <w:rPr>
          <w:rFonts w:ascii="Times New Roman" w:hAnsi="Times New Roman" w:cs="Times New Roman"/>
          <w:sz w:val="24"/>
          <w:szCs w:val="24"/>
        </w:rPr>
        <w:t>о</w:t>
      </w:r>
      <w:r w:rsidR="00654DE3" w:rsidRPr="00A1696A">
        <w:rPr>
          <w:rFonts w:ascii="Times New Roman" w:hAnsi="Times New Roman" w:cs="Times New Roman"/>
          <w:sz w:val="24"/>
          <w:szCs w:val="24"/>
        </w:rPr>
        <w:t>лигоцен</w:t>
      </w:r>
      <w:r w:rsidR="00C34847" w:rsidRPr="00A1696A">
        <w:rPr>
          <w:rFonts w:ascii="Times New Roman" w:hAnsi="Times New Roman" w:cs="Times New Roman"/>
          <w:sz w:val="24"/>
          <w:szCs w:val="24"/>
        </w:rPr>
        <w:t>ът</w:t>
      </w:r>
      <w:r w:rsidR="00654DE3" w:rsidRPr="00A1696A">
        <w:rPr>
          <w:rFonts w:ascii="Times New Roman" w:hAnsi="Times New Roman" w:cs="Times New Roman"/>
          <w:sz w:val="24"/>
          <w:szCs w:val="24"/>
        </w:rPr>
        <w:t xml:space="preserve"> е представен от незакономерно редуващи се глини, варовити глини,</w:t>
      </w:r>
      <w:r w:rsidR="00A22BF8" w:rsidRPr="00A1696A">
        <w:rPr>
          <w:rFonts w:ascii="Times New Roman" w:hAnsi="Times New Roman" w:cs="Times New Roman"/>
          <w:sz w:val="24"/>
          <w:szCs w:val="24"/>
        </w:rPr>
        <w:t xml:space="preserve"> мергели,</w:t>
      </w:r>
      <w:r w:rsidR="00654DE3" w:rsidRPr="00A1696A">
        <w:rPr>
          <w:rFonts w:ascii="Times New Roman" w:hAnsi="Times New Roman" w:cs="Times New Roman"/>
          <w:sz w:val="24"/>
          <w:szCs w:val="24"/>
        </w:rPr>
        <w:t xml:space="preserve"> алевролити и пясъчници (фиг. </w:t>
      </w:r>
      <w:r w:rsidRPr="00A1696A">
        <w:rPr>
          <w:rFonts w:ascii="Times New Roman" w:hAnsi="Times New Roman" w:cs="Times New Roman"/>
          <w:sz w:val="24"/>
          <w:szCs w:val="24"/>
        </w:rPr>
        <w:t>1</w:t>
      </w:r>
      <w:r w:rsidR="00240FE4">
        <w:rPr>
          <w:rFonts w:ascii="Times New Roman" w:hAnsi="Times New Roman" w:cs="Times New Roman"/>
          <w:sz w:val="24"/>
          <w:szCs w:val="24"/>
        </w:rPr>
        <w:t>2</w:t>
      </w:r>
      <w:r w:rsidRPr="00A1696A">
        <w:rPr>
          <w:rFonts w:ascii="Times New Roman" w:hAnsi="Times New Roman" w:cs="Times New Roman"/>
          <w:sz w:val="24"/>
          <w:szCs w:val="24"/>
        </w:rPr>
        <w:t xml:space="preserve">, </w:t>
      </w:r>
      <w:r w:rsidR="00654DE3" w:rsidRPr="00A1696A">
        <w:rPr>
          <w:rFonts w:ascii="Times New Roman" w:hAnsi="Times New Roman" w:cs="Times New Roman"/>
          <w:i/>
          <w:sz w:val="24"/>
          <w:szCs w:val="24"/>
        </w:rPr>
        <w:t>център</w:t>
      </w:r>
      <w:r w:rsidR="00654DE3" w:rsidRPr="00A1696A">
        <w:rPr>
          <w:rFonts w:ascii="Times New Roman" w:hAnsi="Times New Roman" w:cs="Times New Roman"/>
          <w:sz w:val="24"/>
          <w:szCs w:val="24"/>
        </w:rPr>
        <w:t xml:space="preserve">). </w:t>
      </w:r>
      <w:r w:rsidR="00A22BF8" w:rsidRPr="00A1696A">
        <w:rPr>
          <w:rFonts w:ascii="Times New Roman" w:hAnsi="Times New Roman" w:cs="Times New Roman"/>
          <w:sz w:val="24"/>
          <w:szCs w:val="24"/>
          <w:lang w:eastAsia="bg-BG"/>
        </w:rPr>
        <w:t>Горната</w:t>
      </w:r>
      <w:r w:rsidR="00654DE3" w:rsidRPr="00A1696A">
        <w:rPr>
          <w:rFonts w:ascii="Times New Roman" w:hAnsi="Times New Roman" w:cs="Times New Roman"/>
          <w:sz w:val="24"/>
          <w:szCs w:val="24"/>
          <w:lang w:eastAsia="bg-BG"/>
        </w:rPr>
        <w:t xml:space="preserve"> половина от олигоценския разрез</w:t>
      </w:r>
      <w:r w:rsidR="00CC5FFC" w:rsidRPr="00A1696A">
        <w:rPr>
          <w:rFonts w:ascii="Times New Roman" w:hAnsi="Times New Roman" w:cs="Times New Roman"/>
          <w:sz w:val="24"/>
          <w:szCs w:val="24"/>
          <w:lang w:eastAsia="bg-BG"/>
        </w:rPr>
        <w:t xml:space="preserve"> в този</w:t>
      </w:r>
      <w:r w:rsidR="00654DE3" w:rsidRPr="00A1696A">
        <w:rPr>
          <w:rFonts w:ascii="Times New Roman" w:hAnsi="Times New Roman" w:cs="Times New Roman"/>
          <w:sz w:val="24"/>
          <w:szCs w:val="24"/>
          <w:lang w:eastAsia="bg-BG"/>
        </w:rPr>
        <w:t xml:space="preserve"> сондаж е представен</w:t>
      </w:r>
      <w:r w:rsidR="00240FE4">
        <w:rPr>
          <w:rFonts w:ascii="Times New Roman" w:hAnsi="Times New Roman" w:cs="Times New Roman"/>
          <w:sz w:val="24"/>
          <w:szCs w:val="24"/>
          <w:lang w:eastAsia="bg-BG"/>
        </w:rPr>
        <w:t>а</w:t>
      </w:r>
      <w:r w:rsidR="00654DE3" w:rsidRPr="00A1696A">
        <w:rPr>
          <w:rFonts w:ascii="Times New Roman" w:hAnsi="Times New Roman" w:cs="Times New Roman"/>
          <w:sz w:val="24"/>
          <w:szCs w:val="24"/>
          <w:lang w:eastAsia="bg-BG"/>
        </w:rPr>
        <w:t xml:space="preserve"> от финоивичести глини,</w:t>
      </w:r>
      <w:r w:rsidR="00A22BF8" w:rsidRPr="00A1696A">
        <w:rPr>
          <w:rFonts w:ascii="Times New Roman" w:hAnsi="Times New Roman" w:cs="Times New Roman"/>
          <w:sz w:val="24"/>
          <w:szCs w:val="24"/>
        </w:rPr>
        <w:t xml:space="preserve"> силно обогатени с органично вещество,</w:t>
      </w:r>
      <w:r w:rsidR="00654DE3" w:rsidRPr="00A1696A">
        <w:rPr>
          <w:rFonts w:ascii="Times New Roman" w:hAnsi="Times New Roman" w:cs="Times New Roman"/>
          <w:sz w:val="24"/>
          <w:szCs w:val="24"/>
          <w:lang w:eastAsia="bg-BG"/>
        </w:rPr>
        <w:t xml:space="preserve"> със слоеве от алевролити и пясъчници, наподобяващи турбидити, но в лимнично-бракична обстановка.</w:t>
      </w:r>
      <w:r w:rsidRPr="00A1696A">
        <w:rPr>
          <w:rFonts w:ascii="Times New Roman" w:hAnsi="Times New Roman" w:cs="Times New Roman"/>
          <w:sz w:val="24"/>
          <w:szCs w:val="24"/>
        </w:rPr>
        <w:t xml:space="preserve"> </w:t>
      </w:r>
      <w:r w:rsidR="00A22BF8" w:rsidRPr="00A1696A">
        <w:rPr>
          <w:rFonts w:ascii="Times New Roman" w:hAnsi="Times New Roman" w:cs="Times New Roman"/>
          <w:sz w:val="24"/>
          <w:szCs w:val="24"/>
        </w:rPr>
        <w:t xml:space="preserve">Вероятно там се е разполагал залив или устието на палеорека и източника на подхранване е бил предимно от речни наноси. </w:t>
      </w:r>
      <w:r w:rsidR="00654DE3" w:rsidRPr="00A1696A">
        <w:rPr>
          <w:rFonts w:ascii="Times New Roman" w:hAnsi="Times New Roman" w:cs="Times New Roman"/>
          <w:sz w:val="24"/>
          <w:szCs w:val="24"/>
        </w:rPr>
        <w:t xml:space="preserve">В най североизточната част на района на изследване на повърхността се разкриват скалите на </w:t>
      </w:r>
      <w:r w:rsidR="00654DE3" w:rsidRPr="00A1696A">
        <w:rPr>
          <w:rFonts w:ascii="Times New Roman" w:hAnsi="Times New Roman" w:cs="Times New Roman"/>
          <w:b/>
          <w:i/>
          <w:sz w:val="24"/>
          <w:szCs w:val="24"/>
        </w:rPr>
        <w:t>глинесто-мергелната задруга</w:t>
      </w:r>
      <w:r w:rsidR="00654DE3" w:rsidRPr="00A1696A">
        <w:rPr>
          <w:rFonts w:ascii="Times New Roman" w:hAnsi="Times New Roman" w:cs="Times New Roman"/>
          <w:sz w:val="24"/>
          <w:szCs w:val="24"/>
        </w:rPr>
        <w:t xml:space="preserve"> представени от мергели, мергелни варовици, глини, песъчливи турбидити, характерни за шелфа или горната част на склона (фиг. </w:t>
      </w:r>
      <w:r w:rsidRPr="00A1696A">
        <w:rPr>
          <w:rFonts w:ascii="Times New Roman" w:hAnsi="Times New Roman" w:cs="Times New Roman"/>
          <w:sz w:val="24"/>
          <w:szCs w:val="24"/>
        </w:rPr>
        <w:t>1</w:t>
      </w:r>
      <w:r w:rsidR="00240FE4">
        <w:rPr>
          <w:rFonts w:ascii="Times New Roman" w:hAnsi="Times New Roman" w:cs="Times New Roman"/>
          <w:sz w:val="24"/>
          <w:szCs w:val="24"/>
        </w:rPr>
        <w:t>2</w:t>
      </w:r>
      <w:r w:rsidRPr="00A1696A">
        <w:rPr>
          <w:rFonts w:ascii="Times New Roman" w:hAnsi="Times New Roman" w:cs="Times New Roman"/>
          <w:sz w:val="24"/>
          <w:szCs w:val="24"/>
        </w:rPr>
        <w:t>,</w:t>
      </w:r>
      <w:r w:rsidR="00654DE3" w:rsidRPr="00A1696A">
        <w:rPr>
          <w:rFonts w:ascii="Times New Roman" w:hAnsi="Times New Roman" w:cs="Times New Roman"/>
          <w:sz w:val="24"/>
          <w:szCs w:val="24"/>
        </w:rPr>
        <w:t xml:space="preserve"> </w:t>
      </w:r>
      <w:r w:rsidR="00654DE3" w:rsidRPr="00A1696A">
        <w:rPr>
          <w:rFonts w:ascii="Times New Roman" w:hAnsi="Times New Roman" w:cs="Times New Roman"/>
          <w:i/>
          <w:sz w:val="24"/>
          <w:szCs w:val="24"/>
        </w:rPr>
        <w:t>дясно</w:t>
      </w:r>
      <w:r w:rsidR="00654DE3" w:rsidRPr="00A1696A">
        <w:rPr>
          <w:rFonts w:ascii="Times New Roman" w:hAnsi="Times New Roman" w:cs="Times New Roman"/>
          <w:sz w:val="24"/>
          <w:szCs w:val="24"/>
        </w:rPr>
        <w:t>).</w:t>
      </w:r>
      <w:r w:rsidR="00654DE3" w:rsidRPr="00A1696A">
        <w:rPr>
          <w:rFonts w:ascii="Times New Roman" w:hAnsi="Times New Roman" w:cs="Times New Roman"/>
          <w:sz w:val="24"/>
          <w:szCs w:val="24"/>
          <w:lang w:eastAsia="bg-BG"/>
        </w:rPr>
        <w:t xml:space="preserve"> </w:t>
      </w:r>
    </w:p>
    <w:bookmarkEnd w:id="69"/>
    <w:p w14:paraId="043EA3B1" w14:textId="140BF581" w:rsidR="00282292" w:rsidRPr="00A1696A" w:rsidRDefault="00AC21E3" w:rsidP="00AC21E3">
      <w:pPr>
        <w:spacing w:after="0" w:line="240" w:lineRule="auto"/>
        <w:jc w:val="center"/>
        <w:rPr>
          <w:rFonts w:ascii="Times New Roman" w:hAnsi="Times New Roman" w:cs="Times New Roman"/>
          <w:sz w:val="24"/>
          <w:szCs w:val="24"/>
          <w:lang w:eastAsia="bg-BG"/>
        </w:rPr>
      </w:pPr>
      <w:r w:rsidRPr="00A1696A">
        <w:rPr>
          <w:rFonts w:ascii="Times New Roman" w:hAnsi="Times New Roman" w:cs="Times New Roman"/>
          <w:i/>
          <w:noProof/>
          <w:sz w:val="24"/>
          <w:szCs w:val="24"/>
          <w:lang w:eastAsia="bg-BG"/>
        </w:rPr>
        <w:drawing>
          <wp:inline distT="0" distB="0" distL="0" distR="0" wp14:anchorId="62FB02AF" wp14:editId="3B676E2B">
            <wp:extent cx="6089650" cy="3514518"/>
            <wp:effectExtent l="0" t="0" r="6350" b="0"/>
            <wp:docPr id="7174" name="Картина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Model Oligocene 1_2019.jpg"/>
                    <pic:cNvPicPr/>
                  </pic:nvPicPr>
                  <pic:blipFill rotWithShape="1">
                    <a:blip r:embed="rId23" cstate="print">
                      <a:extLst>
                        <a:ext uri="{28A0092B-C50C-407E-A947-70E740481C1C}">
                          <a14:useLocalDpi xmlns:a14="http://schemas.microsoft.com/office/drawing/2010/main" val="0"/>
                        </a:ext>
                      </a:extLst>
                    </a:blip>
                    <a:srcRect t="12746" b="13762"/>
                    <a:stretch/>
                  </pic:blipFill>
                  <pic:spPr bwMode="auto">
                    <a:xfrm>
                      <a:off x="0" y="0"/>
                      <a:ext cx="6115030" cy="3529166"/>
                    </a:xfrm>
                    <a:prstGeom prst="rect">
                      <a:avLst/>
                    </a:prstGeom>
                    <a:ln>
                      <a:noFill/>
                    </a:ln>
                    <a:extLst>
                      <a:ext uri="{53640926-AAD7-44D8-BBD7-CCE9431645EC}">
                        <a14:shadowObscured xmlns:a14="http://schemas.microsoft.com/office/drawing/2010/main"/>
                      </a:ext>
                    </a:extLst>
                  </pic:spPr>
                </pic:pic>
              </a:graphicData>
            </a:graphic>
          </wp:inline>
        </w:drawing>
      </w:r>
    </w:p>
    <w:p w14:paraId="06D43969" w14:textId="76D806F8" w:rsidR="00654DE3" w:rsidRPr="00A1696A" w:rsidRDefault="00654DE3" w:rsidP="006B6EBF">
      <w:pPr>
        <w:spacing w:after="0" w:line="240" w:lineRule="auto"/>
        <w:ind w:firstLine="709"/>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A22BF8" w:rsidRPr="00A1696A">
        <w:rPr>
          <w:rFonts w:ascii="Times New Roman" w:hAnsi="Times New Roman" w:cs="Times New Roman"/>
          <w:i/>
          <w:sz w:val="24"/>
          <w:szCs w:val="24"/>
          <w:lang w:eastAsia="bg-BG"/>
        </w:rPr>
        <w:t>1</w:t>
      </w:r>
      <w:r w:rsidR="0041546F">
        <w:rPr>
          <w:rFonts w:ascii="Times New Roman" w:hAnsi="Times New Roman" w:cs="Times New Roman"/>
          <w:i/>
          <w:sz w:val="24"/>
          <w:szCs w:val="24"/>
          <w:lang w:eastAsia="bg-BG"/>
        </w:rPr>
        <w:t>2</w:t>
      </w:r>
      <w:r w:rsidRPr="00A1696A">
        <w:rPr>
          <w:rFonts w:ascii="Times New Roman" w:hAnsi="Times New Roman" w:cs="Times New Roman"/>
          <w:i/>
          <w:sz w:val="24"/>
          <w:szCs w:val="24"/>
          <w:lang w:eastAsia="bg-BG"/>
        </w:rPr>
        <w:t xml:space="preserve">. </w:t>
      </w:r>
      <w:r w:rsidR="00AC21E3" w:rsidRPr="00A1696A">
        <w:rPr>
          <w:rFonts w:ascii="Times New Roman" w:hAnsi="Times New Roman" w:cs="Times New Roman"/>
          <w:i/>
          <w:sz w:val="24"/>
          <w:szCs w:val="24"/>
          <w:lang w:eastAsia="bg-BG"/>
        </w:rPr>
        <w:t>Схематичен триизмерен модел на палеореконструкция през късноолигоценската епоха (по Мерачева и Занева-Добранова, 2017, с модификации)</w:t>
      </w:r>
    </w:p>
    <w:p w14:paraId="55A3ABAD" w14:textId="77777777" w:rsidR="00CC5FFC" w:rsidRPr="00A1696A" w:rsidRDefault="00CC5FFC" w:rsidP="00CC5FFC">
      <w:pPr>
        <w:spacing w:after="0" w:line="240" w:lineRule="auto"/>
        <w:ind w:firstLine="709"/>
        <w:jc w:val="both"/>
        <w:rPr>
          <w:rFonts w:ascii="Times New Roman" w:hAnsi="Times New Roman" w:cs="Times New Roman"/>
          <w:b/>
          <w:sz w:val="24"/>
          <w:szCs w:val="24"/>
          <w:u w:val="single"/>
          <w:lang w:eastAsia="bg-BG"/>
        </w:rPr>
      </w:pPr>
    </w:p>
    <w:p w14:paraId="71264AB5" w14:textId="3B876E6A" w:rsidR="00CC5FFC" w:rsidRPr="00A1696A" w:rsidRDefault="00CC5FFC" w:rsidP="00CC5FFC">
      <w:pPr>
        <w:spacing w:after="0" w:line="240" w:lineRule="auto"/>
        <w:ind w:firstLine="709"/>
        <w:jc w:val="both"/>
        <w:rPr>
          <w:rFonts w:ascii="Times New Roman" w:hAnsi="Times New Roman" w:cs="Times New Roman"/>
          <w:b/>
          <w:sz w:val="24"/>
          <w:szCs w:val="24"/>
          <w:u w:val="single"/>
          <w:lang w:eastAsia="bg-BG"/>
        </w:rPr>
      </w:pPr>
      <w:r w:rsidRPr="00A1696A">
        <w:rPr>
          <w:rFonts w:ascii="Times New Roman" w:hAnsi="Times New Roman" w:cs="Times New Roman"/>
          <w:b/>
          <w:sz w:val="24"/>
          <w:szCs w:val="24"/>
          <w:u w:val="single"/>
          <w:lang w:eastAsia="bg-BG"/>
        </w:rPr>
        <w:t>Неоген</w:t>
      </w:r>
    </w:p>
    <w:p w14:paraId="650CEA5A" w14:textId="5B3CA023" w:rsidR="00CC5FFC" w:rsidRPr="00A1696A" w:rsidRDefault="00CC5FFC" w:rsidP="00CC5FFC">
      <w:pPr>
        <w:pStyle w:val="StyleNormalArialNarrow12pt"/>
        <w:ind w:left="0" w:firstLine="709"/>
        <w:rPr>
          <w:rFonts w:ascii="Times New Roman" w:hAnsi="Times New Roman"/>
          <w:szCs w:val="24"/>
          <w:lang w:val="bg-BG"/>
        </w:rPr>
      </w:pPr>
      <w:r w:rsidRPr="00A1696A">
        <w:rPr>
          <w:rFonts w:ascii="Times New Roman" w:hAnsi="Times New Roman"/>
          <w:szCs w:val="24"/>
          <w:lang w:val="bg-BG"/>
        </w:rPr>
        <w:t xml:space="preserve">Повсеместно в Тракийския басейн палеогенските седименти се покриват несъгласно от неогенските. </w:t>
      </w:r>
      <w:r w:rsidRPr="00A1696A">
        <w:rPr>
          <w:rFonts w:ascii="Times New Roman" w:hAnsi="Times New Roman"/>
          <w:szCs w:val="24"/>
          <w:u w:val="single"/>
          <w:lang w:val="bg-BG"/>
        </w:rPr>
        <w:t>На българска територия</w:t>
      </w:r>
      <w:r w:rsidRPr="00A1696A">
        <w:rPr>
          <w:rFonts w:ascii="Times New Roman" w:hAnsi="Times New Roman"/>
          <w:szCs w:val="24"/>
          <w:lang w:val="bg-BG"/>
        </w:rPr>
        <w:t xml:space="preserve"> неогенските седименти на </w:t>
      </w:r>
      <w:r w:rsidRPr="00A1696A">
        <w:rPr>
          <w:rFonts w:ascii="Times New Roman" w:hAnsi="Times New Roman"/>
          <w:b/>
          <w:i/>
          <w:szCs w:val="24"/>
          <w:lang w:val="bg-BG"/>
        </w:rPr>
        <w:t>Ахматовска свита</w:t>
      </w:r>
      <w:r w:rsidRPr="00A1696A">
        <w:rPr>
          <w:rFonts w:ascii="Times New Roman" w:hAnsi="Times New Roman"/>
          <w:szCs w:val="24"/>
          <w:lang w:val="bg-BG"/>
        </w:rPr>
        <w:t xml:space="preserve"> също залягат дискордантно (фиг. 7, секвенцията над хоризонта с граница в жълт цвят) над по-старите скали и са отложени в алувиално-флувиални, на места езерни и пролувиално-делувиални условия на образуване. Основните различия се установяват при анализа на ефекта от ясно проявеното миоценско структурообразуване, което разделя басейна посредством формирането на </w:t>
      </w:r>
      <w:r w:rsidRPr="00A1696A">
        <w:rPr>
          <w:rFonts w:ascii="Times New Roman" w:hAnsi="Times New Roman"/>
          <w:szCs w:val="24"/>
          <w:lang w:val="bg-BG"/>
        </w:rPr>
        <w:lastRenderedPageBreak/>
        <w:t xml:space="preserve">Ибреджекската </w:t>
      </w:r>
      <w:r w:rsidR="00240FE4">
        <w:rPr>
          <w:rFonts w:ascii="Times New Roman" w:hAnsi="Times New Roman"/>
          <w:szCs w:val="24"/>
          <w:lang w:val="bg-BG"/>
        </w:rPr>
        <w:t>хорст-</w:t>
      </w:r>
      <w:r w:rsidRPr="00A1696A">
        <w:rPr>
          <w:rFonts w:ascii="Times New Roman" w:hAnsi="Times New Roman"/>
          <w:szCs w:val="24"/>
          <w:lang w:val="bg-BG"/>
        </w:rPr>
        <w:t xml:space="preserve">антиклинала и се проявява по различен начин на север и на юг от нея. В южната част на района на изследване миоценската седиментация е свързана с отложенията на </w:t>
      </w:r>
      <w:r w:rsidRPr="00A1696A">
        <w:rPr>
          <w:rFonts w:ascii="Times New Roman" w:hAnsi="Times New Roman"/>
          <w:b/>
          <w:i/>
          <w:szCs w:val="24"/>
          <w:lang w:val="bg-BG"/>
        </w:rPr>
        <w:t>Вълчеполската свита</w:t>
      </w:r>
      <w:r w:rsidRPr="00A1696A">
        <w:rPr>
          <w:rFonts w:ascii="Times New Roman" w:hAnsi="Times New Roman"/>
          <w:szCs w:val="24"/>
          <w:lang w:val="bg-BG"/>
        </w:rPr>
        <w:t xml:space="preserve">, запълващи областта на Бряговското понижение. </w:t>
      </w:r>
    </w:p>
    <w:p w14:paraId="0E9B6E77" w14:textId="279532A5" w:rsidR="00DA6E8E" w:rsidRDefault="00421E8B" w:rsidP="006B080C">
      <w:pPr>
        <w:pStyle w:val="Style1"/>
        <w:ind w:left="0" w:firstLine="709"/>
        <w:jc w:val="both"/>
        <w:rPr>
          <w:lang w:val="bg-BG"/>
        </w:rPr>
      </w:pPr>
      <w:bookmarkStart w:id="70" w:name="_Toc7820644"/>
      <w:bookmarkStart w:id="71" w:name="_Hlk7798147"/>
      <w:r w:rsidRPr="00A1696A">
        <w:rPr>
          <w:lang w:val="bg-BG"/>
        </w:rPr>
        <w:t xml:space="preserve">4.2. </w:t>
      </w:r>
      <w:r w:rsidR="00F83E63" w:rsidRPr="00A1696A">
        <w:rPr>
          <w:lang w:val="bg-BG"/>
        </w:rPr>
        <w:t>Х</w:t>
      </w:r>
      <w:r w:rsidRPr="00A1696A">
        <w:rPr>
          <w:lang w:val="bg-BG"/>
        </w:rPr>
        <w:t>арактеристика на структурно-тектонските особености</w:t>
      </w:r>
      <w:r w:rsidR="00F83E63" w:rsidRPr="00A1696A">
        <w:rPr>
          <w:lang w:val="bg-BG"/>
        </w:rPr>
        <w:t xml:space="preserve">. </w:t>
      </w:r>
      <w:r w:rsidRPr="00A1696A">
        <w:rPr>
          <w:lang w:val="bg-BG"/>
        </w:rPr>
        <w:t>3D структурен модел на терциерните наслаги</w:t>
      </w:r>
      <w:bookmarkEnd w:id="70"/>
    </w:p>
    <w:p w14:paraId="5EF406E2" w14:textId="1D5A423E" w:rsidR="0001080D" w:rsidRPr="00DA6E8E" w:rsidRDefault="0001080D" w:rsidP="00DA6E8E">
      <w:pPr>
        <w:spacing w:after="0" w:line="240" w:lineRule="auto"/>
        <w:ind w:firstLine="709"/>
        <w:jc w:val="both"/>
        <w:rPr>
          <w:rFonts w:ascii="Times New Roman" w:hAnsi="Times New Roman" w:cs="Times New Roman"/>
          <w:sz w:val="24"/>
          <w:szCs w:val="24"/>
        </w:rPr>
      </w:pPr>
      <w:r w:rsidRPr="00DA6E8E">
        <w:rPr>
          <w:rFonts w:ascii="Times New Roman" w:hAnsi="Times New Roman" w:cs="Times New Roman"/>
          <w:sz w:val="24"/>
          <w:szCs w:val="24"/>
        </w:rPr>
        <w:t xml:space="preserve">Голяма част от района на изследване е покрит от неогенски и кватернерни отложения, които не позволяват да се трасират </w:t>
      </w:r>
      <w:r w:rsidR="003B5A5B" w:rsidRPr="00DA6E8E">
        <w:rPr>
          <w:rFonts w:ascii="Times New Roman" w:hAnsi="Times New Roman" w:cs="Times New Roman"/>
          <w:sz w:val="24"/>
          <w:szCs w:val="24"/>
        </w:rPr>
        <w:t xml:space="preserve">големи и ясно проследими тектонски нарушения. </w:t>
      </w:r>
      <w:r w:rsidRPr="00DA6E8E">
        <w:rPr>
          <w:rFonts w:ascii="Times New Roman" w:hAnsi="Times New Roman" w:cs="Times New Roman"/>
          <w:sz w:val="24"/>
          <w:szCs w:val="24"/>
        </w:rPr>
        <w:t xml:space="preserve">В резултат на направените моделни построения в процеса на изграждане на 3D структурния модел </w:t>
      </w:r>
      <w:r w:rsidR="0044618F">
        <w:rPr>
          <w:rFonts w:ascii="Times New Roman" w:hAnsi="Times New Roman" w:cs="Times New Roman"/>
          <w:sz w:val="24"/>
          <w:szCs w:val="24"/>
        </w:rPr>
        <w:t>са</w:t>
      </w:r>
      <w:r w:rsidRPr="00DA6E8E">
        <w:rPr>
          <w:rFonts w:ascii="Times New Roman" w:hAnsi="Times New Roman" w:cs="Times New Roman"/>
          <w:sz w:val="24"/>
          <w:szCs w:val="24"/>
        </w:rPr>
        <w:t xml:space="preserve"> изяснени</w:t>
      </w:r>
      <w:r w:rsidR="00997F1F" w:rsidRPr="00DA6E8E">
        <w:rPr>
          <w:rFonts w:ascii="Times New Roman" w:hAnsi="Times New Roman" w:cs="Times New Roman"/>
          <w:sz w:val="24"/>
          <w:szCs w:val="24"/>
        </w:rPr>
        <w:t xml:space="preserve"> сложните вертикални и латерални пространствени и структурно-тектонски взаимоотношения на палеогенските седиментни скални комплекси.</w:t>
      </w:r>
    </w:p>
    <w:p w14:paraId="6598B354" w14:textId="77777777" w:rsidR="003B5A5B" w:rsidRPr="00A1696A" w:rsidRDefault="003B5A5B" w:rsidP="006B6EBF">
      <w:pPr>
        <w:spacing w:after="0" w:line="240" w:lineRule="auto"/>
        <w:ind w:firstLine="709"/>
        <w:jc w:val="both"/>
        <w:rPr>
          <w:rFonts w:ascii="Times New Roman" w:hAnsi="Times New Roman" w:cs="Times New Roman"/>
          <w:b/>
          <w:i/>
          <w:sz w:val="24"/>
          <w:szCs w:val="24"/>
        </w:rPr>
      </w:pPr>
      <w:r w:rsidRPr="00A1696A">
        <w:rPr>
          <w:rFonts w:ascii="Times New Roman" w:hAnsi="Times New Roman" w:cs="Times New Roman"/>
          <w:b/>
          <w:i/>
          <w:sz w:val="24"/>
          <w:szCs w:val="24"/>
        </w:rPr>
        <w:t>Обособени структури</w:t>
      </w:r>
    </w:p>
    <w:p w14:paraId="6221F78A" w14:textId="20C28783" w:rsidR="00CF72FF" w:rsidRPr="00A1696A" w:rsidRDefault="00997F1F"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 xml:space="preserve">Централното тракийско издигане (Central Thrace high) от </w:t>
      </w:r>
      <w:r w:rsidRPr="00A1696A">
        <w:rPr>
          <w:rFonts w:ascii="Times New Roman" w:hAnsi="Times New Roman" w:cs="Times New Roman"/>
          <w:sz w:val="24"/>
          <w:szCs w:val="24"/>
          <w:u w:val="single"/>
        </w:rPr>
        <w:t>турската част</w:t>
      </w:r>
      <w:r w:rsidRPr="00A1696A">
        <w:rPr>
          <w:rFonts w:ascii="Times New Roman" w:hAnsi="Times New Roman" w:cs="Times New Roman"/>
          <w:sz w:val="24"/>
          <w:szCs w:val="24"/>
        </w:rPr>
        <w:t xml:space="preserve"> на басейна (Elmas, 2012), което е оградено от разклоняващите се дясно-отседни разломи с посока ЗСЗ-ЮЮИ, разделя басейна на два депоцентъра</w:t>
      </w:r>
      <w:r w:rsidR="00AC21E3" w:rsidRPr="00A1696A">
        <w:rPr>
          <w:rFonts w:ascii="Times New Roman" w:hAnsi="Times New Roman" w:cs="Times New Roman"/>
          <w:sz w:val="24"/>
          <w:szCs w:val="24"/>
        </w:rPr>
        <w:t xml:space="preserve"> (фиг.6)</w:t>
      </w:r>
      <w:r w:rsidRPr="00A1696A">
        <w:rPr>
          <w:rFonts w:ascii="Times New Roman" w:hAnsi="Times New Roman" w:cs="Times New Roman"/>
          <w:sz w:val="24"/>
          <w:szCs w:val="24"/>
        </w:rPr>
        <w:t xml:space="preserve">. </w:t>
      </w:r>
      <w:r w:rsidR="00CF72FF" w:rsidRPr="00A1696A">
        <w:rPr>
          <w:rFonts w:ascii="Times New Roman" w:hAnsi="Times New Roman" w:cs="Times New Roman"/>
          <w:sz w:val="24"/>
          <w:szCs w:val="24"/>
          <w:lang w:eastAsia="bg-BG"/>
        </w:rPr>
        <w:t>Наличието на разклоняващи се извивки, ешелонирани гънки и обърнати компоненти по протежение на трансформните разломи на север и на юг от издигането показва, че е формирано като позитивна лалеобразна структура на транспресионни отседни движения.</w:t>
      </w:r>
    </w:p>
    <w:p w14:paraId="02745904" w14:textId="699F7877" w:rsidR="00997F1F" w:rsidRPr="00A1696A" w:rsidRDefault="00F54974" w:rsidP="00F54974">
      <w:pPr>
        <w:spacing w:after="0" w:line="240" w:lineRule="auto"/>
        <w:ind w:firstLine="709"/>
        <w:jc w:val="both"/>
        <w:rPr>
          <w:rFonts w:ascii="Times New Roman" w:hAnsi="Times New Roman" w:cs="Times New Roman"/>
          <w:sz w:val="24"/>
          <w:szCs w:val="24"/>
        </w:rPr>
      </w:pPr>
      <w:bookmarkStart w:id="72" w:name="_Hlk528921472"/>
      <w:r w:rsidRPr="00A1696A">
        <w:rPr>
          <w:rFonts w:ascii="Times New Roman" w:hAnsi="Times New Roman" w:cs="Times New Roman"/>
          <w:sz w:val="24"/>
          <w:szCs w:val="24"/>
          <w:u w:val="single"/>
        </w:rPr>
        <w:t>На българска територия</w:t>
      </w:r>
      <w:r w:rsidRPr="00A1696A">
        <w:rPr>
          <w:rFonts w:ascii="Times New Roman" w:hAnsi="Times New Roman" w:cs="Times New Roman"/>
          <w:sz w:val="24"/>
          <w:szCs w:val="24"/>
        </w:rPr>
        <w:t>, в района на дълбокия сондаж Р-1 Свиленград</w:t>
      </w:r>
      <w:r w:rsidR="0078683E" w:rsidRPr="00A1696A">
        <w:rPr>
          <w:rFonts w:ascii="Times New Roman" w:hAnsi="Times New Roman" w:cs="Times New Roman"/>
          <w:sz w:val="24"/>
          <w:szCs w:val="24"/>
        </w:rPr>
        <w:t>,</w:t>
      </w:r>
      <w:r w:rsidRPr="00A1696A">
        <w:rPr>
          <w:rFonts w:ascii="Times New Roman" w:hAnsi="Times New Roman" w:cs="Times New Roman"/>
          <w:sz w:val="24"/>
          <w:szCs w:val="24"/>
        </w:rPr>
        <w:t xml:space="preserve"> се наблюдава подобно издигане, което може да се предположи, че е продължение на това</w:t>
      </w:r>
      <w:bookmarkEnd w:id="72"/>
      <w:r w:rsidRPr="00A1696A">
        <w:rPr>
          <w:rFonts w:ascii="Times New Roman" w:hAnsi="Times New Roman" w:cs="Times New Roman"/>
          <w:sz w:val="24"/>
          <w:szCs w:val="24"/>
        </w:rPr>
        <w:t xml:space="preserve"> от турска територия. Обособената хорстовидна част по фундамента би могла да се проследи на запад и на територията на Имбреджекската хорст-антиклинала. </w:t>
      </w:r>
      <w:r w:rsidR="00CF72FF" w:rsidRPr="00A1696A">
        <w:rPr>
          <w:rFonts w:ascii="Times New Roman" w:hAnsi="Times New Roman" w:cs="Times New Roman"/>
          <w:sz w:val="24"/>
          <w:szCs w:val="24"/>
        </w:rPr>
        <w:t xml:space="preserve">За това свидетелства и фактът, че Имбреджекската хорст-антиклинала се обособява като ясно изразен структурен елемент, ограден на север и на юг </w:t>
      </w:r>
      <w:r w:rsidR="0044618F">
        <w:rPr>
          <w:rFonts w:ascii="Times New Roman" w:hAnsi="Times New Roman" w:cs="Times New Roman"/>
          <w:sz w:val="24"/>
          <w:szCs w:val="24"/>
        </w:rPr>
        <w:t>от</w:t>
      </w:r>
      <w:r w:rsidR="00CF72FF" w:rsidRPr="00A1696A">
        <w:rPr>
          <w:rFonts w:ascii="Times New Roman" w:hAnsi="Times New Roman" w:cs="Times New Roman"/>
          <w:sz w:val="24"/>
          <w:szCs w:val="24"/>
        </w:rPr>
        <w:t xml:space="preserve"> разломи, с характерна отседна компонента на транслацията.</w:t>
      </w:r>
    </w:p>
    <w:p w14:paraId="28A50B9E" w14:textId="4996542E" w:rsidR="003B5A5B" w:rsidRPr="00A1696A" w:rsidRDefault="003B5A5B" w:rsidP="006B6EBF">
      <w:pPr>
        <w:spacing w:after="0" w:line="240" w:lineRule="auto"/>
        <w:ind w:firstLine="709"/>
        <w:jc w:val="both"/>
        <w:rPr>
          <w:rFonts w:ascii="Times New Roman" w:hAnsi="Times New Roman" w:cs="Times New Roman"/>
          <w:b/>
          <w:i/>
          <w:sz w:val="24"/>
          <w:szCs w:val="24"/>
        </w:rPr>
      </w:pPr>
      <w:r w:rsidRPr="00A1696A">
        <w:rPr>
          <w:rFonts w:ascii="Times New Roman" w:hAnsi="Times New Roman" w:cs="Times New Roman"/>
          <w:b/>
          <w:i/>
          <w:sz w:val="24"/>
          <w:szCs w:val="24"/>
        </w:rPr>
        <w:t>Разседни тектонски нарушения</w:t>
      </w:r>
    </w:p>
    <w:p w14:paraId="5EBB6C76" w14:textId="1021E726" w:rsidR="003B5A5B" w:rsidRDefault="003B5A5B"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 xml:space="preserve">Разседните разломи, описвани от турските автори (Doust </w:t>
      </w:r>
      <w:r w:rsidR="000E3A16" w:rsidRPr="00A1696A">
        <w:rPr>
          <w:rFonts w:ascii="Times New Roman" w:hAnsi="Times New Roman" w:cs="Times New Roman"/>
          <w:sz w:val="24"/>
          <w:szCs w:val="24"/>
        </w:rPr>
        <w:t>and</w:t>
      </w:r>
      <w:r w:rsidRPr="00A1696A">
        <w:rPr>
          <w:rFonts w:ascii="Times New Roman" w:hAnsi="Times New Roman" w:cs="Times New Roman"/>
          <w:sz w:val="24"/>
          <w:szCs w:val="24"/>
        </w:rPr>
        <w:t xml:space="preserve"> Arikan, 1974</w:t>
      </w:r>
      <w:r w:rsidR="00DE0BC1" w:rsidRPr="00A1696A">
        <w:rPr>
          <w:rFonts w:ascii="Times New Roman" w:hAnsi="Times New Roman" w:cs="Times New Roman"/>
          <w:sz w:val="24"/>
          <w:szCs w:val="24"/>
        </w:rPr>
        <w:t>;</w:t>
      </w:r>
      <w:r w:rsidRPr="00A1696A">
        <w:rPr>
          <w:rFonts w:ascii="Times New Roman" w:hAnsi="Times New Roman" w:cs="Times New Roman"/>
          <w:sz w:val="24"/>
          <w:szCs w:val="24"/>
        </w:rPr>
        <w:t xml:space="preserve"> Perincek, 1991</w:t>
      </w:r>
      <w:r w:rsidR="00DE0BC1" w:rsidRPr="00A1696A">
        <w:rPr>
          <w:rFonts w:ascii="Times New Roman" w:hAnsi="Times New Roman" w:cs="Times New Roman"/>
          <w:sz w:val="24"/>
          <w:szCs w:val="24"/>
        </w:rPr>
        <w:t>;</w:t>
      </w:r>
      <w:r w:rsidRPr="00A1696A">
        <w:rPr>
          <w:rFonts w:ascii="Times New Roman" w:hAnsi="Times New Roman" w:cs="Times New Roman"/>
          <w:sz w:val="24"/>
          <w:szCs w:val="24"/>
        </w:rPr>
        <w:t xml:space="preserve"> </w:t>
      </w:r>
      <w:r w:rsidR="003A1DBE" w:rsidRPr="00A1696A">
        <w:rPr>
          <w:rFonts w:ascii="Times New Roman" w:hAnsi="Times New Roman" w:cs="Times New Roman"/>
          <w:color w:val="000000"/>
          <w:spacing w:val="3"/>
          <w:sz w:val="24"/>
          <w:szCs w:val="24"/>
        </w:rPr>
        <w:t xml:space="preserve">Gorur </w:t>
      </w:r>
      <w:r w:rsidR="003A1DBE" w:rsidRPr="00A1696A">
        <w:rPr>
          <w:rFonts w:ascii="Times New Roman" w:hAnsi="Times New Roman" w:cs="Times New Roman"/>
          <w:sz w:val="24"/>
          <w:szCs w:val="24"/>
        </w:rPr>
        <w:t xml:space="preserve">and </w:t>
      </w:r>
      <w:r w:rsidR="003A1DBE" w:rsidRPr="00A1696A">
        <w:rPr>
          <w:rFonts w:ascii="Times New Roman" w:hAnsi="Times New Roman" w:cs="Times New Roman"/>
          <w:color w:val="000000"/>
          <w:spacing w:val="3"/>
          <w:sz w:val="24"/>
          <w:szCs w:val="24"/>
        </w:rPr>
        <w:t xml:space="preserve">Okay, 1996; </w:t>
      </w:r>
      <w:r w:rsidRPr="00A1696A">
        <w:rPr>
          <w:rFonts w:ascii="Times New Roman" w:hAnsi="Times New Roman" w:cs="Times New Roman"/>
          <w:sz w:val="24"/>
          <w:szCs w:val="24"/>
        </w:rPr>
        <w:t xml:space="preserve">Turgut </w:t>
      </w:r>
      <w:r w:rsidR="000E3A16" w:rsidRPr="00A1696A">
        <w:rPr>
          <w:rFonts w:ascii="Times New Roman" w:hAnsi="Times New Roman" w:cs="Times New Roman"/>
          <w:sz w:val="24"/>
          <w:szCs w:val="24"/>
        </w:rPr>
        <w:t>and</w:t>
      </w:r>
      <w:r w:rsidRPr="00A1696A">
        <w:rPr>
          <w:rFonts w:ascii="Times New Roman" w:hAnsi="Times New Roman" w:cs="Times New Roman"/>
          <w:sz w:val="24"/>
          <w:szCs w:val="24"/>
        </w:rPr>
        <w:t xml:space="preserve"> Esseler, 2002) и групирани в т.нар. Централна Тракийска разломна зона </w:t>
      </w:r>
      <w:r w:rsidR="0044618F">
        <w:rPr>
          <w:rFonts w:ascii="Times New Roman" w:hAnsi="Times New Roman" w:cs="Times New Roman"/>
          <w:sz w:val="24"/>
          <w:szCs w:val="24"/>
        </w:rPr>
        <w:t>(</w:t>
      </w:r>
      <w:r w:rsidRPr="00A1696A">
        <w:rPr>
          <w:rFonts w:ascii="Times New Roman" w:hAnsi="Times New Roman" w:cs="Times New Roman"/>
          <w:sz w:val="24"/>
          <w:szCs w:val="24"/>
        </w:rPr>
        <w:t>Central Thrace Normal fault</w:t>
      </w:r>
      <w:r w:rsidR="0044618F">
        <w:rPr>
          <w:rFonts w:ascii="Times New Roman" w:hAnsi="Times New Roman" w:cs="Times New Roman"/>
          <w:sz w:val="24"/>
          <w:szCs w:val="24"/>
        </w:rPr>
        <w:t>)</w:t>
      </w:r>
      <w:r w:rsidRPr="00A1696A">
        <w:rPr>
          <w:rFonts w:ascii="Times New Roman" w:hAnsi="Times New Roman" w:cs="Times New Roman"/>
          <w:sz w:val="24"/>
          <w:szCs w:val="24"/>
        </w:rPr>
        <w:t xml:space="preserve">, понастоящем са неактивни (Elmas, 2012). </w:t>
      </w:r>
      <w:r w:rsidR="003A1DBE" w:rsidRPr="00A1696A">
        <w:rPr>
          <w:rFonts w:ascii="Times New Roman" w:hAnsi="Times New Roman" w:cs="Times New Roman"/>
          <w:sz w:val="24"/>
          <w:szCs w:val="24"/>
        </w:rPr>
        <w:t xml:space="preserve">Създадения 3D тектонски модел в северната част на изследвания район в страната ни (Meracheva and Zaneva-Dobranova, 2018) потвърди наличието на тектонски нарушения с разседен характер (фиг. </w:t>
      </w:r>
      <w:r w:rsidR="0044618F">
        <w:rPr>
          <w:rFonts w:ascii="Times New Roman" w:hAnsi="Times New Roman" w:cs="Times New Roman"/>
          <w:sz w:val="24"/>
          <w:szCs w:val="24"/>
        </w:rPr>
        <w:t>13</w:t>
      </w:r>
      <w:r w:rsidR="003A1DBE" w:rsidRPr="00A1696A">
        <w:rPr>
          <w:rFonts w:ascii="Times New Roman" w:hAnsi="Times New Roman" w:cs="Times New Roman"/>
          <w:sz w:val="24"/>
          <w:szCs w:val="24"/>
        </w:rPr>
        <w:t xml:space="preserve">). Модела позволява да се проследи </w:t>
      </w:r>
      <w:r w:rsidR="00F271D2" w:rsidRPr="00A1696A">
        <w:rPr>
          <w:rFonts w:ascii="Times New Roman" w:hAnsi="Times New Roman" w:cs="Times New Roman"/>
          <w:sz w:val="24"/>
          <w:szCs w:val="24"/>
        </w:rPr>
        <w:t xml:space="preserve">посоката на разпространение (изток-запад, ЮЮИ-ССЗ до ЮИ-СЗ), наклона, вида и взаимоотношенията на тектонските нарушения. </w:t>
      </w:r>
      <w:r w:rsidRPr="00A1696A">
        <w:rPr>
          <w:rFonts w:ascii="Times New Roman" w:hAnsi="Times New Roman" w:cs="Times New Roman"/>
          <w:sz w:val="24"/>
          <w:szCs w:val="24"/>
        </w:rPr>
        <w:t xml:space="preserve">Тези разломи са играли </w:t>
      </w:r>
      <w:r w:rsidR="00A3670B" w:rsidRPr="00A1696A">
        <w:rPr>
          <w:rFonts w:ascii="Times New Roman" w:hAnsi="Times New Roman" w:cs="Times New Roman"/>
          <w:sz w:val="24"/>
          <w:szCs w:val="24"/>
        </w:rPr>
        <w:t>важна</w:t>
      </w:r>
      <w:r w:rsidRPr="00A1696A">
        <w:rPr>
          <w:rFonts w:ascii="Times New Roman" w:hAnsi="Times New Roman" w:cs="Times New Roman"/>
          <w:sz w:val="24"/>
          <w:szCs w:val="24"/>
        </w:rPr>
        <w:t xml:space="preserve"> роля по време на отлагане на горноеоценските до олигоценските литоложки единици в басейна и са оформили грабеновидни </w:t>
      </w:r>
      <w:r w:rsidR="00F271D2" w:rsidRPr="00A1696A">
        <w:rPr>
          <w:rFonts w:ascii="Times New Roman" w:hAnsi="Times New Roman" w:cs="Times New Roman"/>
          <w:sz w:val="24"/>
          <w:szCs w:val="24"/>
        </w:rPr>
        <w:t xml:space="preserve">и хорстовидни </w:t>
      </w:r>
      <w:r w:rsidRPr="00A1696A">
        <w:rPr>
          <w:rFonts w:ascii="Times New Roman" w:hAnsi="Times New Roman" w:cs="Times New Roman"/>
          <w:sz w:val="24"/>
          <w:szCs w:val="24"/>
        </w:rPr>
        <w:t>структури с различна големина</w:t>
      </w:r>
      <w:r w:rsidR="00E75C7A" w:rsidRPr="00A1696A">
        <w:rPr>
          <w:rFonts w:ascii="Times New Roman" w:hAnsi="Times New Roman" w:cs="Times New Roman"/>
          <w:sz w:val="24"/>
          <w:szCs w:val="24"/>
        </w:rPr>
        <w:t xml:space="preserve"> (фиг. </w:t>
      </w:r>
      <w:r w:rsidR="0044618F">
        <w:rPr>
          <w:rFonts w:ascii="Times New Roman" w:hAnsi="Times New Roman" w:cs="Times New Roman"/>
          <w:sz w:val="24"/>
          <w:szCs w:val="24"/>
        </w:rPr>
        <w:t>14</w:t>
      </w:r>
      <w:r w:rsidR="00E75C7A" w:rsidRPr="00A1696A">
        <w:rPr>
          <w:rFonts w:ascii="Times New Roman" w:hAnsi="Times New Roman" w:cs="Times New Roman"/>
          <w:sz w:val="24"/>
          <w:szCs w:val="24"/>
        </w:rPr>
        <w:t>)</w:t>
      </w:r>
      <w:r w:rsidRPr="00A1696A">
        <w:rPr>
          <w:rFonts w:ascii="Times New Roman" w:hAnsi="Times New Roman" w:cs="Times New Roman"/>
          <w:sz w:val="24"/>
          <w:szCs w:val="24"/>
        </w:rPr>
        <w:t xml:space="preserve">. </w:t>
      </w:r>
    </w:p>
    <w:p w14:paraId="3724495F" w14:textId="77777777" w:rsidR="0044618F" w:rsidRPr="00A1696A" w:rsidRDefault="0044618F" w:rsidP="0044618F">
      <w:pPr>
        <w:spacing w:after="0" w:line="240" w:lineRule="auto"/>
        <w:ind w:firstLine="709"/>
        <w:jc w:val="both"/>
        <w:rPr>
          <w:rFonts w:ascii="Times New Roman" w:hAnsi="Times New Roman" w:cs="Times New Roman"/>
          <w:b/>
          <w:i/>
          <w:sz w:val="24"/>
          <w:szCs w:val="24"/>
        </w:rPr>
      </w:pPr>
      <w:r w:rsidRPr="00A1696A">
        <w:rPr>
          <w:rFonts w:ascii="Times New Roman" w:hAnsi="Times New Roman" w:cs="Times New Roman"/>
          <w:b/>
          <w:i/>
          <w:sz w:val="24"/>
          <w:szCs w:val="24"/>
        </w:rPr>
        <w:t>Отседни тектонски нарушения</w:t>
      </w:r>
    </w:p>
    <w:p w14:paraId="061F9968" w14:textId="6C60194B" w:rsidR="0044618F" w:rsidRPr="00A1696A" w:rsidRDefault="0044618F" w:rsidP="0044618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 xml:space="preserve">В турската част на Тракийския басейн </w:t>
      </w:r>
      <w:r>
        <w:rPr>
          <w:rFonts w:ascii="Times New Roman" w:hAnsi="Times New Roman" w:cs="Times New Roman"/>
          <w:sz w:val="24"/>
          <w:szCs w:val="24"/>
        </w:rPr>
        <w:t>се проследява</w:t>
      </w:r>
      <w:r w:rsidRPr="00A1696A">
        <w:rPr>
          <w:rFonts w:ascii="Times New Roman" w:hAnsi="Times New Roman" w:cs="Times New Roman"/>
          <w:sz w:val="24"/>
          <w:szCs w:val="24"/>
        </w:rPr>
        <w:t xml:space="preserve"> неактивна дясно-отседна разломна зона, наричана Terzili (Turgut </w:t>
      </w:r>
      <w:r w:rsidRPr="00A1696A">
        <w:rPr>
          <w:rFonts w:ascii="Times New Roman" w:hAnsi="Times New Roman" w:cs="Times New Roman"/>
          <w:i/>
          <w:sz w:val="24"/>
          <w:szCs w:val="24"/>
        </w:rPr>
        <w:t>et al.</w:t>
      </w:r>
      <w:r w:rsidRPr="00A1696A">
        <w:rPr>
          <w:rFonts w:ascii="Times New Roman" w:hAnsi="Times New Roman" w:cs="Times New Roman"/>
          <w:sz w:val="24"/>
          <w:szCs w:val="24"/>
        </w:rPr>
        <w:t xml:space="preserve">, 1991; Elmas, 2012), която е със ЗСЗ-ИЮИ посока на разпространение. Предполага се, че разломна зона Terzili се разклонява непосредствено преди границата на Турция с Гърция. Това дава основание да се приеме, че това разклонение се изразява и на наша територия съответно в северното и южното подножие на Имбреджекската хорст-антиклинала и на север от хорста със </w:t>
      </w:r>
      <w:r>
        <w:rPr>
          <w:rFonts w:ascii="Times New Roman" w:hAnsi="Times New Roman" w:cs="Times New Roman"/>
          <w:sz w:val="24"/>
          <w:szCs w:val="24"/>
        </w:rPr>
        <w:t xml:space="preserve">сондаж </w:t>
      </w:r>
      <w:r w:rsidRPr="00A1696A">
        <w:rPr>
          <w:rFonts w:ascii="Times New Roman" w:hAnsi="Times New Roman" w:cs="Times New Roman"/>
          <w:sz w:val="24"/>
          <w:szCs w:val="24"/>
        </w:rPr>
        <w:t xml:space="preserve"> Р-1 Свиленград, които са отнесени към Маришката разломна зона (Герджиков и Георгиев, 2006). Северното разклонение би трябвало да съвпада също с някои оперяващи разломи на север. Множеството гънки, разседни и отседни компоненти, положителни „лале структури“ и ешелонни гънки са често срещани структурни елементи по протежение на тази разломна зона. Вероятно структурната картина е много по-сложна, поради многократното реактивиране на разломите от системата с различен знак, при това в отседна обстановка. Такива отседни тра</w:t>
      </w:r>
      <w:r w:rsidR="00B41484">
        <w:rPr>
          <w:rFonts w:ascii="Times New Roman" w:hAnsi="Times New Roman" w:cs="Times New Roman"/>
          <w:sz w:val="24"/>
          <w:szCs w:val="24"/>
        </w:rPr>
        <w:t>н</w:t>
      </w:r>
      <w:r w:rsidRPr="00A1696A">
        <w:rPr>
          <w:rFonts w:ascii="Times New Roman" w:hAnsi="Times New Roman" w:cs="Times New Roman"/>
          <w:sz w:val="24"/>
          <w:szCs w:val="24"/>
        </w:rPr>
        <w:t xml:space="preserve">слации създават предпоставка за образуване на локални депоцентрове около разломната зона. Създаденият 3D структурен модел позволи проследяване, в посока северозапад (фиг. </w:t>
      </w:r>
      <w:r w:rsidR="00B41484">
        <w:rPr>
          <w:rFonts w:ascii="Times New Roman" w:hAnsi="Times New Roman" w:cs="Times New Roman"/>
          <w:sz w:val="24"/>
          <w:szCs w:val="24"/>
        </w:rPr>
        <w:t>15</w:t>
      </w:r>
      <w:r w:rsidRPr="00A1696A">
        <w:rPr>
          <w:rFonts w:ascii="Times New Roman" w:hAnsi="Times New Roman" w:cs="Times New Roman"/>
          <w:sz w:val="24"/>
          <w:szCs w:val="24"/>
        </w:rPr>
        <w:t xml:space="preserve">), участък с характерните депоцентрове, разположен на север от главния разлом, за който са характерни синрифтови процеси на седиментация през средно-късноеценския период. Друга характерна особеност на тази </w:t>
      </w:r>
      <w:r w:rsidRPr="00A1696A">
        <w:rPr>
          <w:rFonts w:ascii="Times New Roman" w:hAnsi="Times New Roman" w:cs="Times New Roman"/>
          <w:sz w:val="24"/>
          <w:szCs w:val="24"/>
        </w:rPr>
        <w:lastRenderedPageBreak/>
        <w:t>разломна зона е, че ограничава на североизток вулканската дейност, посредством сегмент с ЮИ-СЗ направление (фиг. 1</w:t>
      </w:r>
      <w:r w:rsidR="00B41484">
        <w:rPr>
          <w:rFonts w:ascii="Times New Roman" w:hAnsi="Times New Roman" w:cs="Times New Roman"/>
          <w:sz w:val="24"/>
          <w:szCs w:val="24"/>
        </w:rPr>
        <w:t>3</w:t>
      </w:r>
      <w:r w:rsidRPr="00A1696A">
        <w:rPr>
          <w:rFonts w:ascii="Times New Roman" w:hAnsi="Times New Roman" w:cs="Times New Roman"/>
          <w:sz w:val="24"/>
          <w:szCs w:val="24"/>
        </w:rPr>
        <w:t>, разлом в средата</w:t>
      </w:r>
      <w:r w:rsidR="00B41484">
        <w:rPr>
          <w:rFonts w:ascii="Times New Roman" w:hAnsi="Times New Roman" w:cs="Times New Roman"/>
          <w:sz w:val="24"/>
          <w:szCs w:val="24"/>
        </w:rPr>
        <w:t>,</w:t>
      </w:r>
      <w:r w:rsidRPr="00A1696A">
        <w:rPr>
          <w:rFonts w:ascii="Times New Roman" w:hAnsi="Times New Roman" w:cs="Times New Roman"/>
          <w:sz w:val="24"/>
          <w:szCs w:val="24"/>
        </w:rPr>
        <w:t xml:space="preserve"> в червен цвят).</w:t>
      </w:r>
    </w:p>
    <w:bookmarkEnd w:id="71"/>
    <w:p w14:paraId="7FAD51B3" w14:textId="77777777" w:rsidR="0044618F" w:rsidRPr="00A1696A" w:rsidRDefault="0044618F" w:rsidP="006B6EBF">
      <w:pPr>
        <w:spacing w:after="0" w:line="240" w:lineRule="auto"/>
        <w:ind w:firstLine="709"/>
        <w:jc w:val="both"/>
        <w:rPr>
          <w:rFonts w:ascii="Times New Roman" w:hAnsi="Times New Roman" w:cs="Times New Roman"/>
          <w:sz w:val="24"/>
          <w:szCs w:val="24"/>
        </w:rPr>
      </w:pPr>
    </w:p>
    <w:p w14:paraId="213BADA8" w14:textId="51183D80" w:rsidR="0063395D" w:rsidRPr="00A1696A" w:rsidRDefault="0063395D" w:rsidP="006B6EBF">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29FC3E3A" wp14:editId="469503A1">
            <wp:extent cx="6126480" cy="3195685"/>
            <wp:effectExtent l="19050" t="19050" r="26670" b="24130"/>
            <wp:docPr id="90131" name="Картина 9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1" name="Tectonic model_1.bmp"/>
                    <pic:cNvPicPr/>
                  </pic:nvPicPr>
                  <pic:blipFill rotWithShape="1">
                    <a:blip r:embed="rId24" cstate="print">
                      <a:extLst>
                        <a:ext uri="{28A0092B-C50C-407E-A947-70E740481C1C}">
                          <a14:useLocalDpi xmlns:a14="http://schemas.microsoft.com/office/drawing/2010/main" val="0"/>
                        </a:ext>
                      </a:extLst>
                    </a:blip>
                    <a:srcRect l="10985" t="3885" r="3570" b="6217"/>
                    <a:stretch/>
                  </pic:blipFill>
                  <pic:spPr bwMode="auto">
                    <a:xfrm>
                      <a:off x="0" y="0"/>
                      <a:ext cx="6225715" cy="324744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3DD6AC07" w14:textId="3326D953" w:rsidR="003B5A5B" w:rsidRPr="00A1696A" w:rsidRDefault="003B5A5B" w:rsidP="006B6EBF">
      <w:pPr>
        <w:spacing w:after="0" w:line="240" w:lineRule="auto"/>
        <w:jc w:val="center"/>
        <w:rPr>
          <w:rFonts w:ascii="Times New Roman" w:hAnsi="Times New Roman" w:cs="Times New Roman"/>
          <w:i/>
          <w:sz w:val="24"/>
          <w:szCs w:val="24"/>
        </w:rPr>
      </w:pPr>
      <w:r w:rsidRPr="00A1696A">
        <w:rPr>
          <w:rFonts w:ascii="Times New Roman" w:hAnsi="Times New Roman" w:cs="Times New Roman"/>
          <w:i/>
          <w:sz w:val="24"/>
          <w:szCs w:val="24"/>
        </w:rPr>
        <w:t>Фиг.</w:t>
      </w:r>
      <w:r w:rsidR="000E3A16" w:rsidRPr="00A1696A">
        <w:rPr>
          <w:rFonts w:ascii="Times New Roman" w:hAnsi="Times New Roman" w:cs="Times New Roman"/>
          <w:i/>
          <w:sz w:val="24"/>
          <w:szCs w:val="24"/>
        </w:rPr>
        <w:t xml:space="preserve"> </w:t>
      </w:r>
      <w:r w:rsidR="0044618F">
        <w:rPr>
          <w:rFonts w:ascii="Times New Roman" w:hAnsi="Times New Roman" w:cs="Times New Roman"/>
          <w:i/>
          <w:sz w:val="24"/>
          <w:szCs w:val="24"/>
        </w:rPr>
        <w:t>13</w:t>
      </w:r>
      <w:r w:rsidRPr="00A1696A">
        <w:rPr>
          <w:rFonts w:ascii="Times New Roman" w:hAnsi="Times New Roman" w:cs="Times New Roman"/>
          <w:i/>
          <w:sz w:val="24"/>
          <w:szCs w:val="24"/>
        </w:rPr>
        <w:t>. Тектонски модел на района на изследване</w:t>
      </w:r>
    </w:p>
    <w:p w14:paraId="5801D936" w14:textId="0FA4A44F" w:rsidR="003B5A5B" w:rsidRPr="00A1696A" w:rsidRDefault="00F55FEB" w:rsidP="006B6EBF">
      <w:pPr>
        <w:tabs>
          <w:tab w:val="left" w:pos="6690"/>
        </w:tabs>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ab/>
      </w:r>
    </w:p>
    <w:p w14:paraId="2B21FE11" w14:textId="521C9A7B" w:rsidR="00F271D2" w:rsidRPr="00A1696A" w:rsidRDefault="00F271D2" w:rsidP="006B6EBF">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2E5F4563" wp14:editId="63BF426C">
            <wp:extent cx="6169990" cy="3038622"/>
            <wp:effectExtent l="19050" t="19050" r="21590" b="9525"/>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_N_2_age.png"/>
                    <pic:cNvPicPr/>
                  </pic:nvPicPr>
                  <pic:blipFill rotWithShape="1">
                    <a:blip r:embed="rId25">
                      <a:extLst>
                        <a:ext uri="{28A0092B-C50C-407E-A947-70E740481C1C}">
                          <a14:useLocalDpi xmlns:a14="http://schemas.microsoft.com/office/drawing/2010/main" val="0"/>
                        </a:ext>
                      </a:extLst>
                    </a:blip>
                    <a:srcRect l="5914" t="11119" b="2777"/>
                    <a:stretch/>
                  </pic:blipFill>
                  <pic:spPr bwMode="auto">
                    <a:xfrm>
                      <a:off x="0" y="0"/>
                      <a:ext cx="6180795" cy="3043943"/>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169CB648" w14:textId="252FBAEA" w:rsidR="003B5A5B" w:rsidRDefault="003B5A5B" w:rsidP="006B6EBF">
      <w:pPr>
        <w:spacing w:after="0" w:line="240" w:lineRule="auto"/>
        <w:jc w:val="center"/>
        <w:rPr>
          <w:rFonts w:ascii="Times New Roman" w:hAnsi="Times New Roman" w:cs="Times New Roman"/>
          <w:i/>
          <w:sz w:val="24"/>
          <w:szCs w:val="24"/>
        </w:rPr>
      </w:pPr>
      <w:r w:rsidRPr="00A1696A">
        <w:rPr>
          <w:rFonts w:ascii="Times New Roman" w:hAnsi="Times New Roman" w:cs="Times New Roman"/>
          <w:i/>
          <w:sz w:val="24"/>
          <w:szCs w:val="24"/>
        </w:rPr>
        <w:t>Фиг.</w:t>
      </w:r>
      <w:r w:rsidR="0044618F">
        <w:rPr>
          <w:rFonts w:ascii="Times New Roman" w:hAnsi="Times New Roman" w:cs="Times New Roman"/>
          <w:i/>
          <w:sz w:val="24"/>
          <w:szCs w:val="24"/>
        </w:rPr>
        <w:t>14</w:t>
      </w:r>
      <w:r w:rsidRPr="00A1696A">
        <w:rPr>
          <w:rFonts w:ascii="Times New Roman" w:hAnsi="Times New Roman" w:cs="Times New Roman"/>
          <w:i/>
          <w:sz w:val="24"/>
          <w:szCs w:val="24"/>
        </w:rPr>
        <w:t>. Профил с посока север-юг от 3D геоложкия модел, на който ясно се наблюдава листричния характер на разседите</w:t>
      </w:r>
    </w:p>
    <w:p w14:paraId="2F08D547" w14:textId="77777777" w:rsidR="00B41484" w:rsidRDefault="00B41484" w:rsidP="00B41484">
      <w:pPr>
        <w:spacing w:after="0" w:line="240" w:lineRule="auto"/>
        <w:ind w:firstLine="709"/>
        <w:jc w:val="both"/>
        <w:rPr>
          <w:rFonts w:ascii="Times New Roman" w:hAnsi="Times New Roman" w:cs="Times New Roman"/>
          <w:sz w:val="24"/>
          <w:szCs w:val="24"/>
        </w:rPr>
      </w:pPr>
    </w:p>
    <w:p w14:paraId="4EA3D42B" w14:textId="3727459A" w:rsidR="00B41484" w:rsidRDefault="00B41484" w:rsidP="00B41484">
      <w:pPr>
        <w:spacing w:after="0" w:line="240" w:lineRule="auto"/>
        <w:ind w:firstLine="709"/>
        <w:jc w:val="both"/>
        <w:rPr>
          <w:rFonts w:ascii="Times New Roman" w:hAnsi="Times New Roman" w:cs="Times New Roman"/>
          <w:sz w:val="24"/>
          <w:szCs w:val="24"/>
          <w:lang w:eastAsia="bg-BG"/>
        </w:rPr>
      </w:pPr>
      <w:bookmarkStart w:id="73" w:name="_Hlk7798397"/>
      <w:r w:rsidRPr="00A1696A">
        <w:rPr>
          <w:rFonts w:ascii="Times New Roman" w:hAnsi="Times New Roman" w:cs="Times New Roman"/>
          <w:sz w:val="24"/>
          <w:szCs w:val="24"/>
        </w:rPr>
        <w:t>От направените наблюдения и интерпретации на сеизмичните профили, както и от извършените структурни построения може да се обобщи, че тектонската дейност, в целия Тракийски басейн, така и на нашата територия, започва през късния лютески век и продължава през късния еоцен и ранния олигоцен. Разломите опират в пред-средно-горно миоценските отложения, а тектонските движения през този период причиняват интензивни деформации на седиментите скали, отложени до ранно-средно миоценската епоха (Turgut and Esseler, 2002). Потвърждават се предположенията</w:t>
      </w:r>
      <w:r>
        <w:rPr>
          <w:rFonts w:ascii="Times New Roman" w:hAnsi="Times New Roman" w:cs="Times New Roman"/>
          <w:sz w:val="24"/>
          <w:szCs w:val="24"/>
        </w:rPr>
        <w:t xml:space="preserve"> </w:t>
      </w:r>
      <w:r w:rsidRPr="00A1696A">
        <w:rPr>
          <w:rFonts w:ascii="Times New Roman" w:hAnsi="Times New Roman" w:cs="Times New Roman"/>
          <w:sz w:val="24"/>
          <w:szCs w:val="24"/>
        </w:rPr>
        <w:t xml:space="preserve">(Gorur and Okay, 1996), че много от гънките са се образували през късния олигоцен – ранен миоцен. Чрез направените структурни построения </w:t>
      </w:r>
      <w:r w:rsidRPr="00A1696A">
        <w:rPr>
          <w:rFonts w:ascii="Times New Roman" w:hAnsi="Times New Roman" w:cs="Times New Roman"/>
          <w:sz w:val="24"/>
          <w:szCs w:val="24"/>
        </w:rPr>
        <w:lastRenderedPageBreak/>
        <w:t>ясно се проследяват границите на разпространението на основните литологостратиграфски единици с терциерна възраст, характера на изплитняване на север и северозапад към окрайнините на седиментния басейн, несъгласните взаимоотношения с отгоре залягащата формация</w:t>
      </w:r>
      <w:r>
        <w:rPr>
          <w:rFonts w:ascii="Times New Roman" w:hAnsi="Times New Roman" w:cs="Times New Roman"/>
          <w:sz w:val="24"/>
          <w:szCs w:val="24"/>
        </w:rPr>
        <w:t xml:space="preserve"> (фиг. 14)</w:t>
      </w:r>
      <w:r w:rsidRPr="00A1696A">
        <w:rPr>
          <w:rFonts w:ascii="Times New Roman" w:hAnsi="Times New Roman" w:cs="Times New Roman"/>
          <w:sz w:val="24"/>
          <w:szCs w:val="24"/>
        </w:rPr>
        <w:t xml:space="preserve">. </w:t>
      </w:r>
      <w:r w:rsidRPr="00B41484">
        <w:rPr>
          <w:rFonts w:ascii="Times New Roman" w:hAnsi="Times New Roman" w:cs="Times New Roman"/>
          <w:sz w:val="24"/>
          <w:szCs w:val="24"/>
        </w:rPr>
        <w:t>Въз основа на създадения 3D структурен модел на северната част от района на изследване се разкриват възможности</w:t>
      </w:r>
      <w:r w:rsidRPr="00B41484">
        <w:rPr>
          <w:rFonts w:ascii="Times New Roman" w:hAnsi="Times New Roman" w:cs="Times New Roman"/>
          <w:sz w:val="24"/>
          <w:szCs w:val="24"/>
          <w:lang w:eastAsia="bg-BG"/>
        </w:rPr>
        <w:t xml:space="preserve"> за набелязване на перспективни в нефтогазоносно отношение обекти/геокапани (структурни, неструктурни тела и др.), изчисляване на тяхната геометрия и обем. Моделът позволява прогнозиране на пътища за миграция на флуиди с различно фазово състояние.</w:t>
      </w:r>
    </w:p>
    <w:bookmarkEnd w:id="73"/>
    <w:p w14:paraId="78A5F21E" w14:textId="77777777" w:rsidR="00B41484" w:rsidRPr="00A1696A" w:rsidRDefault="00B41484" w:rsidP="00B41484">
      <w:pPr>
        <w:spacing w:after="0" w:line="240" w:lineRule="auto"/>
        <w:ind w:firstLine="709"/>
        <w:jc w:val="both"/>
        <w:rPr>
          <w:rFonts w:ascii="Times New Roman" w:hAnsi="Times New Roman" w:cs="Times New Roman"/>
          <w:sz w:val="24"/>
          <w:szCs w:val="24"/>
          <w:lang w:eastAsia="bg-BG"/>
        </w:rPr>
      </w:pPr>
    </w:p>
    <w:p w14:paraId="15A3C0FE" w14:textId="27EC8DC7" w:rsidR="0044388F" w:rsidRPr="00A1696A" w:rsidRDefault="0044388F" w:rsidP="008A0657">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3907D014" wp14:editId="49C757E1">
            <wp:extent cx="6097669" cy="3054740"/>
            <wp:effectExtent l="19050" t="19050" r="17780" b="12700"/>
            <wp:docPr id="7183" name="Картина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E_W 2_age.png"/>
                    <pic:cNvPicPr/>
                  </pic:nvPicPr>
                  <pic:blipFill rotWithShape="1">
                    <a:blip r:embed="rId26">
                      <a:extLst>
                        <a:ext uri="{28A0092B-C50C-407E-A947-70E740481C1C}">
                          <a14:useLocalDpi xmlns:a14="http://schemas.microsoft.com/office/drawing/2010/main" val="0"/>
                        </a:ext>
                      </a:extLst>
                    </a:blip>
                    <a:srcRect l="5617" t="11122"/>
                    <a:stretch/>
                  </pic:blipFill>
                  <pic:spPr bwMode="auto">
                    <a:xfrm>
                      <a:off x="0" y="0"/>
                      <a:ext cx="6128807" cy="3070339"/>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077F7DBA" w14:textId="49DBB6D3" w:rsidR="003B5A5B" w:rsidRDefault="003B5A5B" w:rsidP="006B6EBF">
      <w:pPr>
        <w:spacing w:after="0" w:line="240" w:lineRule="auto"/>
        <w:jc w:val="center"/>
        <w:rPr>
          <w:rFonts w:ascii="Times New Roman" w:hAnsi="Times New Roman" w:cs="Times New Roman"/>
          <w:i/>
          <w:sz w:val="24"/>
          <w:szCs w:val="24"/>
        </w:rPr>
      </w:pPr>
      <w:r w:rsidRPr="00A1696A">
        <w:rPr>
          <w:rFonts w:ascii="Times New Roman" w:hAnsi="Times New Roman" w:cs="Times New Roman"/>
          <w:i/>
          <w:sz w:val="24"/>
          <w:szCs w:val="24"/>
        </w:rPr>
        <w:t>Фиг.</w:t>
      </w:r>
      <w:r w:rsidR="000E3A16" w:rsidRPr="00A1696A">
        <w:rPr>
          <w:rFonts w:ascii="Times New Roman" w:hAnsi="Times New Roman" w:cs="Times New Roman"/>
          <w:i/>
          <w:sz w:val="24"/>
          <w:szCs w:val="24"/>
        </w:rPr>
        <w:t xml:space="preserve"> </w:t>
      </w:r>
      <w:r w:rsidR="00B36D76" w:rsidRPr="00A1696A">
        <w:rPr>
          <w:rFonts w:ascii="Times New Roman" w:hAnsi="Times New Roman" w:cs="Times New Roman"/>
          <w:i/>
          <w:sz w:val="24"/>
          <w:szCs w:val="24"/>
        </w:rPr>
        <w:t>1</w:t>
      </w:r>
      <w:r w:rsidR="00520C13">
        <w:rPr>
          <w:rFonts w:ascii="Times New Roman" w:hAnsi="Times New Roman" w:cs="Times New Roman"/>
          <w:i/>
          <w:sz w:val="24"/>
          <w:szCs w:val="24"/>
        </w:rPr>
        <w:t>5</w:t>
      </w:r>
      <w:r w:rsidRPr="00A1696A">
        <w:rPr>
          <w:rFonts w:ascii="Times New Roman" w:hAnsi="Times New Roman" w:cs="Times New Roman"/>
          <w:i/>
          <w:sz w:val="24"/>
          <w:szCs w:val="24"/>
        </w:rPr>
        <w:t xml:space="preserve">. Профил с посока запад-югозапад-изток-североизток от 3D геоложкия модел, на който ясно се наблюдава влиянието на </w:t>
      </w:r>
      <w:r w:rsidR="001118B3" w:rsidRPr="00A1696A">
        <w:rPr>
          <w:rFonts w:ascii="Times New Roman" w:hAnsi="Times New Roman" w:cs="Times New Roman"/>
          <w:i/>
          <w:sz w:val="24"/>
          <w:szCs w:val="24"/>
        </w:rPr>
        <w:t xml:space="preserve">отседната компонента на </w:t>
      </w:r>
      <w:r w:rsidRPr="00A1696A">
        <w:rPr>
          <w:rFonts w:ascii="Times New Roman" w:hAnsi="Times New Roman" w:cs="Times New Roman"/>
          <w:i/>
          <w:sz w:val="24"/>
          <w:szCs w:val="24"/>
        </w:rPr>
        <w:t>Маришката разломна зона при образуване на акомодационни депоцентрове</w:t>
      </w:r>
    </w:p>
    <w:p w14:paraId="65DF009C" w14:textId="77777777" w:rsidR="00B41484" w:rsidRPr="00A1696A" w:rsidRDefault="00B41484" w:rsidP="006B6EBF">
      <w:pPr>
        <w:spacing w:after="0" w:line="240" w:lineRule="auto"/>
        <w:jc w:val="center"/>
        <w:rPr>
          <w:rFonts w:ascii="Times New Roman" w:hAnsi="Times New Roman" w:cs="Times New Roman"/>
          <w:i/>
          <w:sz w:val="24"/>
          <w:szCs w:val="24"/>
        </w:rPr>
      </w:pPr>
    </w:p>
    <w:p w14:paraId="14FED6B9" w14:textId="7D602CE2" w:rsidR="00DA6E8E" w:rsidRDefault="0055322A" w:rsidP="006B6EBF">
      <w:pPr>
        <w:pStyle w:val="Style1"/>
        <w:ind w:left="0" w:firstLine="709"/>
        <w:jc w:val="both"/>
        <w:rPr>
          <w:lang w:val="bg-BG"/>
        </w:rPr>
      </w:pPr>
      <w:bookmarkStart w:id="74" w:name="_Toc7820645"/>
      <w:bookmarkStart w:id="75" w:name="_Hlk7798592"/>
      <w:r w:rsidRPr="00A1696A">
        <w:rPr>
          <w:lang w:val="bg-BG"/>
        </w:rPr>
        <w:t xml:space="preserve">4.3. Природни резервоари - характеристика на колекторните и </w:t>
      </w:r>
      <w:r w:rsidR="009C7FDB" w:rsidRPr="00A1696A">
        <w:rPr>
          <w:lang w:val="bg-BG"/>
        </w:rPr>
        <w:t>изолиращите</w:t>
      </w:r>
      <w:r w:rsidRPr="00A1696A">
        <w:rPr>
          <w:lang w:val="bg-BG"/>
        </w:rPr>
        <w:t xml:space="preserve"> наслаги. Природни капани</w:t>
      </w:r>
      <w:bookmarkEnd w:id="74"/>
    </w:p>
    <w:p w14:paraId="1F6BE6DE" w14:textId="561E7262" w:rsidR="00E23B58" w:rsidRDefault="000E3A16" w:rsidP="00DA6E8E">
      <w:pPr>
        <w:spacing w:after="0" w:line="240" w:lineRule="auto"/>
        <w:ind w:firstLine="709"/>
        <w:jc w:val="both"/>
        <w:rPr>
          <w:rFonts w:ascii="Times New Roman" w:hAnsi="Times New Roman" w:cs="Times New Roman"/>
          <w:sz w:val="24"/>
          <w:szCs w:val="24"/>
          <w:lang w:eastAsia="bg-BG"/>
        </w:rPr>
      </w:pPr>
      <w:r w:rsidRPr="00DA6E8E">
        <w:rPr>
          <w:rFonts w:ascii="Times New Roman" w:hAnsi="Times New Roman" w:cs="Times New Roman"/>
          <w:sz w:val="24"/>
          <w:szCs w:val="24"/>
          <w:lang w:eastAsia="bg-BG"/>
        </w:rPr>
        <w:t>Въз основа</w:t>
      </w:r>
      <w:r w:rsidR="0055322A" w:rsidRPr="00DA6E8E">
        <w:rPr>
          <w:rFonts w:ascii="Times New Roman" w:hAnsi="Times New Roman" w:cs="Times New Roman"/>
          <w:sz w:val="24"/>
          <w:szCs w:val="24"/>
          <w:lang w:eastAsia="bg-BG"/>
        </w:rPr>
        <w:t xml:space="preserve"> на извършените анализи и характеристика на геоисторическото развитие и геоложкия строеж, както и на създадените впоследствие 2D </w:t>
      </w:r>
      <w:r w:rsidR="0055322A" w:rsidRPr="00B57219">
        <w:rPr>
          <w:rFonts w:ascii="Times New Roman" w:hAnsi="Times New Roman" w:cs="Times New Roman"/>
          <w:sz w:val="24"/>
          <w:szCs w:val="24"/>
          <w:lang w:eastAsia="bg-BG"/>
        </w:rPr>
        <w:t>палеогеографски</w:t>
      </w:r>
      <w:r w:rsidR="0055322A" w:rsidRPr="00DA6E8E">
        <w:rPr>
          <w:rFonts w:ascii="Times New Roman" w:hAnsi="Times New Roman" w:cs="Times New Roman"/>
          <w:sz w:val="24"/>
          <w:szCs w:val="24"/>
          <w:lang w:eastAsia="bg-BG"/>
        </w:rPr>
        <w:t xml:space="preserve"> и 3D геоложки модели на изучаваната територия, която е елемент от Тракийския басейн, се предполагат сходни условия на образуване на терциерните седименти в рамките на този обширен и сложно построен басейн.</w:t>
      </w:r>
      <w:r w:rsidR="0048689C" w:rsidRPr="00DA6E8E">
        <w:rPr>
          <w:rFonts w:ascii="Times New Roman" w:hAnsi="Times New Roman" w:cs="Times New Roman"/>
          <w:sz w:val="24"/>
          <w:szCs w:val="24"/>
          <w:lang w:eastAsia="bg-BG"/>
        </w:rPr>
        <w:t xml:space="preserve"> </w:t>
      </w:r>
      <w:r w:rsidR="0055322A" w:rsidRPr="00DA6E8E">
        <w:rPr>
          <w:rFonts w:ascii="Times New Roman" w:hAnsi="Times New Roman" w:cs="Times New Roman"/>
          <w:sz w:val="24"/>
          <w:szCs w:val="24"/>
          <w:lang w:eastAsia="bg-BG"/>
        </w:rPr>
        <w:t>Това предполага също и формиране на еднотипни природни резервоари, които с</w:t>
      </w:r>
      <w:r w:rsidR="00D83CE9" w:rsidRPr="00DA6E8E">
        <w:rPr>
          <w:rFonts w:ascii="Times New Roman" w:hAnsi="Times New Roman" w:cs="Times New Roman"/>
          <w:sz w:val="24"/>
          <w:szCs w:val="24"/>
          <w:lang w:eastAsia="bg-BG"/>
        </w:rPr>
        <w:t>е</w:t>
      </w:r>
      <w:r w:rsidR="0055322A" w:rsidRPr="00DA6E8E">
        <w:rPr>
          <w:rFonts w:ascii="Times New Roman" w:hAnsi="Times New Roman" w:cs="Times New Roman"/>
          <w:sz w:val="24"/>
          <w:szCs w:val="24"/>
          <w:lang w:eastAsia="bg-BG"/>
        </w:rPr>
        <w:t xml:space="preserve"> отдел</w:t>
      </w:r>
      <w:r w:rsidR="00D83CE9" w:rsidRPr="00DA6E8E">
        <w:rPr>
          <w:rFonts w:ascii="Times New Roman" w:hAnsi="Times New Roman" w:cs="Times New Roman"/>
          <w:sz w:val="24"/>
          <w:szCs w:val="24"/>
          <w:lang w:eastAsia="bg-BG"/>
        </w:rPr>
        <w:t>ят</w:t>
      </w:r>
      <w:r w:rsidR="0055322A"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въз основа</w:t>
      </w:r>
      <w:r w:rsidR="0055322A" w:rsidRPr="00DA6E8E">
        <w:rPr>
          <w:rFonts w:ascii="Times New Roman" w:hAnsi="Times New Roman" w:cs="Times New Roman"/>
          <w:sz w:val="24"/>
          <w:szCs w:val="24"/>
          <w:lang w:eastAsia="bg-BG"/>
        </w:rPr>
        <w:t xml:space="preserve"> на сравнителна характеристика на резервоарните свойства на терциерните наслаги от изучавания район и нефтогазоносните скали на турска територия</w:t>
      </w:r>
      <w:r w:rsidR="00D83CE9" w:rsidRPr="00DA6E8E">
        <w:rPr>
          <w:rFonts w:ascii="Times New Roman" w:hAnsi="Times New Roman" w:cs="Times New Roman"/>
          <w:sz w:val="24"/>
          <w:szCs w:val="24"/>
          <w:lang w:eastAsia="bg-BG"/>
        </w:rPr>
        <w:t xml:space="preserve"> (фиг. 1</w:t>
      </w:r>
      <w:r w:rsidR="00520C13">
        <w:rPr>
          <w:rFonts w:ascii="Times New Roman" w:hAnsi="Times New Roman" w:cs="Times New Roman"/>
          <w:sz w:val="24"/>
          <w:szCs w:val="24"/>
          <w:lang w:eastAsia="bg-BG"/>
        </w:rPr>
        <w:t>6</w:t>
      </w:r>
      <w:r w:rsidR="00D83CE9" w:rsidRPr="00DA6E8E">
        <w:rPr>
          <w:rFonts w:ascii="Times New Roman" w:hAnsi="Times New Roman" w:cs="Times New Roman"/>
          <w:sz w:val="24"/>
          <w:szCs w:val="24"/>
          <w:lang w:eastAsia="bg-BG"/>
        </w:rPr>
        <w:t>)</w:t>
      </w:r>
      <w:r w:rsidR="0055322A" w:rsidRPr="00DA6E8E">
        <w:rPr>
          <w:rFonts w:ascii="Times New Roman" w:hAnsi="Times New Roman" w:cs="Times New Roman"/>
          <w:sz w:val="24"/>
          <w:szCs w:val="24"/>
          <w:lang w:eastAsia="bg-BG"/>
        </w:rPr>
        <w:t xml:space="preserve">. </w:t>
      </w:r>
    </w:p>
    <w:p w14:paraId="287D1D48" w14:textId="27968D01" w:rsidR="00520C13" w:rsidRPr="00DA6E8E" w:rsidRDefault="00520C13" w:rsidP="00520C13">
      <w:pPr>
        <w:spacing w:after="0" w:line="240" w:lineRule="auto"/>
        <w:ind w:firstLine="709"/>
        <w:jc w:val="both"/>
        <w:rPr>
          <w:rFonts w:ascii="Times New Roman" w:hAnsi="Times New Roman" w:cs="Times New Roman"/>
          <w:sz w:val="24"/>
          <w:szCs w:val="24"/>
          <w:lang w:eastAsia="bg-BG"/>
        </w:rPr>
      </w:pPr>
      <w:r w:rsidRPr="00DA6E8E">
        <w:rPr>
          <w:rFonts w:ascii="Times New Roman" w:hAnsi="Times New Roman" w:cs="Times New Roman"/>
          <w:sz w:val="24"/>
          <w:szCs w:val="24"/>
          <w:lang w:eastAsia="bg-BG"/>
        </w:rPr>
        <w:t>В терциерния разрез на изучавания район са дефинирани четири природни резервоара – един в разреза с палеоцен-ранно-средноеоценска (?) възраст, два от тях в наслагите с късноеоценска възраст и един в тези с олигоценска възраст (Занева-Добранова и Мерачева, 2014; фиг. 1</w:t>
      </w:r>
      <w:r>
        <w:rPr>
          <w:rFonts w:ascii="Times New Roman" w:hAnsi="Times New Roman" w:cs="Times New Roman"/>
          <w:sz w:val="24"/>
          <w:szCs w:val="24"/>
          <w:lang w:eastAsia="bg-BG"/>
        </w:rPr>
        <w:t>7</w:t>
      </w:r>
      <w:r w:rsidRPr="00DA6E8E">
        <w:rPr>
          <w:rFonts w:ascii="Times New Roman" w:hAnsi="Times New Roman" w:cs="Times New Roman"/>
          <w:sz w:val="24"/>
          <w:szCs w:val="24"/>
          <w:lang w:eastAsia="bg-BG"/>
        </w:rPr>
        <w:t>). Важна роля при формирането на взаимоотношенията между тях имат резките фациални изменения във вертикална и хоризонтална посока, които са продиктувани и контролирани до голяма степен от разломни нарушения. Относително ограниченият обем геолого-геофизична и сондажна информация затруднява проследяването на пространствените взаимоотношения между колекторните и изолиращите задруги.</w:t>
      </w:r>
    </w:p>
    <w:bookmarkEnd w:id="75"/>
    <w:p w14:paraId="750A5573" w14:textId="77777777" w:rsidR="00520C13" w:rsidRPr="00DA6E8E" w:rsidRDefault="00520C13" w:rsidP="00DA6E8E">
      <w:pPr>
        <w:spacing w:after="0" w:line="240" w:lineRule="auto"/>
        <w:ind w:firstLine="709"/>
        <w:jc w:val="both"/>
        <w:rPr>
          <w:rFonts w:ascii="Times New Roman" w:hAnsi="Times New Roman" w:cs="Times New Roman"/>
          <w:sz w:val="24"/>
          <w:szCs w:val="24"/>
          <w:lang w:eastAsia="bg-BG"/>
        </w:rPr>
      </w:pPr>
    </w:p>
    <w:p w14:paraId="09AAA7AA" w14:textId="72EED768" w:rsidR="00DC18A7" w:rsidRPr="00A1696A" w:rsidRDefault="00DC18A7" w:rsidP="006B6EBF">
      <w:pPr>
        <w:spacing w:after="0" w:line="240" w:lineRule="auto"/>
        <w:jc w:val="center"/>
        <w:rPr>
          <w:rFonts w:ascii="Times New Roman" w:hAnsi="Times New Roman" w:cs="Times New Roman"/>
          <w:sz w:val="24"/>
          <w:szCs w:val="24"/>
          <w:u w:val="single"/>
        </w:rPr>
      </w:pPr>
      <w:r w:rsidRPr="00A1696A">
        <w:rPr>
          <w:rFonts w:ascii="Times New Roman" w:hAnsi="Times New Roman" w:cs="Times New Roman"/>
          <w:noProof/>
          <w:sz w:val="24"/>
          <w:szCs w:val="24"/>
          <w:u w:val="single"/>
          <w:lang w:eastAsia="bg-BG"/>
        </w:rPr>
        <w:lastRenderedPageBreak/>
        <w:drawing>
          <wp:inline distT="0" distB="0" distL="0" distR="0" wp14:anchorId="4FCAA8E4" wp14:editId="527E2F2C">
            <wp:extent cx="6003410" cy="7064033"/>
            <wp:effectExtent l="19050" t="19050" r="16510" b="2286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reservoir_characteristic_dissertation_summer_2019.jpg"/>
                    <pic:cNvPicPr/>
                  </pic:nvPicPr>
                  <pic:blipFill rotWithShape="1">
                    <a:blip r:embed="rId27" cstate="print">
                      <a:extLst>
                        <a:ext uri="{28A0092B-C50C-407E-A947-70E740481C1C}">
                          <a14:useLocalDpi xmlns:a14="http://schemas.microsoft.com/office/drawing/2010/main" val="0"/>
                        </a:ext>
                      </a:extLst>
                    </a:blip>
                    <a:srcRect l="3634" t="10353" r="1967" b="11132"/>
                    <a:stretch/>
                  </pic:blipFill>
                  <pic:spPr bwMode="auto">
                    <a:xfrm>
                      <a:off x="0" y="0"/>
                      <a:ext cx="6018417" cy="7081692"/>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7E00E96E" w14:textId="2A18F442" w:rsidR="00E23B58" w:rsidRDefault="00E23B58" w:rsidP="006B6EBF">
      <w:pPr>
        <w:spacing w:after="0" w:line="240" w:lineRule="auto"/>
        <w:jc w:val="center"/>
        <w:rPr>
          <w:rFonts w:ascii="Times New Roman" w:hAnsi="Times New Roman" w:cs="Times New Roman"/>
          <w:i/>
          <w:sz w:val="24"/>
          <w:szCs w:val="24"/>
        </w:rPr>
      </w:pPr>
      <w:bookmarkStart w:id="76" w:name="_Hlk7798725"/>
      <w:r w:rsidRPr="00A1696A">
        <w:rPr>
          <w:rFonts w:ascii="Times New Roman" w:hAnsi="Times New Roman" w:cs="Times New Roman"/>
          <w:i/>
          <w:sz w:val="24"/>
          <w:szCs w:val="24"/>
        </w:rPr>
        <w:t>Фиг.1</w:t>
      </w:r>
      <w:r w:rsidR="00520C13">
        <w:rPr>
          <w:rFonts w:ascii="Times New Roman" w:hAnsi="Times New Roman" w:cs="Times New Roman"/>
          <w:i/>
          <w:sz w:val="24"/>
          <w:szCs w:val="24"/>
        </w:rPr>
        <w:t>6</w:t>
      </w:r>
      <w:r w:rsidRPr="00A1696A">
        <w:rPr>
          <w:rFonts w:ascii="Times New Roman" w:hAnsi="Times New Roman" w:cs="Times New Roman"/>
          <w:i/>
          <w:sz w:val="24"/>
          <w:szCs w:val="24"/>
        </w:rPr>
        <w:t>. Сравнителна характеристика на терциерните наслаги от турската и българската част на Тракийския басейн (по Huvas et.al., 2007; Занева-Добранова и Мерачева, 2014, с модификации)</w:t>
      </w:r>
    </w:p>
    <w:p w14:paraId="1A5F4712" w14:textId="77777777" w:rsidR="00520C13" w:rsidRDefault="00520C13" w:rsidP="006B6EBF">
      <w:pPr>
        <w:spacing w:after="0" w:line="240" w:lineRule="auto"/>
        <w:jc w:val="center"/>
        <w:rPr>
          <w:rFonts w:ascii="Times New Roman" w:hAnsi="Times New Roman" w:cs="Times New Roman"/>
          <w:i/>
          <w:sz w:val="24"/>
          <w:szCs w:val="24"/>
        </w:rPr>
      </w:pPr>
    </w:p>
    <w:p w14:paraId="504C005F" w14:textId="2B075423" w:rsidR="00520C13" w:rsidRPr="00A1696A" w:rsidRDefault="00520C13" w:rsidP="00520C13">
      <w:pPr>
        <w:pStyle w:val="ListParagraph"/>
        <w:numPr>
          <w:ilvl w:val="0"/>
          <w:numId w:val="7"/>
        </w:numPr>
        <w:autoSpaceDE w:val="0"/>
        <w:autoSpaceDN w:val="0"/>
        <w:adjustRightInd w:val="0"/>
        <w:spacing w:after="0" w:line="240" w:lineRule="auto"/>
        <w:jc w:val="both"/>
        <w:rPr>
          <w:rFonts w:ascii="Times New Roman" w:hAnsi="Times New Roman" w:cs="Times New Roman"/>
          <w:sz w:val="24"/>
          <w:szCs w:val="24"/>
          <w:lang w:eastAsia="bg-BG"/>
        </w:rPr>
      </w:pPr>
      <w:r w:rsidRPr="00A1696A">
        <w:rPr>
          <w:rFonts w:ascii="Times New Roman" w:hAnsi="Times New Roman" w:cs="Times New Roman"/>
          <w:b/>
          <w:sz w:val="24"/>
          <w:szCs w:val="24"/>
          <w:lang w:eastAsia="bg-BG"/>
        </w:rPr>
        <w:t>Палеоцен-долно-средноеоценски(?) природен резервоар, привързан към аналога на формация Hamitabat</w:t>
      </w:r>
    </w:p>
    <w:p w14:paraId="0EB71BC0" w14:textId="43BF69D6" w:rsidR="00520C13" w:rsidRPr="00A1696A" w:rsidRDefault="00520C13" w:rsidP="00520C13">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Идентифицирания на сеизмичните разрези, в района северно от хорста със сондаж Р-1 Свиленград, допълнителен седиментен комплекс с характерните отражения на турбидитни наслаги предполага разглеждането и оценяването му като потенциален природен резервоар (фиг. 1</w:t>
      </w:r>
      <w:r>
        <w:rPr>
          <w:rFonts w:ascii="Times New Roman" w:hAnsi="Times New Roman" w:cs="Times New Roman"/>
          <w:sz w:val="24"/>
          <w:szCs w:val="24"/>
          <w:lang w:eastAsia="bg-BG"/>
        </w:rPr>
        <w:t>7</w:t>
      </w:r>
      <w:r w:rsidRPr="00A1696A">
        <w:rPr>
          <w:rFonts w:ascii="Times New Roman" w:hAnsi="Times New Roman" w:cs="Times New Roman"/>
          <w:sz w:val="24"/>
          <w:szCs w:val="24"/>
          <w:lang w:eastAsia="bg-BG"/>
        </w:rPr>
        <w:t xml:space="preserve">). В западната част към този стратиграфски обхват се предполага, че са причислени колекторните наслаги на </w:t>
      </w:r>
      <w:r w:rsidRPr="00A1696A">
        <w:rPr>
          <w:rFonts w:ascii="Times New Roman" w:hAnsi="Times New Roman" w:cs="Times New Roman"/>
          <w:i/>
          <w:sz w:val="24"/>
          <w:szCs w:val="24"/>
          <w:lang w:eastAsia="bg-BG"/>
        </w:rPr>
        <w:t>Бисерска и Лешниковска свити</w:t>
      </w:r>
      <w:r w:rsidRPr="00A1696A">
        <w:rPr>
          <w:rFonts w:ascii="Times New Roman" w:hAnsi="Times New Roman" w:cs="Times New Roman"/>
          <w:sz w:val="24"/>
          <w:szCs w:val="24"/>
          <w:lang w:eastAsia="bg-BG"/>
        </w:rPr>
        <w:t xml:space="preserve">, изградени от алтерниращи слоеве </w:t>
      </w:r>
      <w:r w:rsidRPr="00A1696A">
        <w:rPr>
          <w:rFonts w:ascii="Times New Roman" w:hAnsi="Times New Roman" w:cs="Times New Roman"/>
          <w:sz w:val="24"/>
          <w:szCs w:val="24"/>
          <w:lang w:eastAsia="bg-BG"/>
        </w:rPr>
        <w:lastRenderedPageBreak/>
        <w:t xml:space="preserve">брекчоконгломерати, пясъчници и глинести пясъчници. Може да се допусне изменение на фациеса с по-дребнозърнест на югоизток към по-дълбоката част на басейна. В разглежданата като аналог на тези скали турбидитна формация Hamitabat, газонаситени са пясъчниците, които притежават вместимост около 10%, проницаемост в диапазона 0,1-1 mD и газонаситена дебелина над 15 m. На базата на извършени фациални анализи и данни от сондажно-геофизични измервания и изчисления на глинестост на формация Hamitabat се предполага (Conybeare </w:t>
      </w:r>
      <w:r w:rsidRPr="00A1696A">
        <w:rPr>
          <w:rFonts w:ascii="Times New Roman" w:hAnsi="Times New Roman" w:cs="Times New Roman"/>
          <w:i/>
          <w:sz w:val="24"/>
          <w:szCs w:val="24"/>
          <w:lang w:eastAsia="bg-BG"/>
        </w:rPr>
        <w:t>et al.</w:t>
      </w:r>
      <w:r w:rsidRPr="00A1696A">
        <w:rPr>
          <w:rFonts w:ascii="Times New Roman" w:hAnsi="Times New Roman" w:cs="Times New Roman"/>
          <w:sz w:val="24"/>
          <w:szCs w:val="24"/>
          <w:lang w:eastAsia="bg-BG"/>
        </w:rPr>
        <w:t>, 2007), че наслагите са с тенденция за увеличаване на финозърнестия фациес нагоре в разреза. В този природен резервоар могат да се очакват структурни капани на примера на находища Hamitabat, Karacaoglan</w:t>
      </w:r>
      <w:r w:rsidRPr="00A1696A">
        <w:rPr>
          <w:rFonts w:ascii="Times New Roman" w:hAnsi="Times New Roman" w:cs="Times New Roman"/>
          <w:sz w:val="24"/>
          <w:szCs w:val="24"/>
        </w:rPr>
        <w:t xml:space="preserve">, </w:t>
      </w:r>
      <w:r w:rsidRPr="00A1696A">
        <w:rPr>
          <w:rFonts w:ascii="Times New Roman" w:hAnsi="Times New Roman" w:cs="Times New Roman"/>
          <w:sz w:val="24"/>
          <w:szCs w:val="24"/>
          <w:lang w:eastAsia="bg-BG"/>
        </w:rPr>
        <w:t>Tatarköy. От създадения 3D структурен модел се илюстрира съществуване на антиклинални, разломни, литоложки или комбинирани капани (фиг.1</w:t>
      </w:r>
      <w:r>
        <w:rPr>
          <w:rFonts w:ascii="Times New Roman" w:hAnsi="Times New Roman" w:cs="Times New Roman"/>
          <w:sz w:val="24"/>
          <w:szCs w:val="24"/>
          <w:lang w:eastAsia="bg-BG"/>
        </w:rPr>
        <w:t>8</w:t>
      </w:r>
      <w:r w:rsidRPr="00A1696A">
        <w:rPr>
          <w:rFonts w:ascii="Times New Roman" w:hAnsi="Times New Roman" w:cs="Times New Roman"/>
          <w:sz w:val="24"/>
          <w:szCs w:val="24"/>
          <w:lang w:eastAsia="bg-BG"/>
        </w:rPr>
        <w:t>).</w:t>
      </w:r>
    </w:p>
    <w:bookmarkEnd w:id="76"/>
    <w:p w14:paraId="47D1A24B" w14:textId="77777777" w:rsidR="00520C13" w:rsidRPr="00A1696A" w:rsidRDefault="00520C13" w:rsidP="006B6EBF">
      <w:pPr>
        <w:spacing w:after="0" w:line="240" w:lineRule="auto"/>
        <w:jc w:val="center"/>
        <w:rPr>
          <w:rFonts w:ascii="Times New Roman" w:hAnsi="Times New Roman" w:cs="Times New Roman"/>
          <w:i/>
          <w:sz w:val="24"/>
          <w:szCs w:val="24"/>
        </w:rPr>
      </w:pPr>
    </w:p>
    <w:p w14:paraId="31C05FE6" w14:textId="040E236B" w:rsidR="0052360D" w:rsidRPr="00A1696A" w:rsidRDefault="0044388F" w:rsidP="009D604D">
      <w:pPr>
        <w:spacing w:after="0" w:line="240" w:lineRule="auto"/>
        <w:jc w:val="center"/>
        <w:rPr>
          <w:rFonts w:ascii="Times New Roman" w:hAnsi="Times New Roman" w:cs="Times New Roman"/>
          <w:sz w:val="24"/>
          <w:szCs w:val="24"/>
          <w:lang w:eastAsia="bg-BG"/>
        </w:rPr>
      </w:pPr>
      <w:r w:rsidRPr="00A1696A">
        <w:rPr>
          <w:rFonts w:ascii="Times New Roman" w:hAnsi="Times New Roman" w:cs="Times New Roman"/>
          <w:noProof/>
          <w:sz w:val="24"/>
          <w:szCs w:val="24"/>
          <w:lang w:eastAsia="bg-BG"/>
        </w:rPr>
        <w:drawing>
          <wp:inline distT="0" distB="0" distL="0" distR="0" wp14:anchorId="2D718302" wp14:editId="33610C5E">
            <wp:extent cx="6094546" cy="3272790"/>
            <wp:effectExtent l="19050" t="19050" r="20955" b="22860"/>
            <wp:docPr id="7184" name="Картина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rofiles Model 2019_2.jpg"/>
                    <pic:cNvPicPr/>
                  </pic:nvPicPr>
                  <pic:blipFill rotWithShape="1">
                    <a:blip r:embed="rId28" cstate="print">
                      <a:extLst>
                        <a:ext uri="{28A0092B-C50C-407E-A947-70E740481C1C}">
                          <a14:useLocalDpi xmlns:a14="http://schemas.microsoft.com/office/drawing/2010/main" val="0"/>
                        </a:ext>
                      </a:extLst>
                    </a:blip>
                    <a:srcRect l="1287" t="13904" r="1972" b="12596"/>
                    <a:stretch/>
                  </pic:blipFill>
                  <pic:spPr bwMode="auto">
                    <a:xfrm>
                      <a:off x="0" y="0"/>
                      <a:ext cx="6113573" cy="328300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00D610CC" w14:textId="390C137F" w:rsidR="0055322A" w:rsidRPr="00A1696A" w:rsidRDefault="0055322A"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E23B58" w:rsidRPr="00A1696A">
        <w:rPr>
          <w:rFonts w:ascii="Times New Roman" w:hAnsi="Times New Roman" w:cs="Times New Roman"/>
          <w:i/>
          <w:sz w:val="24"/>
          <w:szCs w:val="24"/>
          <w:lang w:eastAsia="bg-BG"/>
        </w:rPr>
        <w:t>1</w:t>
      </w:r>
      <w:r w:rsidR="00520C13">
        <w:rPr>
          <w:rFonts w:ascii="Times New Roman" w:hAnsi="Times New Roman" w:cs="Times New Roman"/>
          <w:i/>
          <w:sz w:val="24"/>
          <w:szCs w:val="24"/>
          <w:lang w:eastAsia="bg-BG"/>
        </w:rPr>
        <w:t>7</w:t>
      </w:r>
      <w:r w:rsidRPr="00A1696A">
        <w:rPr>
          <w:rFonts w:ascii="Times New Roman" w:hAnsi="Times New Roman" w:cs="Times New Roman"/>
          <w:i/>
          <w:sz w:val="24"/>
          <w:szCs w:val="24"/>
          <w:lang w:eastAsia="bg-BG"/>
        </w:rPr>
        <w:t xml:space="preserve">. </w:t>
      </w:r>
      <w:r w:rsidRPr="00A1696A">
        <w:rPr>
          <w:rFonts w:ascii="Times New Roman" w:hAnsi="Times New Roman" w:cs="Times New Roman"/>
          <w:i/>
          <w:sz w:val="24"/>
          <w:szCs w:val="24"/>
        </w:rPr>
        <w:t xml:space="preserve">Схематичен геоложки разрез на северната част на изследвания район, илюстриращ </w:t>
      </w:r>
      <w:r w:rsidRPr="00A1696A">
        <w:rPr>
          <w:rFonts w:ascii="Times New Roman" w:hAnsi="Times New Roman" w:cs="Times New Roman"/>
          <w:i/>
          <w:sz w:val="24"/>
          <w:szCs w:val="24"/>
          <w:lang w:eastAsia="bg-BG"/>
        </w:rPr>
        <w:t>природни</w:t>
      </w:r>
      <w:r w:rsidR="009D604D" w:rsidRPr="00A1696A">
        <w:rPr>
          <w:rFonts w:ascii="Times New Roman" w:hAnsi="Times New Roman" w:cs="Times New Roman"/>
          <w:i/>
          <w:sz w:val="24"/>
          <w:szCs w:val="24"/>
          <w:lang w:eastAsia="bg-BG"/>
        </w:rPr>
        <w:t>те</w:t>
      </w:r>
      <w:r w:rsidRPr="00A1696A">
        <w:rPr>
          <w:rFonts w:ascii="Times New Roman" w:hAnsi="Times New Roman" w:cs="Times New Roman"/>
          <w:i/>
          <w:sz w:val="24"/>
          <w:szCs w:val="24"/>
          <w:lang w:eastAsia="bg-BG"/>
        </w:rPr>
        <w:t xml:space="preserve"> резервоари (по данни от сондаж Р-1 Свиленград и интерпретирани сеизмични разрези)</w:t>
      </w:r>
    </w:p>
    <w:p w14:paraId="6699CF06" w14:textId="77777777" w:rsidR="00E23B58" w:rsidRPr="00A1696A" w:rsidRDefault="00E23B58" w:rsidP="006B6EBF">
      <w:pPr>
        <w:spacing w:after="0" w:line="240" w:lineRule="auto"/>
        <w:jc w:val="center"/>
        <w:rPr>
          <w:rFonts w:ascii="Times New Roman" w:hAnsi="Times New Roman" w:cs="Times New Roman"/>
          <w:sz w:val="24"/>
          <w:szCs w:val="24"/>
        </w:rPr>
      </w:pPr>
    </w:p>
    <w:p w14:paraId="3B475325" w14:textId="0BD4FF02" w:rsidR="0055322A" w:rsidRPr="00A1696A" w:rsidRDefault="0055322A" w:rsidP="001D3ADD">
      <w:pPr>
        <w:pStyle w:val="ListParagraph"/>
        <w:numPr>
          <w:ilvl w:val="0"/>
          <w:numId w:val="7"/>
        </w:numPr>
        <w:autoSpaceDE w:val="0"/>
        <w:autoSpaceDN w:val="0"/>
        <w:adjustRightInd w:val="0"/>
        <w:spacing w:after="0" w:line="240" w:lineRule="auto"/>
        <w:jc w:val="both"/>
        <w:rPr>
          <w:rFonts w:ascii="Times New Roman" w:hAnsi="Times New Roman" w:cs="Times New Roman"/>
          <w:sz w:val="24"/>
          <w:szCs w:val="24"/>
          <w:lang w:eastAsia="bg-BG"/>
        </w:rPr>
      </w:pPr>
      <w:bookmarkStart w:id="77" w:name="_Hlk7799201"/>
      <w:r w:rsidRPr="00A1696A">
        <w:rPr>
          <w:rFonts w:ascii="Times New Roman" w:hAnsi="Times New Roman" w:cs="Times New Roman"/>
          <w:b/>
          <w:sz w:val="24"/>
          <w:szCs w:val="24"/>
          <w:lang w:eastAsia="bg-BG"/>
        </w:rPr>
        <w:t>Еоценски природен резервоар</w:t>
      </w:r>
      <w:r w:rsidR="00B44806" w:rsidRPr="00A1696A">
        <w:rPr>
          <w:rFonts w:ascii="Times New Roman" w:hAnsi="Times New Roman" w:cs="Times New Roman"/>
          <w:b/>
          <w:sz w:val="24"/>
          <w:szCs w:val="24"/>
          <w:lang w:eastAsia="bg-BG"/>
        </w:rPr>
        <w:t>,</w:t>
      </w:r>
      <w:r w:rsidRPr="00A1696A">
        <w:rPr>
          <w:rFonts w:ascii="Times New Roman" w:hAnsi="Times New Roman" w:cs="Times New Roman"/>
          <w:b/>
          <w:sz w:val="24"/>
          <w:szCs w:val="24"/>
          <w:lang w:eastAsia="bg-BG"/>
        </w:rPr>
        <w:t xml:space="preserve"> привързан към брекчоконгломерато-пясъчниковата</w:t>
      </w:r>
      <w:r w:rsidR="00B44806" w:rsidRPr="00A1696A">
        <w:rPr>
          <w:rFonts w:ascii="Times New Roman" w:hAnsi="Times New Roman" w:cs="Times New Roman"/>
          <w:b/>
          <w:sz w:val="24"/>
          <w:szCs w:val="24"/>
          <w:lang w:eastAsia="bg-BG"/>
        </w:rPr>
        <w:t xml:space="preserve"> и брекчоколгломератната</w:t>
      </w:r>
      <w:r w:rsidRPr="00A1696A">
        <w:rPr>
          <w:rFonts w:ascii="Times New Roman" w:hAnsi="Times New Roman" w:cs="Times New Roman"/>
          <w:b/>
          <w:sz w:val="24"/>
          <w:szCs w:val="24"/>
          <w:lang w:eastAsia="bg-BG"/>
        </w:rPr>
        <w:t xml:space="preserve"> задруг</w:t>
      </w:r>
      <w:r w:rsidR="00B44806" w:rsidRPr="00A1696A">
        <w:rPr>
          <w:rFonts w:ascii="Times New Roman" w:hAnsi="Times New Roman" w:cs="Times New Roman"/>
          <w:b/>
          <w:sz w:val="24"/>
          <w:szCs w:val="24"/>
          <w:lang w:eastAsia="bg-BG"/>
        </w:rPr>
        <w:t>и</w:t>
      </w:r>
    </w:p>
    <w:p w14:paraId="10313C10" w14:textId="4DE493BC" w:rsidR="00D72971" w:rsidRDefault="0055322A"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Литостратиграфският обхват на колекторната задруга обхваща брекчо</w:t>
      </w:r>
      <w:r w:rsidRPr="00A1696A">
        <w:rPr>
          <w:rFonts w:ascii="Times New Roman" w:hAnsi="Times New Roman" w:cs="Times New Roman"/>
          <w:sz w:val="24"/>
          <w:szCs w:val="24"/>
          <w:lang w:eastAsia="bg-BG"/>
        </w:rPr>
        <w:softHyphen/>
        <w:t>конгломератната и/или брекчоконгломерато-пясъчниковата задруги и част от теригенно-варовиково-мергел</w:t>
      </w:r>
      <w:r w:rsidRPr="00A1696A">
        <w:rPr>
          <w:rFonts w:ascii="Times New Roman" w:hAnsi="Times New Roman" w:cs="Times New Roman"/>
          <w:sz w:val="24"/>
          <w:szCs w:val="24"/>
          <w:lang w:eastAsia="bg-BG"/>
        </w:rPr>
        <w:softHyphen/>
        <w:t>ната задруга</w:t>
      </w:r>
      <w:r w:rsidR="00F54974" w:rsidRPr="00A1696A">
        <w:rPr>
          <w:rFonts w:ascii="Times New Roman" w:hAnsi="Times New Roman" w:cs="Times New Roman"/>
          <w:sz w:val="24"/>
          <w:szCs w:val="24"/>
          <w:lang w:eastAsia="bg-BG"/>
        </w:rPr>
        <w:t xml:space="preserve"> (фиг.1</w:t>
      </w:r>
      <w:r w:rsidR="00520C13">
        <w:rPr>
          <w:rFonts w:ascii="Times New Roman" w:hAnsi="Times New Roman" w:cs="Times New Roman"/>
          <w:sz w:val="24"/>
          <w:szCs w:val="24"/>
          <w:lang w:eastAsia="bg-BG"/>
        </w:rPr>
        <w:t>6</w:t>
      </w:r>
      <w:r w:rsidR="00F54974"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Предвид литоложкото разнообразие се предполага широк диапазон на изменение на петрофизичните свойства. По данни от лабораторните изследвания в сондаж Р-1 Свиленград, откритата вместимост варира от 6 до 12,9%</w:t>
      </w:r>
      <w:r w:rsidR="00806EE4" w:rsidRPr="00A1696A">
        <w:rPr>
          <w:rFonts w:ascii="Times New Roman" w:hAnsi="Times New Roman" w:cs="Times New Roman"/>
          <w:sz w:val="24"/>
          <w:szCs w:val="24"/>
          <w:lang w:eastAsia="bg-BG"/>
        </w:rPr>
        <w:t>, което се припокрива с получените стойности с</w:t>
      </w:r>
      <w:r w:rsidRPr="00A1696A">
        <w:rPr>
          <w:rFonts w:ascii="Times New Roman" w:hAnsi="Times New Roman" w:cs="Times New Roman"/>
          <w:sz w:val="24"/>
          <w:szCs w:val="24"/>
          <w:lang w:eastAsia="bg-BG"/>
        </w:rPr>
        <w:t>лед изчисляване на порестостта от кривата на ел. съпротивление от сондажно-геофизичните изследвания</w:t>
      </w:r>
      <w:r w:rsidR="00806EE4" w:rsidRPr="00A1696A">
        <w:rPr>
          <w:rFonts w:ascii="Times New Roman" w:hAnsi="Times New Roman" w:cs="Times New Roman"/>
          <w:sz w:val="24"/>
          <w:szCs w:val="24"/>
          <w:lang w:eastAsia="bg-BG"/>
        </w:rPr>
        <w:t xml:space="preserve">. Скалите се корелират с </w:t>
      </w:r>
      <w:r w:rsidR="00806EE4" w:rsidRPr="00A1696A">
        <w:rPr>
          <w:rFonts w:ascii="Times New Roman" w:hAnsi="Times New Roman" w:cs="Times New Roman"/>
          <w:sz w:val="24"/>
          <w:szCs w:val="24"/>
        </w:rPr>
        <w:t xml:space="preserve">конгломерати на свита Koyunbaba, където порестостта и проницаемостта са съответно между 10-30% и 1-80 mD. </w:t>
      </w:r>
      <w:r w:rsidR="00D72971" w:rsidRPr="00A1696A">
        <w:rPr>
          <w:rFonts w:ascii="Times New Roman" w:hAnsi="Times New Roman" w:cs="Times New Roman"/>
          <w:sz w:val="24"/>
          <w:szCs w:val="24"/>
          <w:lang w:eastAsia="bg-BG"/>
        </w:rPr>
        <w:t>Глинесто-карбонатните наслаги на горен еоцен, залягащи над колекторната задруга, играят ролята на изолираща покривка. Тя е премината от един сондаж, което не позволява да се проследи, пространственото</w:t>
      </w:r>
      <w:r w:rsidR="00C232F1" w:rsidRPr="00A1696A">
        <w:rPr>
          <w:rFonts w:ascii="Times New Roman" w:hAnsi="Times New Roman" w:cs="Times New Roman"/>
          <w:sz w:val="24"/>
          <w:szCs w:val="24"/>
          <w:lang w:eastAsia="bg-BG"/>
        </w:rPr>
        <w:t xml:space="preserve"> ѝ </w:t>
      </w:r>
      <w:r w:rsidR="00D72971" w:rsidRPr="00A1696A">
        <w:rPr>
          <w:rFonts w:ascii="Times New Roman" w:hAnsi="Times New Roman" w:cs="Times New Roman"/>
          <w:sz w:val="24"/>
          <w:szCs w:val="24"/>
          <w:lang w:eastAsia="bg-BG"/>
        </w:rPr>
        <w:t xml:space="preserve">разпространение. </w:t>
      </w:r>
      <w:r w:rsidR="00806EE4" w:rsidRPr="00A1696A">
        <w:rPr>
          <w:rFonts w:ascii="Times New Roman" w:hAnsi="Times New Roman" w:cs="Times New Roman"/>
          <w:sz w:val="24"/>
          <w:szCs w:val="24"/>
          <w:lang w:eastAsia="bg-BG"/>
        </w:rPr>
        <w:t>Н</w:t>
      </w:r>
      <w:r w:rsidR="00D72971" w:rsidRPr="00A1696A">
        <w:rPr>
          <w:rFonts w:ascii="Times New Roman" w:hAnsi="Times New Roman" w:cs="Times New Roman"/>
          <w:sz w:val="24"/>
          <w:szCs w:val="24"/>
          <w:lang w:eastAsia="bg-BG"/>
        </w:rPr>
        <w:t>о предвид литоложкия състав на скалите и обстоятелството, че подобен тип наслаги екранират нефтени и газови акумулации извън територията на България</w:t>
      </w:r>
      <w:r w:rsidR="0078683E" w:rsidRPr="00A1696A">
        <w:rPr>
          <w:rFonts w:ascii="Times New Roman" w:hAnsi="Times New Roman" w:cs="Times New Roman"/>
          <w:sz w:val="24"/>
          <w:szCs w:val="24"/>
          <w:lang w:eastAsia="bg-BG"/>
        </w:rPr>
        <w:t>,</w:t>
      </w:r>
      <w:r w:rsidR="00D72971" w:rsidRPr="00A1696A">
        <w:rPr>
          <w:rFonts w:ascii="Times New Roman" w:hAnsi="Times New Roman" w:cs="Times New Roman"/>
          <w:sz w:val="24"/>
          <w:szCs w:val="24"/>
          <w:lang w:eastAsia="bg-BG"/>
        </w:rPr>
        <w:t xml:space="preserve"> в рамките на Тракийския басейн</w:t>
      </w:r>
      <w:r w:rsidR="00806EE4" w:rsidRPr="00A1696A">
        <w:rPr>
          <w:rFonts w:ascii="Times New Roman" w:hAnsi="Times New Roman" w:cs="Times New Roman"/>
          <w:sz w:val="24"/>
          <w:szCs w:val="24"/>
          <w:lang w:eastAsia="bg-BG"/>
        </w:rPr>
        <w:t xml:space="preserve"> - Deveçatagi</w:t>
      </w:r>
      <w:r w:rsidR="00806EE4" w:rsidRPr="00A1696A">
        <w:rPr>
          <w:rFonts w:ascii="Times New Roman" w:hAnsi="Times New Roman" w:cs="Times New Roman"/>
          <w:sz w:val="24"/>
          <w:szCs w:val="24"/>
        </w:rPr>
        <w:t xml:space="preserve">, със запаси около 49 Mtoe и </w:t>
      </w:r>
      <w:r w:rsidR="00806EE4" w:rsidRPr="00A1696A">
        <w:rPr>
          <w:rFonts w:ascii="Times New Roman" w:hAnsi="Times New Roman" w:cs="Times New Roman"/>
          <w:sz w:val="24"/>
          <w:szCs w:val="24"/>
          <w:lang w:eastAsia="bg-BG"/>
        </w:rPr>
        <w:t>Degirmenköy</w:t>
      </w:r>
      <w:r w:rsidR="00D72971" w:rsidRPr="00A1696A">
        <w:rPr>
          <w:rFonts w:ascii="Times New Roman" w:hAnsi="Times New Roman" w:cs="Times New Roman"/>
          <w:sz w:val="24"/>
          <w:szCs w:val="24"/>
          <w:lang w:eastAsia="bg-BG"/>
        </w:rPr>
        <w:t xml:space="preserve">, могат да се предполагат добри екраниращи свойства. На базата на </w:t>
      </w:r>
      <w:r w:rsidR="00D72971" w:rsidRPr="00A1696A">
        <w:rPr>
          <w:rFonts w:ascii="Times New Roman" w:hAnsi="Times New Roman" w:cs="Times New Roman"/>
          <w:sz w:val="24"/>
          <w:szCs w:val="24"/>
          <w:lang w:eastAsia="bg-BG"/>
        </w:rPr>
        <w:lastRenderedPageBreak/>
        <w:t>създадения 3D структурен модел може да се предположи, че капаните и в този природен резервоар се очаква да са антиклинални, разломни</w:t>
      </w:r>
      <w:r w:rsidR="009D604D" w:rsidRPr="00A1696A">
        <w:rPr>
          <w:rFonts w:ascii="Times New Roman" w:hAnsi="Times New Roman" w:cs="Times New Roman"/>
          <w:sz w:val="24"/>
          <w:szCs w:val="24"/>
          <w:lang w:eastAsia="bg-BG"/>
        </w:rPr>
        <w:t xml:space="preserve"> </w:t>
      </w:r>
      <w:r w:rsidR="00B20DF1" w:rsidRPr="00A1696A">
        <w:rPr>
          <w:rFonts w:ascii="Times New Roman" w:hAnsi="Times New Roman" w:cs="Times New Roman"/>
          <w:sz w:val="24"/>
          <w:szCs w:val="24"/>
          <w:lang w:eastAsia="bg-BG"/>
        </w:rPr>
        <w:t xml:space="preserve">или комбинирани </w:t>
      </w:r>
      <w:r w:rsidR="004026C7" w:rsidRPr="00A1696A">
        <w:rPr>
          <w:rFonts w:ascii="Times New Roman" w:hAnsi="Times New Roman" w:cs="Times New Roman"/>
          <w:sz w:val="24"/>
          <w:szCs w:val="24"/>
          <w:lang w:eastAsia="bg-BG"/>
        </w:rPr>
        <w:t xml:space="preserve">(фиг. </w:t>
      </w:r>
      <w:r w:rsidR="00F54974" w:rsidRPr="00A1696A">
        <w:rPr>
          <w:rFonts w:ascii="Times New Roman" w:hAnsi="Times New Roman" w:cs="Times New Roman"/>
          <w:sz w:val="24"/>
          <w:szCs w:val="24"/>
          <w:lang w:eastAsia="bg-BG"/>
        </w:rPr>
        <w:t>1</w:t>
      </w:r>
      <w:r w:rsidR="00E51CD4">
        <w:rPr>
          <w:rFonts w:ascii="Times New Roman" w:hAnsi="Times New Roman" w:cs="Times New Roman"/>
          <w:sz w:val="24"/>
          <w:szCs w:val="24"/>
          <w:lang w:eastAsia="bg-BG"/>
        </w:rPr>
        <w:t>8</w:t>
      </w:r>
      <w:r w:rsidR="004026C7" w:rsidRPr="00A1696A">
        <w:rPr>
          <w:rFonts w:ascii="Times New Roman" w:hAnsi="Times New Roman" w:cs="Times New Roman"/>
          <w:sz w:val="24"/>
          <w:szCs w:val="24"/>
          <w:lang w:eastAsia="bg-BG"/>
        </w:rPr>
        <w:t>)</w:t>
      </w:r>
      <w:r w:rsidR="00D72971" w:rsidRPr="00A1696A">
        <w:rPr>
          <w:rFonts w:ascii="Times New Roman" w:hAnsi="Times New Roman" w:cs="Times New Roman"/>
          <w:sz w:val="24"/>
          <w:szCs w:val="24"/>
          <w:lang w:eastAsia="bg-BG"/>
        </w:rPr>
        <w:t>.</w:t>
      </w:r>
    </w:p>
    <w:p w14:paraId="55046A96" w14:textId="77777777" w:rsidR="00E51CD4" w:rsidRPr="00A1696A" w:rsidRDefault="00E51CD4" w:rsidP="006B6EBF">
      <w:pPr>
        <w:spacing w:after="0" w:line="240" w:lineRule="auto"/>
        <w:ind w:firstLine="709"/>
        <w:jc w:val="both"/>
        <w:rPr>
          <w:rFonts w:ascii="Times New Roman" w:hAnsi="Times New Roman" w:cs="Times New Roman"/>
          <w:sz w:val="24"/>
          <w:szCs w:val="24"/>
          <w:lang w:eastAsia="bg-BG"/>
        </w:rPr>
      </w:pPr>
    </w:p>
    <w:bookmarkEnd w:id="77"/>
    <w:p w14:paraId="5600D330" w14:textId="77777777" w:rsidR="004026C7" w:rsidRPr="00A1696A" w:rsidRDefault="004026C7" w:rsidP="00E51CD4">
      <w:pPr>
        <w:spacing w:after="0" w:line="240" w:lineRule="auto"/>
        <w:jc w:val="center"/>
        <w:rPr>
          <w:rFonts w:ascii="Times New Roman" w:hAnsi="Times New Roman" w:cs="Times New Roman"/>
          <w:sz w:val="24"/>
          <w:szCs w:val="24"/>
          <w:lang w:eastAsia="bg-BG"/>
        </w:rPr>
      </w:pPr>
      <w:r w:rsidRPr="00A1696A">
        <w:rPr>
          <w:rFonts w:ascii="Times New Roman" w:hAnsi="Times New Roman" w:cs="Times New Roman"/>
          <w:noProof/>
          <w:sz w:val="24"/>
          <w:szCs w:val="24"/>
          <w:lang w:eastAsia="bg-BG"/>
        </w:rPr>
        <w:drawing>
          <wp:inline distT="0" distB="0" distL="0" distR="0" wp14:anchorId="7B655457" wp14:editId="025AA2F8">
            <wp:extent cx="6114464" cy="3135151"/>
            <wp:effectExtent l="19050" t="19050" r="19685" b="27305"/>
            <wp:docPr id="90138" name="Картина 9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8" name="Koyunababa1_age.png"/>
                    <pic:cNvPicPr/>
                  </pic:nvPicPr>
                  <pic:blipFill rotWithShape="1">
                    <a:blip r:embed="rId29">
                      <a:extLst>
                        <a:ext uri="{28A0092B-C50C-407E-A947-70E740481C1C}">
                          <a14:useLocalDpi xmlns:a14="http://schemas.microsoft.com/office/drawing/2010/main" val="0"/>
                        </a:ext>
                      </a:extLst>
                    </a:blip>
                    <a:srcRect l="5804" t="9134"/>
                    <a:stretch/>
                  </pic:blipFill>
                  <pic:spPr bwMode="auto">
                    <a:xfrm>
                      <a:off x="0" y="0"/>
                      <a:ext cx="6144592" cy="3150599"/>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2A30FF98" w14:textId="120DF7BD" w:rsidR="0055322A" w:rsidRPr="00A1696A" w:rsidRDefault="004026C7" w:rsidP="006B6EBF">
      <w:pPr>
        <w:spacing w:after="0" w:line="240" w:lineRule="auto"/>
        <w:jc w:val="center"/>
        <w:rPr>
          <w:rFonts w:ascii="Times New Roman" w:hAnsi="Times New Roman" w:cs="Times New Roman"/>
          <w:sz w:val="24"/>
          <w:szCs w:val="24"/>
          <w:lang w:eastAsia="bg-BG"/>
        </w:rPr>
      </w:pPr>
      <w:bookmarkStart w:id="78" w:name="_Hlk7799478"/>
      <w:r w:rsidRPr="00A1696A">
        <w:rPr>
          <w:rFonts w:ascii="Times New Roman" w:hAnsi="Times New Roman" w:cs="Times New Roman"/>
          <w:i/>
          <w:sz w:val="24"/>
          <w:szCs w:val="24"/>
          <w:lang w:eastAsia="bg-BG"/>
        </w:rPr>
        <w:t xml:space="preserve">Фиг. </w:t>
      </w:r>
      <w:r w:rsidR="00F54974" w:rsidRPr="00A1696A">
        <w:rPr>
          <w:rFonts w:ascii="Times New Roman" w:hAnsi="Times New Roman" w:cs="Times New Roman"/>
          <w:i/>
          <w:sz w:val="24"/>
          <w:szCs w:val="24"/>
          <w:lang w:eastAsia="bg-BG"/>
        </w:rPr>
        <w:t>1</w:t>
      </w:r>
      <w:r w:rsidR="00520C13">
        <w:rPr>
          <w:rFonts w:ascii="Times New Roman" w:hAnsi="Times New Roman" w:cs="Times New Roman"/>
          <w:i/>
          <w:sz w:val="24"/>
          <w:szCs w:val="24"/>
          <w:lang w:eastAsia="bg-BG"/>
        </w:rPr>
        <w:t>8</w:t>
      </w:r>
      <w:r w:rsidRPr="00A1696A">
        <w:rPr>
          <w:rFonts w:ascii="Times New Roman" w:hAnsi="Times New Roman" w:cs="Times New Roman"/>
          <w:i/>
          <w:sz w:val="24"/>
          <w:szCs w:val="24"/>
          <w:lang w:eastAsia="bg-BG"/>
        </w:rPr>
        <w:t>. Г</w:t>
      </w:r>
      <w:r w:rsidRPr="00A1696A">
        <w:rPr>
          <w:rFonts w:ascii="Times New Roman" w:hAnsi="Times New Roman" w:cs="Times New Roman"/>
          <w:i/>
          <w:sz w:val="24"/>
          <w:szCs w:val="24"/>
        </w:rPr>
        <w:t xml:space="preserve">еоложки разрез в северната част на изследвания район, илюстриращ потенциалните капани в терциерния разрез </w:t>
      </w:r>
    </w:p>
    <w:p w14:paraId="4C5A3F60" w14:textId="28A5CE5B" w:rsidR="0055322A" w:rsidRPr="00A1696A" w:rsidRDefault="0055322A" w:rsidP="006B6EBF">
      <w:pPr>
        <w:spacing w:after="0" w:line="240" w:lineRule="auto"/>
        <w:jc w:val="center"/>
        <w:rPr>
          <w:rFonts w:ascii="Times New Roman" w:hAnsi="Times New Roman" w:cs="Times New Roman"/>
          <w:sz w:val="24"/>
          <w:szCs w:val="24"/>
          <w:lang w:eastAsia="bg-BG"/>
        </w:rPr>
      </w:pPr>
    </w:p>
    <w:p w14:paraId="6EB2ECE2" w14:textId="759F252E" w:rsidR="0055322A" w:rsidRPr="00A1696A" w:rsidRDefault="0055322A" w:rsidP="001D3ADD">
      <w:pPr>
        <w:pStyle w:val="ListParagraph"/>
        <w:numPr>
          <w:ilvl w:val="0"/>
          <w:numId w:val="7"/>
        </w:numPr>
        <w:autoSpaceDE w:val="0"/>
        <w:autoSpaceDN w:val="0"/>
        <w:adjustRightInd w:val="0"/>
        <w:spacing w:after="0" w:line="240" w:lineRule="auto"/>
        <w:jc w:val="both"/>
        <w:rPr>
          <w:rFonts w:ascii="Times New Roman" w:hAnsi="Times New Roman" w:cs="Times New Roman"/>
          <w:b/>
          <w:sz w:val="24"/>
          <w:szCs w:val="24"/>
          <w:lang w:eastAsia="bg-BG"/>
        </w:rPr>
      </w:pPr>
      <w:r w:rsidRPr="00A1696A">
        <w:rPr>
          <w:rFonts w:ascii="Times New Roman" w:hAnsi="Times New Roman" w:cs="Times New Roman"/>
          <w:b/>
          <w:sz w:val="24"/>
          <w:szCs w:val="24"/>
          <w:lang w:eastAsia="bg-BG"/>
        </w:rPr>
        <w:t>Еоценски природен резервоар</w:t>
      </w:r>
      <w:r w:rsidR="00B44806" w:rsidRPr="00A1696A">
        <w:rPr>
          <w:rFonts w:ascii="Times New Roman" w:hAnsi="Times New Roman" w:cs="Times New Roman"/>
          <w:b/>
          <w:sz w:val="24"/>
          <w:szCs w:val="24"/>
          <w:lang w:eastAsia="bg-BG"/>
        </w:rPr>
        <w:t>,</w:t>
      </w:r>
      <w:r w:rsidRPr="00A1696A">
        <w:rPr>
          <w:rFonts w:ascii="Times New Roman" w:hAnsi="Times New Roman" w:cs="Times New Roman"/>
          <w:b/>
          <w:sz w:val="24"/>
          <w:szCs w:val="24"/>
          <w:lang w:eastAsia="bg-BG"/>
        </w:rPr>
        <w:t xml:space="preserve"> привързан към тери</w:t>
      </w:r>
      <w:r w:rsidRPr="00A1696A">
        <w:rPr>
          <w:rFonts w:ascii="Times New Roman" w:hAnsi="Times New Roman" w:cs="Times New Roman"/>
          <w:b/>
          <w:sz w:val="24"/>
          <w:szCs w:val="24"/>
          <w:lang w:eastAsia="bg-BG"/>
        </w:rPr>
        <w:softHyphen/>
        <w:t>генно-варовиково-мергелната и рифогенно-варовиковата задруги</w:t>
      </w:r>
    </w:p>
    <w:p w14:paraId="14FC9527" w14:textId="2521C701" w:rsidR="0055322A" w:rsidRPr="00A1696A" w:rsidRDefault="0055322A"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В основата се редуват пясъчници и конгломерати, които нагоре в разреза са в алтернация с глини и алевролити</w:t>
      </w:r>
      <w:r w:rsidR="00F54974" w:rsidRPr="00A1696A">
        <w:rPr>
          <w:rFonts w:ascii="Times New Roman" w:hAnsi="Times New Roman" w:cs="Times New Roman"/>
          <w:sz w:val="24"/>
          <w:szCs w:val="24"/>
          <w:lang w:eastAsia="bg-BG"/>
        </w:rPr>
        <w:t xml:space="preserve"> (фиг.1</w:t>
      </w:r>
      <w:r w:rsidR="00E51CD4">
        <w:rPr>
          <w:rFonts w:ascii="Times New Roman" w:hAnsi="Times New Roman" w:cs="Times New Roman"/>
          <w:sz w:val="24"/>
          <w:szCs w:val="24"/>
          <w:lang w:eastAsia="bg-BG"/>
        </w:rPr>
        <w:t>6</w:t>
      </w:r>
      <w:r w:rsidR="00F54974"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Над тях залягат мергели, сред които на север са установени органогенни, рифови варовици. Петрофизичните свойства на скалите са определяни само в четири образеца</w:t>
      </w:r>
      <w:r w:rsidRPr="00A1696A">
        <w:rPr>
          <w:rFonts w:ascii="Times New Roman" w:hAnsi="Times New Roman" w:cs="Times New Roman"/>
          <w:sz w:val="24"/>
          <w:szCs w:val="24"/>
        </w:rPr>
        <w:t>, в които порестостта се колебае от 7% до 11</w:t>
      </w:r>
      <w:r w:rsidR="000E3A16" w:rsidRPr="00A1696A">
        <w:rPr>
          <w:rFonts w:ascii="Times New Roman" w:hAnsi="Times New Roman" w:cs="Times New Roman"/>
          <w:sz w:val="24"/>
          <w:szCs w:val="24"/>
        </w:rPr>
        <w:t>,</w:t>
      </w:r>
      <w:r w:rsidRPr="00A1696A">
        <w:rPr>
          <w:rFonts w:ascii="Times New Roman" w:hAnsi="Times New Roman" w:cs="Times New Roman"/>
          <w:sz w:val="24"/>
          <w:szCs w:val="24"/>
        </w:rPr>
        <w:t xml:space="preserve">1%, а проницаемостта - от </w:t>
      </w:r>
      <w:bookmarkStart w:id="79" w:name="_Hlk945653"/>
      <w:r w:rsidRPr="00A1696A">
        <w:rPr>
          <w:rFonts w:ascii="Times New Roman" w:hAnsi="Times New Roman" w:cs="Times New Roman"/>
          <w:sz w:val="24"/>
          <w:szCs w:val="24"/>
        </w:rPr>
        <w:t>0</w:t>
      </w:r>
      <w:r w:rsidR="00A2361B" w:rsidRPr="00A1696A">
        <w:rPr>
          <w:rFonts w:ascii="Times New Roman" w:hAnsi="Times New Roman" w:cs="Times New Roman"/>
          <w:sz w:val="24"/>
          <w:szCs w:val="24"/>
        </w:rPr>
        <w:t>,</w:t>
      </w:r>
      <w:r w:rsidRPr="00A1696A">
        <w:rPr>
          <w:rFonts w:ascii="Times New Roman" w:hAnsi="Times New Roman" w:cs="Times New Roman"/>
          <w:sz w:val="24"/>
          <w:szCs w:val="24"/>
        </w:rPr>
        <w:t>09 до 1</w:t>
      </w:r>
      <w:r w:rsidR="00A2361B" w:rsidRPr="00A1696A">
        <w:rPr>
          <w:rFonts w:ascii="Times New Roman" w:hAnsi="Times New Roman" w:cs="Times New Roman"/>
          <w:sz w:val="24"/>
          <w:szCs w:val="24"/>
        </w:rPr>
        <w:t>,</w:t>
      </w:r>
      <w:r w:rsidRPr="00A1696A">
        <w:rPr>
          <w:rFonts w:ascii="Times New Roman" w:hAnsi="Times New Roman" w:cs="Times New Roman"/>
          <w:sz w:val="24"/>
          <w:szCs w:val="24"/>
        </w:rPr>
        <w:t>46 mD</w:t>
      </w:r>
      <w:bookmarkEnd w:id="79"/>
      <w:r w:rsidRPr="00A1696A">
        <w:rPr>
          <w:rFonts w:ascii="Times New Roman" w:hAnsi="Times New Roman" w:cs="Times New Roman"/>
          <w:sz w:val="24"/>
          <w:szCs w:val="24"/>
        </w:rPr>
        <w:t>. Стойностите на изчислената крива на порестостта по сондажно-геофизичните данни за този интервал</w:t>
      </w:r>
      <w:r w:rsidR="00A32604" w:rsidRPr="00A1696A">
        <w:rPr>
          <w:rFonts w:ascii="Times New Roman" w:hAnsi="Times New Roman" w:cs="Times New Roman"/>
          <w:sz w:val="24"/>
          <w:szCs w:val="24"/>
        </w:rPr>
        <w:t xml:space="preserve"> </w:t>
      </w:r>
      <w:r w:rsidRPr="00A1696A">
        <w:rPr>
          <w:rFonts w:ascii="Times New Roman" w:hAnsi="Times New Roman" w:cs="Times New Roman"/>
          <w:sz w:val="24"/>
          <w:szCs w:val="24"/>
        </w:rPr>
        <w:t>потвърждават резултатите от лабораторните изследвания.</w:t>
      </w:r>
      <w:r w:rsidRPr="00A1696A">
        <w:rPr>
          <w:rFonts w:ascii="Times New Roman" w:hAnsi="Times New Roman" w:cs="Times New Roman"/>
          <w:sz w:val="24"/>
          <w:szCs w:val="24"/>
          <w:lang w:eastAsia="bg-BG"/>
        </w:rPr>
        <w:t xml:space="preserve"> </w:t>
      </w:r>
      <w:r w:rsidR="00A32604" w:rsidRPr="00A1696A">
        <w:rPr>
          <w:rFonts w:ascii="Times New Roman" w:hAnsi="Times New Roman" w:cs="Times New Roman"/>
          <w:sz w:val="24"/>
          <w:szCs w:val="24"/>
        </w:rPr>
        <w:t xml:space="preserve">Теригенно-варовиково-мергелната задруга се корелира с формация Ceylan на турска територия, чийто туфозни пясъчници са целеви хоризонти в турската част на басейна с порестост 20-25%, където са вместени находищата </w:t>
      </w:r>
      <w:r w:rsidR="00A32604" w:rsidRPr="00A1696A">
        <w:rPr>
          <w:rFonts w:ascii="Times New Roman" w:hAnsi="Times New Roman" w:cs="Times New Roman"/>
          <w:sz w:val="24"/>
          <w:szCs w:val="24"/>
          <w:lang w:eastAsia="bg-BG"/>
        </w:rPr>
        <w:t>Karacaoglan и Kumrular</w:t>
      </w:r>
      <w:r w:rsidR="00A32604" w:rsidRPr="00A1696A">
        <w:rPr>
          <w:rFonts w:ascii="Times New Roman" w:hAnsi="Times New Roman" w:cs="Times New Roman"/>
          <w:sz w:val="24"/>
          <w:szCs w:val="24"/>
        </w:rPr>
        <w:t xml:space="preserve">. Рифогенната задруга се корелира с </w:t>
      </w:r>
      <w:r w:rsidR="00A32604" w:rsidRPr="00A1696A">
        <w:rPr>
          <w:rFonts w:ascii="Times New Roman" w:hAnsi="Times New Roman" w:cs="Times New Roman"/>
          <w:sz w:val="24"/>
          <w:szCs w:val="24"/>
          <w:lang w:eastAsia="bg-BG"/>
        </w:rPr>
        <w:t xml:space="preserve">формация Sogukak, която се характеризират със средна порестост 10-13%, където са разположени находища К Osmancik и Kuzey Marmara. </w:t>
      </w:r>
      <w:r w:rsidRPr="00A1696A">
        <w:rPr>
          <w:rFonts w:ascii="Times New Roman" w:hAnsi="Times New Roman" w:cs="Times New Roman"/>
          <w:sz w:val="24"/>
          <w:szCs w:val="24"/>
          <w:lang w:eastAsia="bg-BG"/>
        </w:rPr>
        <w:t xml:space="preserve">Предвид </w:t>
      </w:r>
      <w:r w:rsidR="00A32604" w:rsidRPr="00A1696A">
        <w:rPr>
          <w:rFonts w:ascii="Times New Roman" w:hAnsi="Times New Roman" w:cs="Times New Roman"/>
          <w:sz w:val="24"/>
          <w:szCs w:val="24"/>
          <w:lang w:eastAsia="bg-BG"/>
        </w:rPr>
        <w:t>тези факти</w:t>
      </w:r>
      <w:r w:rsidRPr="00A1696A">
        <w:rPr>
          <w:rFonts w:ascii="Times New Roman" w:hAnsi="Times New Roman" w:cs="Times New Roman"/>
          <w:sz w:val="24"/>
          <w:szCs w:val="24"/>
          <w:lang w:eastAsia="bg-BG"/>
        </w:rPr>
        <w:t xml:space="preserve">, </w:t>
      </w:r>
      <w:bookmarkStart w:id="80" w:name="_Hlk945900"/>
      <w:r w:rsidRPr="00A1696A">
        <w:rPr>
          <w:rFonts w:ascii="Times New Roman" w:hAnsi="Times New Roman" w:cs="Times New Roman"/>
          <w:sz w:val="24"/>
          <w:szCs w:val="24"/>
          <w:lang w:eastAsia="bg-BG"/>
        </w:rPr>
        <w:t xml:space="preserve">петрофизичните свойства </w:t>
      </w:r>
      <w:r w:rsidR="00A32604" w:rsidRPr="00A1696A">
        <w:rPr>
          <w:rFonts w:ascii="Times New Roman" w:hAnsi="Times New Roman" w:cs="Times New Roman"/>
          <w:sz w:val="24"/>
          <w:szCs w:val="24"/>
          <w:lang w:eastAsia="bg-BG"/>
        </w:rPr>
        <w:t xml:space="preserve">на колекторната част </w:t>
      </w:r>
      <w:r w:rsidRPr="00A1696A">
        <w:rPr>
          <w:rFonts w:ascii="Times New Roman" w:hAnsi="Times New Roman" w:cs="Times New Roman"/>
          <w:sz w:val="24"/>
          <w:szCs w:val="24"/>
          <w:lang w:eastAsia="bg-BG"/>
        </w:rPr>
        <w:t>могат да бъдат оценени като благоприятни</w:t>
      </w:r>
      <w:bookmarkEnd w:id="80"/>
      <w:r w:rsidRPr="00A1696A">
        <w:rPr>
          <w:rFonts w:ascii="Times New Roman" w:hAnsi="Times New Roman" w:cs="Times New Roman"/>
          <w:sz w:val="24"/>
          <w:szCs w:val="24"/>
          <w:lang w:eastAsia="bg-BG"/>
        </w:rPr>
        <w:t>.</w:t>
      </w:r>
      <w:r w:rsidR="00A32604"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За изолираща покривка служат пластовете от глини</w:t>
      </w:r>
      <w:r w:rsidR="00AB4BD0" w:rsidRPr="00A1696A">
        <w:rPr>
          <w:rFonts w:ascii="Times New Roman" w:hAnsi="Times New Roman" w:cs="Times New Roman"/>
          <w:sz w:val="24"/>
          <w:szCs w:val="24"/>
          <w:lang w:eastAsia="bg-BG"/>
        </w:rPr>
        <w:t xml:space="preserve"> или</w:t>
      </w:r>
      <w:r w:rsidRPr="00A1696A">
        <w:rPr>
          <w:rFonts w:ascii="Times New Roman" w:hAnsi="Times New Roman" w:cs="Times New Roman"/>
          <w:sz w:val="24"/>
          <w:szCs w:val="24"/>
          <w:lang w:eastAsia="bg-BG"/>
        </w:rPr>
        <w:t xml:space="preserve"> мергели с еоценска и олигоценска възраст</w:t>
      </w:r>
      <w:r w:rsidR="00A32604" w:rsidRPr="00A1696A">
        <w:rPr>
          <w:rFonts w:ascii="Times New Roman" w:hAnsi="Times New Roman" w:cs="Times New Roman"/>
          <w:sz w:val="24"/>
          <w:szCs w:val="24"/>
          <w:lang w:eastAsia="bg-BG"/>
        </w:rPr>
        <w:t>, с д</w:t>
      </w:r>
      <w:r w:rsidRPr="00A1696A">
        <w:rPr>
          <w:rFonts w:ascii="Times New Roman" w:hAnsi="Times New Roman" w:cs="Times New Roman"/>
          <w:sz w:val="24"/>
          <w:szCs w:val="24"/>
          <w:lang w:eastAsia="bg-BG"/>
        </w:rPr>
        <w:t>ебелина</w:t>
      </w:r>
      <w:r w:rsidR="00A32604"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до 200 m. По пъстрия литоложки състав може да се предполагат променливи изолиращи свойства. </w:t>
      </w:r>
      <w:r w:rsidR="00A32604" w:rsidRPr="00A1696A">
        <w:rPr>
          <w:rFonts w:ascii="Times New Roman" w:hAnsi="Times New Roman" w:cs="Times New Roman"/>
          <w:sz w:val="24"/>
          <w:szCs w:val="24"/>
          <w:lang w:eastAsia="bg-BG"/>
        </w:rPr>
        <w:t>Въз</w:t>
      </w:r>
      <w:r w:rsidRPr="00A1696A">
        <w:rPr>
          <w:rFonts w:ascii="Times New Roman" w:hAnsi="Times New Roman" w:cs="Times New Roman"/>
          <w:sz w:val="24"/>
          <w:szCs w:val="24"/>
          <w:lang w:eastAsia="bg-BG"/>
        </w:rPr>
        <w:t xml:space="preserve"> основа на извършените анализи и структурни построения на геоложкото пространство и информацията за находищата в турската част, в този природен резервоар може да се очакват както структурни – антиклинални и разломни капани, така и стратиграфски типове капани – литоложки, в местата на презаместване и изклинване, и рифови</w:t>
      </w:r>
      <w:r w:rsidR="003108E8">
        <w:rPr>
          <w:rFonts w:ascii="Times New Roman" w:hAnsi="Times New Roman" w:cs="Times New Roman"/>
          <w:sz w:val="24"/>
          <w:szCs w:val="24"/>
          <w:lang w:eastAsia="bg-BG"/>
        </w:rPr>
        <w:t xml:space="preserve"> (фиг. 17 и 18)</w:t>
      </w:r>
      <w:r w:rsidRPr="00A1696A">
        <w:rPr>
          <w:rFonts w:ascii="Times New Roman" w:hAnsi="Times New Roman" w:cs="Times New Roman"/>
          <w:sz w:val="24"/>
          <w:szCs w:val="24"/>
          <w:lang w:eastAsia="bg-BG"/>
        </w:rPr>
        <w:t>.</w:t>
      </w:r>
    </w:p>
    <w:p w14:paraId="44586D04" w14:textId="75625A7B" w:rsidR="0055322A" w:rsidRPr="00A1696A" w:rsidRDefault="0055322A" w:rsidP="001D3ADD">
      <w:pPr>
        <w:pStyle w:val="ListParagraph"/>
        <w:numPr>
          <w:ilvl w:val="0"/>
          <w:numId w:val="7"/>
        </w:numPr>
        <w:autoSpaceDE w:val="0"/>
        <w:autoSpaceDN w:val="0"/>
        <w:adjustRightInd w:val="0"/>
        <w:spacing w:after="0" w:line="240" w:lineRule="auto"/>
        <w:jc w:val="both"/>
        <w:rPr>
          <w:rFonts w:ascii="Times New Roman" w:hAnsi="Times New Roman" w:cs="Times New Roman"/>
          <w:sz w:val="24"/>
          <w:szCs w:val="24"/>
          <w:lang w:eastAsia="bg-BG"/>
        </w:rPr>
      </w:pPr>
      <w:r w:rsidRPr="00A1696A">
        <w:rPr>
          <w:rFonts w:ascii="Times New Roman" w:hAnsi="Times New Roman" w:cs="Times New Roman"/>
          <w:b/>
          <w:sz w:val="24"/>
          <w:szCs w:val="24"/>
          <w:lang w:eastAsia="bg-BG"/>
        </w:rPr>
        <w:t>Олигоценски природен резервоар</w:t>
      </w:r>
      <w:r w:rsidR="00B44806" w:rsidRPr="00A1696A">
        <w:rPr>
          <w:rFonts w:ascii="Times New Roman" w:hAnsi="Times New Roman" w:cs="Times New Roman"/>
          <w:b/>
          <w:sz w:val="24"/>
          <w:szCs w:val="24"/>
          <w:lang w:eastAsia="bg-BG"/>
        </w:rPr>
        <w:t>,</w:t>
      </w:r>
      <w:r w:rsidRPr="00A1696A">
        <w:rPr>
          <w:rFonts w:ascii="Times New Roman" w:hAnsi="Times New Roman" w:cs="Times New Roman"/>
          <w:b/>
          <w:sz w:val="24"/>
          <w:szCs w:val="24"/>
          <w:lang w:eastAsia="bg-BG"/>
        </w:rPr>
        <w:t xml:space="preserve"> привързан към глинесто-мергелната задруга</w:t>
      </w:r>
    </w:p>
    <w:p w14:paraId="0F5B174F" w14:textId="6BCDEC1D" w:rsidR="0055322A" w:rsidRDefault="0055322A"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След извършената качествена интерпретация на стандартната диаграма на каротажа на с</w:t>
      </w:r>
      <w:r w:rsidR="00B20DF1" w:rsidRPr="00A1696A">
        <w:rPr>
          <w:rFonts w:ascii="Times New Roman" w:hAnsi="Times New Roman" w:cs="Times New Roman"/>
          <w:sz w:val="24"/>
          <w:szCs w:val="24"/>
          <w:lang w:eastAsia="bg-BG"/>
        </w:rPr>
        <w:t>онда</w:t>
      </w:r>
      <w:r w:rsidRPr="00A1696A">
        <w:rPr>
          <w:rFonts w:ascii="Times New Roman" w:hAnsi="Times New Roman" w:cs="Times New Roman"/>
          <w:sz w:val="24"/>
          <w:szCs w:val="24"/>
          <w:lang w:eastAsia="bg-BG"/>
        </w:rPr>
        <w:t xml:space="preserve">ж Р-1 Свиленград, в този интервал ясно се отделят проницаеми и </w:t>
      </w:r>
      <w:r w:rsidR="0078683E" w:rsidRPr="00A1696A">
        <w:rPr>
          <w:rFonts w:ascii="Times New Roman" w:hAnsi="Times New Roman" w:cs="Times New Roman"/>
          <w:sz w:val="24"/>
          <w:szCs w:val="24"/>
          <w:lang w:eastAsia="bg-BG"/>
        </w:rPr>
        <w:t>трудно</w:t>
      </w:r>
      <w:r w:rsidRPr="00A1696A">
        <w:rPr>
          <w:rFonts w:ascii="Times New Roman" w:hAnsi="Times New Roman" w:cs="Times New Roman"/>
          <w:sz w:val="24"/>
          <w:szCs w:val="24"/>
          <w:lang w:eastAsia="bg-BG"/>
        </w:rPr>
        <w:t>проницаеми пластове и зони (фиг.</w:t>
      </w:r>
      <w:r w:rsidR="00A2361B" w:rsidRPr="00A1696A">
        <w:rPr>
          <w:rFonts w:ascii="Times New Roman" w:hAnsi="Times New Roman" w:cs="Times New Roman"/>
          <w:sz w:val="24"/>
          <w:szCs w:val="24"/>
          <w:lang w:eastAsia="bg-BG"/>
        </w:rPr>
        <w:t xml:space="preserve"> </w:t>
      </w:r>
      <w:r w:rsidR="000678C8" w:rsidRPr="00A1696A">
        <w:rPr>
          <w:rFonts w:ascii="Times New Roman" w:hAnsi="Times New Roman" w:cs="Times New Roman"/>
          <w:sz w:val="24"/>
          <w:szCs w:val="24"/>
          <w:lang w:eastAsia="bg-BG"/>
        </w:rPr>
        <w:t>1</w:t>
      </w:r>
      <w:r w:rsidR="00E51CD4">
        <w:rPr>
          <w:rFonts w:ascii="Times New Roman" w:hAnsi="Times New Roman" w:cs="Times New Roman"/>
          <w:sz w:val="24"/>
          <w:szCs w:val="24"/>
          <w:lang w:eastAsia="bg-BG"/>
        </w:rPr>
        <w:t>9</w:t>
      </w:r>
      <w:r w:rsidRPr="00A1696A">
        <w:rPr>
          <w:rFonts w:ascii="Times New Roman" w:hAnsi="Times New Roman" w:cs="Times New Roman"/>
          <w:sz w:val="24"/>
          <w:szCs w:val="24"/>
          <w:lang w:eastAsia="bg-BG"/>
        </w:rPr>
        <w:t xml:space="preserve">). </w:t>
      </w:r>
    </w:p>
    <w:p w14:paraId="5C60DCC1" w14:textId="77777777" w:rsidR="003108E8" w:rsidRPr="00A1696A" w:rsidRDefault="003108E8" w:rsidP="003108E8">
      <w:pPr>
        <w:spacing w:after="0" w:line="240" w:lineRule="auto"/>
        <w:ind w:firstLine="709"/>
        <w:jc w:val="both"/>
        <w:rPr>
          <w:rFonts w:ascii="Times New Roman" w:hAnsi="Times New Roman" w:cs="Times New Roman"/>
          <w:sz w:val="24"/>
          <w:szCs w:val="24"/>
        </w:rPr>
      </w:pPr>
      <w:bookmarkStart w:id="81" w:name="_Hlk7799643"/>
      <w:r w:rsidRPr="00A1696A">
        <w:rPr>
          <w:rFonts w:ascii="Times New Roman" w:hAnsi="Times New Roman" w:cs="Times New Roman"/>
          <w:sz w:val="24"/>
          <w:szCs w:val="24"/>
          <w:lang w:eastAsia="bg-BG"/>
        </w:rPr>
        <w:t xml:space="preserve">По този начин в разреза са отделени колекторните скали - пясъчниците и алевролитите, послойно редуващи се с глинести скали. Колекторите са с различна дебелина и пространствено </w:t>
      </w:r>
      <w:r w:rsidRPr="00A1696A">
        <w:rPr>
          <w:rFonts w:ascii="Times New Roman" w:hAnsi="Times New Roman" w:cs="Times New Roman"/>
          <w:sz w:val="24"/>
          <w:szCs w:val="24"/>
          <w:lang w:eastAsia="bg-BG"/>
        </w:rPr>
        <w:lastRenderedPageBreak/>
        <w:t xml:space="preserve">развитие. Заемат горната част на глинесто-мергелната задруга, отделена като горна-теригенна серия. </w:t>
      </w:r>
      <w:r w:rsidRPr="00A1696A">
        <w:rPr>
          <w:rFonts w:ascii="Times New Roman" w:hAnsi="Times New Roman" w:cs="Times New Roman"/>
          <w:sz w:val="24"/>
          <w:szCs w:val="24"/>
        </w:rPr>
        <w:t>Тези пясъчникови хоризонти се характеризират с достатъчно добри колекторски свойства – порестост от 9% до 27,8% и проницаемост от 1 до 6 mD, което ги определя като основни резервоарни хоризонти. При тяхното опробване е получен приток на флуиди: в сондаж Р-1 Свиленград в опробвания интервал 300 – 335 m в глинестите пясъчници заедно с получения приток на вода има и показания на газ, без да е направено замерване на дебита; в интервала 220 - 240 m е получен приток на ВВ, но по-технически причини изпитанието е оценено като некачествено; в сондаж С-3 Капитан Андреево при изпитване на открития интервал 300-450 m е получен приток на газ около 980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/24h и минерализирана вода – 3,8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/24h; в интервала 130 – 182 m е получен приток на газ с дебит 1270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/24h и приток на минерализирана вода (7696 mg/l) около 5,7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 xml:space="preserve">/h. </w:t>
      </w:r>
    </w:p>
    <w:bookmarkEnd w:id="81"/>
    <w:p w14:paraId="55E80AB2" w14:textId="77777777" w:rsidR="003108E8" w:rsidRPr="00A1696A" w:rsidRDefault="003108E8" w:rsidP="006B6EBF">
      <w:pPr>
        <w:spacing w:after="0" w:line="240" w:lineRule="auto"/>
        <w:ind w:firstLine="709"/>
        <w:jc w:val="both"/>
        <w:rPr>
          <w:rFonts w:ascii="Times New Roman" w:hAnsi="Times New Roman" w:cs="Times New Roman"/>
          <w:sz w:val="24"/>
          <w:szCs w:val="24"/>
          <w:lang w:eastAsia="bg-BG"/>
        </w:rPr>
      </w:pPr>
    </w:p>
    <w:bookmarkEnd w:id="78"/>
    <w:p w14:paraId="3499F7E8" w14:textId="6C8FB9BC" w:rsidR="0055322A" w:rsidRPr="00A1696A" w:rsidRDefault="00B937F2" w:rsidP="006B6EBF">
      <w:pPr>
        <w:spacing w:after="0" w:line="240" w:lineRule="auto"/>
        <w:jc w:val="center"/>
        <w:rPr>
          <w:rFonts w:ascii="Times New Roman" w:hAnsi="Times New Roman" w:cs="Times New Roman"/>
          <w:sz w:val="24"/>
          <w:szCs w:val="24"/>
          <w:lang w:eastAsia="bg-BG"/>
        </w:rPr>
      </w:pPr>
      <w:r w:rsidRPr="00A1696A">
        <w:rPr>
          <w:rFonts w:ascii="Times New Roman" w:hAnsi="Times New Roman" w:cs="Times New Roman"/>
          <w:noProof/>
          <w:sz w:val="24"/>
          <w:szCs w:val="24"/>
          <w:lang w:eastAsia="bg-BG"/>
        </w:rPr>
        <w:drawing>
          <wp:inline distT="0" distB="0" distL="0" distR="0" wp14:anchorId="60D55EF3" wp14:editId="291F7D7D">
            <wp:extent cx="6063567" cy="3357196"/>
            <wp:effectExtent l="19050" t="19050" r="13970" b="15240"/>
            <wp:docPr id="7196" name="Картина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Osmancik_бг.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73372" cy="3362625"/>
                    </a:xfrm>
                    <a:prstGeom prst="rect">
                      <a:avLst/>
                    </a:prstGeom>
                    <a:ln>
                      <a:solidFill>
                        <a:schemeClr val="bg2">
                          <a:lumMod val="50000"/>
                        </a:schemeClr>
                      </a:solidFill>
                    </a:ln>
                  </pic:spPr>
                </pic:pic>
              </a:graphicData>
            </a:graphic>
          </wp:inline>
        </w:drawing>
      </w:r>
    </w:p>
    <w:p w14:paraId="11C860B1" w14:textId="64A43E9A" w:rsidR="0055322A" w:rsidRPr="00A1696A" w:rsidRDefault="0055322A" w:rsidP="006B6EBF">
      <w:pPr>
        <w:spacing w:after="0" w:line="240" w:lineRule="auto"/>
        <w:jc w:val="center"/>
        <w:rPr>
          <w:rFonts w:ascii="Times New Roman" w:hAnsi="Times New Roman" w:cs="Times New Roman"/>
          <w:sz w:val="24"/>
          <w:szCs w:val="24"/>
        </w:rPr>
      </w:pPr>
      <w:bookmarkStart w:id="82" w:name="_Hlk7799862"/>
      <w:r w:rsidRPr="00A1696A">
        <w:rPr>
          <w:rFonts w:ascii="Times New Roman" w:hAnsi="Times New Roman" w:cs="Times New Roman"/>
          <w:i/>
          <w:sz w:val="24"/>
          <w:szCs w:val="24"/>
          <w:lang w:eastAsia="bg-BG"/>
        </w:rPr>
        <w:t xml:space="preserve">Фиг. </w:t>
      </w:r>
      <w:r w:rsidR="000678C8" w:rsidRPr="00A1696A">
        <w:rPr>
          <w:rFonts w:ascii="Times New Roman" w:hAnsi="Times New Roman" w:cs="Times New Roman"/>
          <w:i/>
          <w:sz w:val="24"/>
          <w:szCs w:val="24"/>
          <w:lang w:eastAsia="bg-BG"/>
        </w:rPr>
        <w:t>1</w:t>
      </w:r>
      <w:r w:rsidR="00E51CD4">
        <w:rPr>
          <w:rFonts w:ascii="Times New Roman" w:hAnsi="Times New Roman" w:cs="Times New Roman"/>
          <w:i/>
          <w:sz w:val="24"/>
          <w:szCs w:val="24"/>
          <w:lang w:eastAsia="bg-BG"/>
        </w:rPr>
        <w:t>9</w:t>
      </w:r>
      <w:r w:rsidRPr="00A1696A">
        <w:rPr>
          <w:rFonts w:ascii="Times New Roman" w:hAnsi="Times New Roman" w:cs="Times New Roman"/>
          <w:i/>
          <w:sz w:val="24"/>
          <w:szCs w:val="24"/>
          <w:lang w:eastAsia="bg-BG"/>
        </w:rPr>
        <w:t>. Разчленяване на разреза на олигоценския природен резервоар по данни от сондажно-геофизичните изследвания в сондаж Р-1 Свиленград</w:t>
      </w:r>
    </w:p>
    <w:p w14:paraId="4F321EDF" w14:textId="77777777" w:rsidR="0055322A" w:rsidRPr="00A1696A" w:rsidRDefault="0055322A" w:rsidP="006B6EBF">
      <w:pPr>
        <w:spacing w:after="0" w:line="240" w:lineRule="auto"/>
        <w:ind w:firstLine="709"/>
        <w:jc w:val="both"/>
        <w:rPr>
          <w:rFonts w:ascii="Times New Roman" w:hAnsi="Times New Roman" w:cs="Times New Roman"/>
          <w:sz w:val="24"/>
          <w:szCs w:val="24"/>
          <w:lang w:eastAsia="bg-BG"/>
        </w:rPr>
      </w:pPr>
    </w:p>
    <w:p w14:paraId="77B3A040" w14:textId="1D3165B6" w:rsidR="0055322A" w:rsidRPr="00A1696A" w:rsidRDefault="00193396" w:rsidP="00AB4BD0">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 xml:space="preserve">В Турската част на басейна за този стратиграфски интервал се обособяват три формации – Mezardere, </w:t>
      </w:r>
      <w:r w:rsidRPr="00A1696A">
        <w:rPr>
          <w:rFonts w:ascii="Times New Roman" w:hAnsi="Times New Roman" w:cs="Times New Roman"/>
          <w:sz w:val="24"/>
          <w:szCs w:val="24"/>
          <w:lang w:eastAsia="bg-BG"/>
        </w:rPr>
        <w:t xml:space="preserve">Osmancik, Danismen. </w:t>
      </w:r>
      <w:r w:rsidRPr="00A1696A">
        <w:rPr>
          <w:rFonts w:ascii="Times New Roman" w:hAnsi="Times New Roman" w:cs="Times New Roman"/>
          <w:sz w:val="24"/>
          <w:szCs w:val="24"/>
        </w:rPr>
        <w:t xml:space="preserve">Скалите на </w:t>
      </w:r>
      <w:bookmarkStart w:id="83" w:name="_Hlk7264594"/>
      <w:r w:rsidRPr="00A1696A">
        <w:rPr>
          <w:rFonts w:ascii="Times New Roman" w:hAnsi="Times New Roman" w:cs="Times New Roman"/>
          <w:sz w:val="24"/>
          <w:szCs w:val="24"/>
          <w:lang w:eastAsia="bg-BG"/>
        </w:rPr>
        <w:t>Osmancik</w:t>
      </w:r>
      <w:bookmarkEnd w:id="83"/>
      <w:r w:rsidRPr="00A1696A">
        <w:rPr>
          <w:rFonts w:ascii="Times New Roman" w:hAnsi="Times New Roman" w:cs="Times New Roman"/>
          <w:sz w:val="24"/>
          <w:szCs w:val="24"/>
          <w:lang w:eastAsia="bg-BG"/>
        </w:rPr>
        <w:t xml:space="preserve"> и Danismen</w:t>
      </w:r>
      <w:r w:rsidRPr="00A1696A">
        <w:rPr>
          <w:rFonts w:ascii="Times New Roman" w:hAnsi="Times New Roman" w:cs="Times New Roman"/>
          <w:sz w:val="24"/>
          <w:szCs w:val="24"/>
        </w:rPr>
        <w:t xml:space="preserve"> се явяват основните резервоари на находищата </w:t>
      </w:r>
      <w:r w:rsidRPr="00A1696A">
        <w:rPr>
          <w:rFonts w:ascii="Times New Roman" w:hAnsi="Times New Roman" w:cs="Times New Roman"/>
          <w:sz w:val="24"/>
          <w:szCs w:val="24"/>
          <w:lang w:eastAsia="bg-BG"/>
        </w:rPr>
        <w:t>Degirmenköy</w:t>
      </w:r>
      <w:r w:rsidRPr="00A1696A">
        <w:rPr>
          <w:rFonts w:ascii="Times New Roman" w:hAnsi="Times New Roman" w:cs="Times New Roman"/>
          <w:sz w:val="24"/>
          <w:szCs w:val="24"/>
        </w:rPr>
        <w:t xml:space="preserve">, </w:t>
      </w:r>
      <w:r w:rsidRPr="00A1696A">
        <w:rPr>
          <w:rFonts w:ascii="Times New Roman" w:hAnsi="Times New Roman" w:cs="Times New Roman"/>
          <w:sz w:val="24"/>
          <w:szCs w:val="24"/>
          <w:lang w:eastAsia="bg-BG"/>
        </w:rPr>
        <w:t>Umurca</w:t>
      </w:r>
      <w:r w:rsidRPr="00A1696A">
        <w:rPr>
          <w:rFonts w:ascii="Times New Roman" w:hAnsi="Times New Roman" w:cs="Times New Roman"/>
          <w:sz w:val="24"/>
          <w:szCs w:val="24"/>
        </w:rPr>
        <w:t xml:space="preserve">, </w:t>
      </w:r>
      <w:r w:rsidRPr="00A1696A">
        <w:rPr>
          <w:rFonts w:ascii="Times New Roman" w:hAnsi="Times New Roman" w:cs="Times New Roman"/>
          <w:sz w:val="24"/>
          <w:szCs w:val="24"/>
          <w:lang w:eastAsia="bg-BG"/>
        </w:rPr>
        <w:t>Karaçali</w:t>
      </w:r>
      <w:r w:rsidRPr="00A1696A">
        <w:rPr>
          <w:rFonts w:ascii="Times New Roman" w:hAnsi="Times New Roman" w:cs="Times New Roman"/>
          <w:sz w:val="24"/>
          <w:szCs w:val="24"/>
        </w:rPr>
        <w:t xml:space="preserve"> и </w:t>
      </w:r>
      <w:r w:rsidRPr="00A1696A">
        <w:rPr>
          <w:rFonts w:ascii="Times New Roman" w:hAnsi="Times New Roman" w:cs="Times New Roman"/>
          <w:sz w:val="24"/>
          <w:szCs w:val="24"/>
          <w:lang w:eastAsia="bg-BG"/>
        </w:rPr>
        <w:t>Silivri</w:t>
      </w:r>
      <w:r w:rsidRPr="00A1696A">
        <w:rPr>
          <w:rFonts w:ascii="Times New Roman" w:hAnsi="Times New Roman" w:cs="Times New Roman"/>
          <w:sz w:val="24"/>
          <w:szCs w:val="24"/>
        </w:rPr>
        <w:t>. Малките газоконд</w:t>
      </w:r>
      <w:r w:rsidR="00615C53">
        <w:rPr>
          <w:rFonts w:ascii="Times New Roman" w:hAnsi="Times New Roman" w:cs="Times New Roman"/>
          <w:sz w:val="24"/>
          <w:szCs w:val="24"/>
          <w:lang w:val="en-US"/>
        </w:rPr>
        <w:t>e</w:t>
      </w:r>
      <w:r w:rsidRPr="00A1696A">
        <w:rPr>
          <w:rFonts w:ascii="Times New Roman" w:hAnsi="Times New Roman" w:cs="Times New Roman"/>
          <w:sz w:val="24"/>
          <w:szCs w:val="24"/>
        </w:rPr>
        <w:t xml:space="preserve">нзатни открития </w:t>
      </w:r>
      <w:bookmarkStart w:id="84" w:name="_Hlk7800081"/>
      <w:r w:rsidR="003108E8">
        <w:rPr>
          <w:rFonts w:ascii="Times New Roman" w:hAnsi="Times New Roman" w:cs="Times New Roman"/>
          <w:sz w:val="24"/>
          <w:szCs w:val="24"/>
          <w:lang w:val="en-US"/>
        </w:rPr>
        <w:t>Gocerler</w:t>
      </w:r>
      <w:r w:rsidRPr="00A1696A">
        <w:rPr>
          <w:rFonts w:ascii="Times New Roman" w:hAnsi="Times New Roman" w:cs="Times New Roman"/>
          <w:sz w:val="24"/>
          <w:szCs w:val="24"/>
        </w:rPr>
        <w:t xml:space="preserve"> </w:t>
      </w:r>
      <w:bookmarkEnd w:id="84"/>
      <w:r w:rsidRPr="00A1696A">
        <w:rPr>
          <w:rFonts w:ascii="Times New Roman" w:hAnsi="Times New Roman" w:cs="Times New Roman"/>
          <w:sz w:val="24"/>
          <w:szCs w:val="24"/>
        </w:rPr>
        <w:t xml:space="preserve">и </w:t>
      </w:r>
      <w:bookmarkStart w:id="85" w:name="_Hlk7800088"/>
      <w:r w:rsidR="003108E8">
        <w:rPr>
          <w:rFonts w:ascii="Times New Roman" w:hAnsi="Times New Roman" w:cs="Times New Roman"/>
          <w:sz w:val="24"/>
          <w:szCs w:val="24"/>
          <w:lang w:val="en-US"/>
        </w:rPr>
        <w:t>Adatepe</w:t>
      </w:r>
      <w:bookmarkEnd w:id="85"/>
      <w:r w:rsidRPr="00A1696A">
        <w:rPr>
          <w:rFonts w:ascii="Times New Roman" w:hAnsi="Times New Roman" w:cs="Times New Roman"/>
          <w:sz w:val="24"/>
          <w:szCs w:val="24"/>
        </w:rPr>
        <w:t xml:space="preserve">, със запаси </w:t>
      </w:r>
      <w:r w:rsidR="006B6EBF" w:rsidRPr="00A1696A">
        <w:rPr>
          <w:rFonts w:ascii="Times New Roman" w:hAnsi="Times New Roman" w:cs="Times New Roman"/>
          <w:sz w:val="24"/>
          <w:szCs w:val="24"/>
        </w:rPr>
        <w:t xml:space="preserve">съответно </w:t>
      </w:r>
      <w:r w:rsidRPr="00A1696A">
        <w:rPr>
          <w:rFonts w:ascii="Times New Roman" w:hAnsi="Times New Roman" w:cs="Times New Roman"/>
          <w:sz w:val="24"/>
          <w:szCs w:val="24"/>
        </w:rPr>
        <w:t>0,68 млрд.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 xml:space="preserve"> и 0,43 млрд. m</w:t>
      </w:r>
      <w:r w:rsidRPr="00A1696A">
        <w:rPr>
          <w:rFonts w:ascii="Times New Roman" w:hAnsi="Times New Roman" w:cs="Times New Roman"/>
          <w:sz w:val="24"/>
          <w:szCs w:val="24"/>
          <w:vertAlign w:val="superscript"/>
        </w:rPr>
        <w:t>3</w:t>
      </w:r>
      <w:r w:rsidRPr="00A1696A">
        <w:rPr>
          <w:rFonts w:ascii="Times New Roman" w:hAnsi="Times New Roman" w:cs="Times New Roman"/>
          <w:sz w:val="24"/>
          <w:szCs w:val="24"/>
        </w:rPr>
        <w:t xml:space="preserve"> газ-кондензат също са вместени в седиментите на тези формации с олигоценска възраст. От едно от най-плитко разположените находища в Тракийския басейн – Tekirdag, на дълбочина 100-150 m, добивът се осъществява от едрозърнестите теригенни седименти на формация Danismen. Порестостта измерена </w:t>
      </w:r>
      <w:r w:rsidR="006B6EBF" w:rsidRPr="00A1696A">
        <w:rPr>
          <w:rFonts w:ascii="Times New Roman" w:hAnsi="Times New Roman" w:cs="Times New Roman"/>
          <w:sz w:val="24"/>
          <w:szCs w:val="24"/>
        </w:rPr>
        <w:t>във вместв</w:t>
      </w:r>
      <w:r w:rsidR="00AB4BD0" w:rsidRPr="00A1696A">
        <w:rPr>
          <w:rFonts w:ascii="Times New Roman" w:hAnsi="Times New Roman" w:cs="Times New Roman"/>
          <w:sz w:val="24"/>
          <w:szCs w:val="24"/>
        </w:rPr>
        <w:t>а</w:t>
      </w:r>
      <w:r w:rsidR="006B6EBF" w:rsidRPr="00A1696A">
        <w:rPr>
          <w:rFonts w:ascii="Times New Roman" w:hAnsi="Times New Roman" w:cs="Times New Roman"/>
          <w:sz w:val="24"/>
          <w:szCs w:val="24"/>
        </w:rPr>
        <w:t>щите скали</w:t>
      </w:r>
      <w:r w:rsidRPr="00A1696A">
        <w:rPr>
          <w:rFonts w:ascii="Times New Roman" w:hAnsi="Times New Roman" w:cs="Times New Roman"/>
          <w:sz w:val="24"/>
          <w:szCs w:val="24"/>
        </w:rPr>
        <w:t xml:space="preserve"> варира между 15 и 25%, а проницаемостта - от 0,1 mD до 10 mD.</w:t>
      </w:r>
      <w:r w:rsidR="00AB4BD0" w:rsidRPr="00A1696A">
        <w:rPr>
          <w:rFonts w:ascii="Times New Roman" w:hAnsi="Times New Roman" w:cs="Times New Roman"/>
          <w:sz w:val="24"/>
          <w:szCs w:val="24"/>
        </w:rPr>
        <w:t xml:space="preserve"> </w:t>
      </w:r>
      <w:r w:rsidR="00AB4BD0" w:rsidRPr="00A1696A">
        <w:rPr>
          <w:rFonts w:ascii="Times New Roman" w:hAnsi="Times New Roman" w:cs="Times New Roman"/>
          <w:sz w:val="24"/>
          <w:szCs w:val="24"/>
          <w:lang w:eastAsia="bg-BG"/>
        </w:rPr>
        <w:t>Данните от изследванията в</w:t>
      </w:r>
      <w:r w:rsidR="00B937F2" w:rsidRPr="00A1696A">
        <w:rPr>
          <w:rFonts w:ascii="Times New Roman" w:hAnsi="Times New Roman" w:cs="Times New Roman"/>
          <w:sz w:val="24"/>
          <w:szCs w:val="24"/>
          <w:lang w:eastAsia="bg-BG"/>
        </w:rPr>
        <w:t xml:space="preserve"> сондаж </w:t>
      </w:r>
      <w:r w:rsidR="00AB4BD0" w:rsidRPr="00A1696A">
        <w:rPr>
          <w:rFonts w:ascii="Times New Roman" w:hAnsi="Times New Roman" w:cs="Times New Roman"/>
          <w:sz w:val="24"/>
          <w:szCs w:val="24"/>
          <w:lang w:eastAsia="bg-BG"/>
        </w:rPr>
        <w:t xml:space="preserve"> Р-1 Свиленград, както</w:t>
      </w:r>
      <w:r w:rsidR="0055322A" w:rsidRPr="00A1696A">
        <w:rPr>
          <w:rFonts w:ascii="Times New Roman" w:hAnsi="Times New Roman" w:cs="Times New Roman"/>
          <w:sz w:val="24"/>
          <w:szCs w:val="24"/>
          <w:lang w:eastAsia="bg-BG"/>
        </w:rPr>
        <w:t xml:space="preserve"> и информацията за резервоарните свойства на корелата в турската част</w:t>
      </w:r>
      <w:r w:rsidR="00AB4BD0" w:rsidRPr="00A1696A">
        <w:rPr>
          <w:rFonts w:ascii="Times New Roman" w:hAnsi="Times New Roman" w:cs="Times New Roman"/>
          <w:sz w:val="24"/>
          <w:szCs w:val="24"/>
          <w:lang w:eastAsia="bg-BG"/>
        </w:rPr>
        <w:t>,</w:t>
      </w:r>
      <w:r w:rsidR="0055322A" w:rsidRPr="00A1696A">
        <w:rPr>
          <w:rFonts w:ascii="Times New Roman" w:hAnsi="Times New Roman" w:cs="Times New Roman"/>
          <w:sz w:val="24"/>
          <w:szCs w:val="24"/>
          <w:lang w:eastAsia="bg-BG"/>
        </w:rPr>
        <w:t xml:space="preserve"> дават основание теригенните разновидности да бъдат отнесени към скалите с добри резервоарни свойства.</w:t>
      </w:r>
      <w:r w:rsidR="00AB4BD0" w:rsidRPr="00A1696A">
        <w:rPr>
          <w:rFonts w:ascii="Times New Roman" w:hAnsi="Times New Roman" w:cs="Times New Roman"/>
          <w:sz w:val="24"/>
          <w:szCs w:val="24"/>
        </w:rPr>
        <w:t xml:space="preserve"> </w:t>
      </w:r>
      <w:r w:rsidR="009C7FDB" w:rsidRPr="00A1696A">
        <w:rPr>
          <w:rFonts w:ascii="Times New Roman" w:hAnsi="Times New Roman" w:cs="Times New Roman"/>
          <w:sz w:val="24"/>
          <w:szCs w:val="24"/>
          <w:lang w:eastAsia="bg-BG"/>
        </w:rPr>
        <w:t>Труднопроницаема</w:t>
      </w:r>
      <w:r w:rsidR="0055322A" w:rsidRPr="00A1696A">
        <w:rPr>
          <w:rFonts w:ascii="Times New Roman" w:hAnsi="Times New Roman" w:cs="Times New Roman"/>
          <w:sz w:val="24"/>
          <w:szCs w:val="24"/>
          <w:lang w:eastAsia="bg-BG"/>
        </w:rPr>
        <w:t xml:space="preserve"> покривка са глинестите наслаги от глинесто-мергелната задруга,</w:t>
      </w:r>
      <w:r w:rsidR="00AB4BD0" w:rsidRPr="00A1696A">
        <w:rPr>
          <w:rFonts w:ascii="Times New Roman" w:hAnsi="Times New Roman" w:cs="Times New Roman"/>
          <w:sz w:val="24"/>
          <w:szCs w:val="24"/>
          <w:lang w:eastAsia="bg-BG"/>
        </w:rPr>
        <w:t xml:space="preserve"> както и тези,</w:t>
      </w:r>
      <w:r w:rsidR="0055322A" w:rsidRPr="00A1696A">
        <w:rPr>
          <w:rFonts w:ascii="Times New Roman" w:hAnsi="Times New Roman" w:cs="Times New Roman"/>
          <w:sz w:val="24"/>
          <w:szCs w:val="24"/>
          <w:lang w:eastAsia="bg-BG"/>
        </w:rPr>
        <w:t xml:space="preserve"> залягащи в горните</w:t>
      </w:r>
      <w:r w:rsidR="00C232F1" w:rsidRPr="00A1696A">
        <w:rPr>
          <w:rFonts w:ascii="Times New Roman" w:hAnsi="Times New Roman" w:cs="Times New Roman"/>
          <w:sz w:val="24"/>
          <w:szCs w:val="24"/>
          <w:lang w:eastAsia="bg-BG"/>
        </w:rPr>
        <w:t xml:space="preserve"> ѝ </w:t>
      </w:r>
      <w:r w:rsidR="0055322A" w:rsidRPr="00A1696A">
        <w:rPr>
          <w:rFonts w:ascii="Times New Roman" w:hAnsi="Times New Roman" w:cs="Times New Roman"/>
          <w:sz w:val="24"/>
          <w:szCs w:val="24"/>
          <w:lang w:eastAsia="bg-BG"/>
        </w:rPr>
        <w:t>части</w:t>
      </w:r>
      <w:r w:rsidR="00AB4BD0" w:rsidRPr="00A1696A">
        <w:rPr>
          <w:rFonts w:ascii="Times New Roman" w:hAnsi="Times New Roman" w:cs="Times New Roman"/>
          <w:sz w:val="24"/>
          <w:szCs w:val="24"/>
          <w:lang w:eastAsia="bg-BG"/>
        </w:rPr>
        <w:t xml:space="preserve"> и</w:t>
      </w:r>
      <w:r w:rsidR="0055322A" w:rsidRPr="00A1696A">
        <w:rPr>
          <w:rFonts w:ascii="Times New Roman" w:hAnsi="Times New Roman" w:cs="Times New Roman"/>
          <w:sz w:val="24"/>
          <w:szCs w:val="24"/>
          <w:lang w:eastAsia="bg-BG"/>
        </w:rPr>
        <w:t xml:space="preserve"> отделени като формация Danismen в турската част. В участъците на отсъствие е възможна хидродинамична връзка с отгорележащите пролувиално-алувиални наслаги на Ахматовската свита. Съдейки по резултатите от изпитанията в сондаж С-3 Капитан Андреево, в който се наблюдава повишена минерализация на водите, а така също и способността на подобни скали да екранират газови и нефтени акумулации извън територията на страната, могат да се предполагат добри изолиращи свойства.</w:t>
      </w:r>
      <w:r w:rsidR="00AB4BD0" w:rsidRPr="00A1696A">
        <w:rPr>
          <w:rFonts w:ascii="Times New Roman" w:hAnsi="Times New Roman" w:cs="Times New Roman"/>
          <w:sz w:val="24"/>
          <w:szCs w:val="24"/>
        </w:rPr>
        <w:t xml:space="preserve"> </w:t>
      </w:r>
      <w:r w:rsidR="0055322A" w:rsidRPr="00A1696A">
        <w:rPr>
          <w:rFonts w:ascii="Times New Roman" w:hAnsi="Times New Roman" w:cs="Times New Roman"/>
          <w:sz w:val="24"/>
          <w:szCs w:val="24"/>
          <w:lang w:eastAsia="bg-BG"/>
        </w:rPr>
        <w:t xml:space="preserve">За подложка </w:t>
      </w:r>
      <w:r w:rsidR="0055322A" w:rsidRPr="00A1696A">
        <w:rPr>
          <w:rFonts w:ascii="Times New Roman" w:hAnsi="Times New Roman" w:cs="Times New Roman"/>
          <w:sz w:val="24"/>
          <w:szCs w:val="24"/>
          <w:lang w:eastAsia="bg-BG"/>
        </w:rPr>
        <w:lastRenderedPageBreak/>
        <w:t>служат глинесто-теригенно-карбонатните наслаги в долната теригенно-карбонатна серия на глинесто-мергелната задруга.</w:t>
      </w:r>
      <w:r w:rsidR="00AB4BD0" w:rsidRPr="00A1696A">
        <w:rPr>
          <w:rFonts w:ascii="Times New Roman" w:hAnsi="Times New Roman" w:cs="Times New Roman"/>
          <w:sz w:val="24"/>
          <w:szCs w:val="24"/>
        </w:rPr>
        <w:t xml:space="preserve"> </w:t>
      </w:r>
      <w:r w:rsidR="0055322A" w:rsidRPr="00A1696A">
        <w:rPr>
          <w:rFonts w:ascii="Times New Roman" w:hAnsi="Times New Roman" w:cs="Times New Roman"/>
          <w:sz w:val="24"/>
          <w:szCs w:val="24"/>
          <w:lang w:eastAsia="bg-BG"/>
        </w:rPr>
        <w:t>Както се вижда от приложения разрез от 3D структурния модел (фиг.</w:t>
      </w:r>
      <w:r w:rsidR="00A2361B" w:rsidRPr="00A1696A">
        <w:rPr>
          <w:rFonts w:ascii="Times New Roman" w:hAnsi="Times New Roman" w:cs="Times New Roman"/>
          <w:sz w:val="24"/>
          <w:szCs w:val="24"/>
          <w:lang w:eastAsia="bg-BG"/>
        </w:rPr>
        <w:t xml:space="preserve"> </w:t>
      </w:r>
      <w:r w:rsidR="00DC18A7" w:rsidRPr="00A1696A">
        <w:rPr>
          <w:rFonts w:ascii="Times New Roman" w:hAnsi="Times New Roman" w:cs="Times New Roman"/>
          <w:sz w:val="24"/>
          <w:szCs w:val="24"/>
          <w:lang w:eastAsia="bg-BG"/>
        </w:rPr>
        <w:t>1</w:t>
      </w:r>
      <w:r w:rsidR="003108E8">
        <w:rPr>
          <w:rFonts w:ascii="Times New Roman" w:hAnsi="Times New Roman" w:cs="Times New Roman"/>
          <w:sz w:val="24"/>
          <w:szCs w:val="24"/>
          <w:lang w:eastAsia="bg-BG"/>
        </w:rPr>
        <w:t>8</w:t>
      </w:r>
      <w:r w:rsidR="0055322A" w:rsidRPr="00A1696A">
        <w:rPr>
          <w:rFonts w:ascii="Times New Roman" w:hAnsi="Times New Roman" w:cs="Times New Roman"/>
          <w:sz w:val="24"/>
          <w:szCs w:val="24"/>
          <w:lang w:eastAsia="bg-BG"/>
        </w:rPr>
        <w:t>), и в този природен резервоар може да се очакват антиклинални, разломни или комбиниран тип капани по подобие на тези от находищата в този стратиграфски интервал в басейна</w:t>
      </w:r>
      <w:r w:rsidR="00AB4BD0" w:rsidRPr="00A1696A">
        <w:rPr>
          <w:rFonts w:ascii="Times New Roman" w:hAnsi="Times New Roman" w:cs="Times New Roman"/>
          <w:sz w:val="24"/>
          <w:szCs w:val="24"/>
          <w:lang w:eastAsia="bg-BG"/>
        </w:rPr>
        <w:t xml:space="preserve"> в Турция</w:t>
      </w:r>
      <w:r w:rsidR="0055322A" w:rsidRPr="00A1696A">
        <w:rPr>
          <w:rFonts w:ascii="Times New Roman" w:hAnsi="Times New Roman" w:cs="Times New Roman"/>
          <w:sz w:val="24"/>
          <w:szCs w:val="24"/>
          <w:lang w:eastAsia="bg-BG"/>
        </w:rPr>
        <w:t>.</w:t>
      </w:r>
    </w:p>
    <w:p w14:paraId="537236E9" w14:textId="40302D1A" w:rsidR="00DA6E8E" w:rsidRDefault="0055322A" w:rsidP="00A50AD1">
      <w:pPr>
        <w:pStyle w:val="Style1"/>
        <w:ind w:left="0" w:firstLine="709"/>
        <w:jc w:val="both"/>
        <w:rPr>
          <w:lang w:val="bg-BG"/>
        </w:rPr>
      </w:pPr>
      <w:bookmarkStart w:id="86" w:name="_Toc7820646"/>
      <w:bookmarkStart w:id="87" w:name="_Hlk7800727"/>
      <w:bookmarkEnd w:id="82"/>
      <w:r w:rsidRPr="00A1696A">
        <w:rPr>
          <w:lang w:val="bg-BG"/>
        </w:rPr>
        <w:t>4.</w:t>
      </w:r>
      <w:r w:rsidR="001846B3" w:rsidRPr="00A1696A">
        <w:rPr>
          <w:lang w:val="bg-BG"/>
        </w:rPr>
        <w:t>4</w:t>
      </w:r>
      <w:r w:rsidRPr="00A1696A">
        <w:rPr>
          <w:lang w:val="bg-BG"/>
        </w:rPr>
        <w:t>. Анализ и оценка на хидрогеоложкия фактор</w:t>
      </w:r>
      <w:bookmarkEnd w:id="86"/>
    </w:p>
    <w:p w14:paraId="2E7D6119" w14:textId="3157DE48" w:rsidR="0055322A" w:rsidRPr="00DA6E8E" w:rsidRDefault="00A2361B" w:rsidP="00DA6E8E">
      <w:pPr>
        <w:spacing w:after="0" w:line="240" w:lineRule="auto"/>
        <w:ind w:firstLine="709"/>
        <w:jc w:val="both"/>
        <w:rPr>
          <w:rFonts w:ascii="Times New Roman" w:hAnsi="Times New Roman" w:cs="Times New Roman"/>
          <w:sz w:val="24"/>
          <w:szCs w:val="24"/>
          <w:lang w:eastAsia="bg-BG"/>
        </w:rPr>
      </w:pPr>
      <w:r w:rsidRPr="00DA6E8E">
        <w:rPr>
          <w:rFonts w:ascii="Times New Roman" w:hAnsi="Times New Roman" w:cs="Times New Roman"/>
          <w:sz w:val="24"/>
          <w:szCs w:val="24"/>
          <w:lang w:eastAsia="bg-BG"/>
        </w:rPr>
        <w:t>Поради факта</w:t>
      </w:r>
      <w:r w:rsidR="0055322A" w:rsidRPr="00DA6E8E">
        <w:rPr>
          <w:rFonts w:ascii="Times New Roman" w:hAnsi="Times New Roman" w:cs="Times New Roman"/>
          <w:sz w:val="24"/>
          <w:szCs w:val="24"/>
          <w:lang w:eastAsia="bg-BG"/>
        </w:rPr>
        <w:t xml:space="preserve">, че в района на изследване има ограничен брой сондажи, които са на малка дълбочина, е невъзможно да се направи цялостна и реална оценка за влиянието на хидрогеоложкия фактор върху нефтогазоносността на </w:t>
      </w:r>
      <w:r w:rsidR="001846B3" w:rsidRPr="00DA6E8E">
        <w:rPr>
          <w:rFonts w:ascii="Times New Roman" w:hAnsi="Times New Roman" w:cs="Times New Roman"/>
          <w:sz w:val="24"/>
          <w:szCs w:val="24"/>
          <w:lang w:eastAsia="bg-BG"/>
        </w:rPr>
        <w:t>цялата</w:t>
      </w:r>
      <w:r w:rsidR="0055322A" w:rsidRPr="00DA6E8E">
        <w:rPr>
          <w:rFonts w:ascii="Times New Roman" w:hAnsi="Times New Roman" w:cs="Times New Roman"/>
          <w:sz w:val="24"/>
          <w:szCs w:val="24"/>
          <w:lang w:eastAsia="bg-BG"/>
        </w:rPr>
        <w:t xml:space="preserve"> територия. Въпреки това на основата на създадената 2D палеореконструкция на условията на седиментообразуване по сеизмични данни, може да се добие най-обща престава за </w:t>
      </w:r>
      <w:r w:rsidR="00B937F2" w:rsidRPr="009F37D9">
        <w:rPr>
          <w:rFonts w:ascii="Times New Roman" w:hAnsi="Times New Roman" w:cs="Times New Roman"/>
          <w:sz w:val="24"/>
          <w:szCs w:val="24"/>
          <w:lang w:eastAsia="bg-BG"/>
        </w:rPr>
        <w:t>палео</w:t>
      </w:r>
      <w:r w:rsidR="0055322A" w:rsidRPr="009F37D9">
        <w:rPr>
          <w:rFonts w:ascii="Times New Roman" w:hAnsi="Times New Roman" w:cs="Times New Roman"/>
          <w:sz w:val="24"/>
          <w:szCs w:val="24"/>
          <w:lang w:eastAsia="bg-BG"/>
        </w:rPr>
        <w:t>хидродинамичните</w:t>
      </w:r>
      <w:r w:rsidR="0055322A" w:rsidRPr="00DA6E8E">
        <w:rPr>
          <w:rFonts w:ascii="Times New Roman" w:hAnsi="Times New Roman" w:cs="Times New Roman"/>
          <w:sz w:val="24"/>
          <w:szCs w:val="24"/>
          <w:lang w:eastAsia="bg-BG"/>
        </w:rPr>
        <w:t xml:space="preserve"> условия на водоносните комплекси. Може да се </w:t>
      </w:r>
      <w:r w:rsidR="001846B3" w:rsidRPr="00DA6E8E">
        <w:rPr>
          <w:rFonts w:ascii="Times New Roman" w:hAnsi="Times New Roman" w:cs="Times New Roman"/>
          <w:sz w:val="24"/>
          <w:szCs w:val="24"/>
          <w:lang w:eastAsia="bg-BG"/>
        </w:rPr>
        <w:t>предположи</w:t>
      </w:r>
      <w:r w:rsidR="0055322A" w:rsidRPr="00DA6E8E">
        <w:rPr>
          <w:rFonts w:ascii="Times New Roman" w:hAnsi="Times New Roman" w:cs="Times New Roman"/>
          <w:sz w:val="24"/>
          <w:szCs w:val="24"/>
          <w:lang w:eastAsia="bg-BG"/>
        </w:rPr>
        <w:t>, че през палеоцен-</w:t>
      </w:r>
      <w:r w:rsidR="00035EFF" w:rsidRPr="00DA6E8E">
        <w:rPr>
          <w:rFonts w:ascii="Times New Roman" w:hAnsi="Times New Roman" w:cs="Times New Roman"/>
          <w:sz w:val="24"/>
          <w:szCs w:val="24"/>
          <w:lang w:eastAsia="bg-BG"/>
        </w:rPr>
        <w:t>ранно</w:t>
      </w:r>
      <w:r w:rsidR="00393B98" w:rsidRPr="00DA6E8E">
        <w:rPr>
          <w:rFonts w:ascii="Times New Roman" w:hAnsi="Times New Roman" w:cs="Times New Roman"/>
          <w:sz w:val="24"/>
          <w:szCs w:val="24"/>
          <w:lang w:eastAsia="bg-BG"/>
        </w:rPr>
        <w:t>-</w:t>
      </w:r>
      <w:r w:rsidR="0055322A" w:rsidRPr="00DA6E8E">
        <w:rPr>
          <w:rFonts w:ascii="Times New Roman" w:hAnsi="Times New Roman" w:cs="Times New Roman"/>
          <w:sz w:val="24"/>
          <w:szCs w:val="24"/>
          <w:lang w:eastAsia="bg-BG"/>
        </w:rPr>
        <w:t>средноеоценския период на уплътняване на първите вместващи комплекси се създават елизионни условия на формиране на пластовите води. По-късно в периода на тектонско издигане възникват условия, способстващи за проникване на повърхностни води в по-рано формирания водоносен комплекс, което дава основание да се допусне, че в този момент условията са били инфилтрационни. За един по-дълъг период от време – от началото на приабона до края на олигоцена</w:t>
      </w:r>
      <w:r w:rsidR="001846B3" w:rsidRPr="00DA6E8E">
        <w:rPr>
          <w:rFonts w:ascii="Times New Roman" w:hAnsi="Times New Roman" w:cs="Times New Roman"/>
          <w:sz w:val="24"/>
          <w:szCs w:val="24"/>
          <w:lang w:eastAsia="bg-BG"/>
        </w:rPr>
        <w:t>-</w:t>
      </w:r>
      <w:r w:rsidR="0055322A" w:rsidRPr="00DA6E8E">
        <w:rPr>
          <w:rFonts w:ascii="Times New Roman" w:hAnsi="Times New Roman" w:cs="Times New Roman"/>
          <w:sz w:val="24"/>
          <w:szCs w:val="24"/>
          <w:lang w:eastAsia="bg-BG"/>
        </w:rPr>
        <w:t>началото на миоцена вероятно условията на образуване на пластовите води отново са били елизионни. В началото на приабон</w:t>
      </w:r>
      <w:r w:rsidRPr="00DA6E8E">
        <w:rPr>
          <w:rFonts w:ascii="Times New Roman" w:hAnsi="Times New Roman" w:cs="Times New Roman"/>
          <w:sz w:val="24"/>
          <w:szCs w:val="24"/>
          <w:lang w:eastAsia="bg-BG"/>
        </w:rPr>
        <w:t>ския век</w:t>
      </w:r>
      <w:r w:rsidR="0055322A" w:rsidRPr="00DA6E8E">
        <w:rPr>
          <w:rFonts w:ascii="Times New Roman" w:hAnsi="Times New Roman" w:cs="Times New Roman"/>
          <w:sz w:val="24"/>
          <w:szCs w:val="24"/>
          <w:lang w:eastAsia="bg-BG"/>
        </w:rPr>
        <w:t xml:space="preserve"> в близост до шелфа на този-палеобасейн вероятно съществуват условия за влияние на инфилтрационните процеси, но отчитайки факта, че впоследствие на цялата територия условията на седиментообразуване са били дълбокоморски, вероятно единствените процеси във водоносните хоризонти са били елизионните. През късен-среден </w:t>
      </w:r>
      <w:r w:rsidR="003056D9" w:rsidRPr="00DA6E8E">
        <w:rPr>
          <w:rFonts w:ascii="Times New Roman" w:hAnsi="Times New Roman" w:cs="Times New Roman"/>
          <w:sz w:val="24"/>
          <w:szCs w:val="24"/>
          <w:lang w:eastAsia="bg-BG"/>
        </w:rPr>
        <w:t>м</w:t>
      </w:r>
      <w:r w:rsidR="0055322A" w:rsidRPr="00DA6E8E">
        <w:rPr>
          <w:rFonts w:ascii="Times New Roman" w:hAnsi="Times New Roman" w:cs="Times New Roman"/>
          <w:sz w:val="24"/>
          <w:szCs w:val="24"/>
          <w:lang w:eastAsia="bg-BG"/>
        </w:rPr>
        <w:t>иоцен, когато целия</w:t>
      </w:r>
      <w:r w:rsidRPr="00DA6E8E">
        <w:rPr>
          <w:rFonts w:ascii="Times New Roman" w:hAnsi="Times New Roman" w:cs="Times New Roman"/>
          <w:sz w:val="24"/>
          <w:szCs w:val="24"/>
          <w:lang w:eastAsia="bg-BG"/>
        </w:rPr>
        <w:t>т</w:t>
      </w:r>
      <w:r w:rsidR="0055322A" w:rsidRPr="00DA6E8E">
        <w:rPr>
          <w:rFonts w:ascii="Times New Roman" w:hAnsi="Times New Roman" w:cs="Times New Roman"/>
          <w:sz w:val="24"/>
          <w:szCs w:val="24"/>
          <w:lang w:eastAsia="bg-BG"/>
        </w:rPr>
        <w:t xml:space="preserve"> район на изследване се характеризира с тектонско издигане, има вероятност отново инфилтрационните процеси да са доминиращи. Тези процеси може да са засегнали единствено най-горните интервали от късно-олигоценския разрез, който е засегнат и от ерозията, и да не са оказали влияние на по-ниско разположените в разреза вместващи хоризонти. По-късно – през късния </w:t>
      </w:r>
      <w:r w:rsidR="003056D9" w:rsidRPr="00DA6E8E">
        <w:rPr>
          <w:rFonts w:ascii="Times New Roman" w:hAnsi="Times New Roman" w:cs="Times New Roman"/>
          <w:sz w:val="24"/>
          <w:szCs w:val="24"/>
          <w:lang w:eastAsia="bg-BG"/>
        </w:rPr>
        <w:t>м</w:t>
      </w:r>
      <w:r w:rsidR="0055322A" w:rsidRPr="00DA6E8E">
        <w:rPr>
          <w:rFonts w:ascii="Times New Roman" w:hAnsi="Times New Roman" w:cs="Times New Roman"/>
          <w:sz w:val="24"/>
          <w:szCs w:val="24"/>
          <w:lang w:eastAsia="bg-BG"/>
        </w:rPr>
        <w:t xml:space="preserve">иоцен и </w:t>
      </w:r>
      <w:r w:rsidR="003056D9" w:rsidRPr="00DA6E8E">
        <w:rPr>
          <w:rFonts w:ascii="Times New Roman" w:hAnsi="Times New Roman" w:cs="Times New Roman"/>
          <w:sz w:val="24"/>
          <w:szCs w:val="24"/>
          <w:lang w:eastAsia="bg-BG"/>
        </w:rPr>
        <w:t>п</w:t>
      </w:r>
      <w:r w:rsidR="0055322A" w:rsidRPr="00DA6E8E">
        <w:rPr>
          <w:rFonts w:ascii="Times New Roman" w:hAnsi="Times New Roman" w:cs="Times New Roman"/>
          <w:sz w:val="24"/>
          <w:szCs w:val="24"/>
          <w:lang w:eastAsia="bg-BG"/>
        </w:rPr>
        <w:t xml:space="preserve">лиоцена започва отлагане на нови седиментни комплекси, което създава условия за протичане на елизионни процеси най-вече във водоносните хоризонти под ерозионната повърхнина. </w:t>
      </w:r>
    </w:p>
    <w:p w14:paraId="1B02C883" w14:textId="3311E5E7" w:rsidR="0055322A" w:rsidRPr="00A1696A" w:rsidRDefault="0055322A"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Съвременните хидрогеоложки условия може да се оценят по информацията от сондажите в района</w:t>
      </w:r>
      <w:r w:rsidR="002026CE" w:rsidRPr="00A1696A">
        <w:rPr>
          <w:rFonts w:ascii="Times New Roman" w:hAnsi="Times New Roman" w:cs="Times New Roman"/>
          <w:sz w:val="24"/>
          <w:szCs w:val="24"/>
          <w:lang w:eastAsia="bg-BG"/>
        </w:rPr>
        <w:t xml:space="preserve"> (Антонов и Данчев, 1980)</w:t>
      </w:r>
      <w:r w:rsidRPr="00A1696A">
        <w:rPr>
          <w:rFonts w:ascii="Times New Roman" w:hAnsi="Times New Roman" w:cs="Times New Roman"/>
          <w:sz w:val="24"/>
          <w:szCs w:val="24"/>
          <w:lang w:eastAsia="bg-BG"/>
        </w:rPr>
        <w:t>, доколкото тя е представителна, и по публикуваните данни на Басейнова дирекция. В района на изследване има дефинирани няколко водни тела в хоризонти с различна възраст</w:t>
      </w:r>
      <w:r w:rsidR="002026CE" w:rsidRPr="00A1696A">
        <w:rPr>
          <w:rFonts w:ascii="Times New Roman" w:hAnsi="Times New Roman" w:cs="Times New Roman"/>
          <w:sz w:val="24"/>
          <w:szCs w:val="24"/>
          <w:lang w:eastAsia="bg-BG"/>
        </w:rPr>
        <w:t xml:space="preserve"> (Гонтарь, 1998)</w:t>
      </w:r>
      <w:r w:rsidR="00071612" w:rsidRPr="00A1696A">
        <w:rPr>
          <w:rFonts w:ascii="Times New Roman" w:hAnsi="Times New Roman" w:cs="Times New Roman"/>
          <w:sz w:val="24"/>
          <w:szCs w:val="24"/>
          <w:lang w:eastAsia="bg-BG"/>
        </w:rPr>
        <w:t>: в</w:t>
      </w:r>
      <w:r w:rsidRPr="00A1696A">
        <w:rPr>
          <w:rFonts w:ascii="Times New Roman" w:hAnsi="Times New Roman" w:cs="Times New Roman"/>
          <w:sz w:val="24"/>
          <w:szCs w:val="24"/>
          <w:lang w:eastAsia="bg-BG"/>
        </w:rPr>
        <w:t xml:space="preserve">одното тяло от порови води в кватернера заема единствено площта </w:t>
      </w:r>
      <w:r w:rsidR="00615C53">
        <w:rPr>
          <w:rFonts w:ascii="Times New Roman" w:hAnsi="Times New Roman" w:cs="Times New Roman"/>
          <w:sz w:val="24"/>
          <w:szCs w:val="24"/>
          <w:lang w:eastAsia="bg-BG"/>
        </w:rPr>
        <w:t xml:space="preserve">по </w:t>
      </w:r>
      <w:r w:rsidR="00071612" w:rsidRPr="00A1696A">
        <w:rPr>
          <w:rFonts w:ascii="Times New Roman" w:hAnsi="Times New Roman" w:cs="Times New Roman"/>
          <w:sz w:val="24"/>
          <w:szCs w:val="24"/>
          <w:lang w:eastAsia="bg-BG"/>
        </w:rPr>
        <w:t>течение</w:t>
      </w:r>
      <w:r w:rsidR="00615C53">
        <w:rPr>
          <w:rFonts w:ascii="Times New Roman" w:hAnsi="Times New Roman" w:cs="Times New Roman"/>
          <w:sz w:val="24"/>
          <w:szCs w:val="24"/>
          <w:lang w:eastAsia="bg-BG"/>
        </w:rPr>
        <w:t>то</w:t>
      </w:r>
      <w:r w:rsidR="00071612" w:rsidRPr="00A1696A">
        <w:rPr>
          <w:rFonts w:ascii="Times New Roman" w:hAnsi="Times New Roman" w:cs="Times New Roman"/>
          <w:sz w:val="24"/>
          <w:szCs w:val="24"/>
          <w:lang w:eastAsia="bg-BG"/>
        </w:rPr>
        <w:t xml:space="preserve"> на р. Марица; п</w:t>
      </w:r>
      <w:r w:rsidRPr="00A1696A">
        <w:rPr>
          <w:rFonts w:ascii="Times New Roman" w:hAnsi="Times New Roman" w:cs="Times New Roman"/>
          <w:sz w:val="24"/>
          <w:szCs w:val="24"/>
          <w:lang w:eastAsia="bg-BG"/>
        </w:rPr>
        <w:t>одземното водно тяло от порови води в неогена е разположено в скалите от Ахматовска свита</w:t>
      </w:r>
      <w:r w:rsidR="00071612" w:rsidRPr="00A1696A">
        <w:rPr>
          <w:rFonts w:ascii="Times New Roman" w:hAnsi="Times New Roman" w:cs="Times New Roman"/>
          <w:sz w:val="24"/>
          <w:szCs w:val="24"/>
          <w:lang w:eastAsia="bg-BG"/>
        </w:rPr>
        <w:t>; п</w:t>
      </w:r>
      <w:r w:rsidRPr="00A1696A">
        <w:rPr>
          <w:rFonts w:ascii="Times New Roman" w:hAnsi="Times New Roman" w:cs="Times New Roman"/>
          <w:sz w:val="24"/>
          <w:szCs w:val="24"/>
          <w:lang w:eastAsia="bg-BG"/>
        </w:rPr>
        <w:t>одземното водно тяло от пукнатинни води е разположено в най-северната част на изследвания район в разпокъсани разкрития на палеогенските скали.</w:t>
      </w:r>
    </w:p>
    <w:p w14:paraId="02C05153" w14:textId="4420E1BE" w:rsidR="0055322A" w:rsidRPr="00A1696A" w:rsidRDefault="0055322A" w:rsidP="00BF1AC9">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 xml:space="preserve">В дълбочина по сондажни данни от </w:t>
      </w:r>
      <w:r w:rsidR="00615C53">
        <w:rPr>
          <w:rFonts w:ascii="Times New Roman" w:hAnsi="Times New Roman" w:cs="Times New Roman"/>
          <w:sz w:val="24"/>
          <w:szCs w:val="24"/>
          <w:lang w:eastAsia="bg-BG"/>
        </w:rPr>
        <w:t xml:space="preserve">сондажи </w:t>
      </w:r>
      <w:r w:rsidRPr="00A1696A">
        <w:rPr>
          <w:rFonts w:ascii="Times New Roman" w:hAnsi="Times New Roman" w:cs="Times New Roman"/>
          <w:sz w:val="24"/>
          <w:szCs w:val="24"/>
          <w:lang w:eastAsia="bg-BG"/>
        </w:rPr>
        <w:t xml:space="preserve">Р-1 Свиленград и С-3 Капитан Андреево </w:t>
      </w:r>
      <w:r w:rsidR="00071612" w:rsidRPr="00A1696A">
        <w:rPr>
          <w:rFonts w:ascii="Times New Roman" w:hAnsi="Times New Roman" w:cs="Times New Roman"/>
          <w:sz w:val="24"/>
          <w:szCs w:val="24"/>
          <w:lang w:eastAsia="bg-BG"/>
        </w:rPr>
        <w:t xml:space="preserve">се получава информация за </w:t>
      </w:r>
      <w:r w:rsidRPr="00A1696A">
        <w:rPr>
          <w:rFonts w:ascii="Times New Roman" w:hAnsi="Times New Roman" w:cs="Times New Roman"/>
          <w:sz w:val="24"/>
          <w:szCs w:val="24"/>
          <w:lang w:eastAsia="bg-BG"/>
        </w:rPr>
        <w:t>съществуването на водоносни хоризонти и комплекси</w:t>
      </w:r>
      <w:r w:rsidR="00071612"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w:t>
      </w:r>
      <w:r w:rsidRPr="00A1696A">
        <w:rPr>
          <w:rFonts w:ascii="Times New Roman" w:hAnsi="Times New Roman" w:cs="Times New Roman"/>
          <w:i/>
          <w:sz w:val="24"/>
          <w:szCs w:val="24"/>
          <w:lang w:eastAsia="bg-BG"/>
        </w:rPr>
        <w:t>титонски водоносен комплекс</w:t>
      </w:r>
      <w:r w:rsidRPr="00A1696A">
        <w:rPr>
          <w:rFonts w:ascii="Times New Roman" w:hAnsi="Times New Roman" w:cs="Times New Roman"/>
          <w:sz w:val="24"/>
          <w:szCs w:val="24"/>
          <w:lang w:eastAsia="bg-BG"/>
        </w:rPr>
        <w:t xml:space="preserve">, </w:t>
      </w:r>
      <w:r w:rsidR="00071612" w:rsidRPr="00A1696A">
        <w:rPr>
          <w:rFonts w:ascii="Times New Roman" w:hAnsi="Times New Roman" w:cs="Times New Roman"/>
          <w:sz w:val="24"/>
          <w:szCs w:val="24"/>
          <w:lang w:eastAsia="bg-BG"/>
        </w:rPr>
        <w:t>който</w:t>
      </w:r>
      <w:r w:rsidRPr="00A1696A">
        <w:rPr>
          <w:rFonts w:ascii="Times New Roman" w:hAnsi="Times New Roman" w:cs="Times New Roman"/>
          <w:sz w:val="24"/>
          <w:szCs w:val="24"/>
          <w:lang w:eastAsia="bg-BG"/>
        </w:rPr>
        <w:t xml:space="preserve"> се смята за нискодебитен и по хидродинамичните си свойства този разрез се определя като екраниращ тип скали</w:t>
      </w:r>
      <w:r w:rsidR="00071612" w:rsidRPr="00A1696A">
        <w:rPr>
          <w:rFonts w:ascii="Times New Roman" w:hAnsi="Times New Roman" w:cs="Times New Roman"/>
          <w:sz w:val="24"/>
          <w:szCs w:val="24"/>
          <w:lang w:eastAsia="bg-BG"/>
        </w:rPr>
        <w:t xml:space="preserve">; </w:t>
      </w:r>
      <w:r w:rsidRPr="00A1696A">
        <w:rPr>
          <w:rFonts w:ascii="Times New Roman" w:hAnsi="Times New Roman" w:cs="Times New Roman"/>
          <w:i/>
          <w:sz w:val="24"/>
          <w:szCs w:val="24"/>
          <w:lang w:eastAsia="bg-BG"/>
        </w:rPr>
        <w:t>горноеоценски седиментен комплекс</w:t>
      </w:r>
      <w:r w:rsidR="00071612"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обособява</w:t>
      </w:r>
      <w:r w:rsidR="00071612" w:rsidRPr="00A1696A">
        <w:rPr>
          <w:rFonts w:ascii="Times New Roman" w:hAnsi="Times New Roman" w:cs="Times New Roman"/>
          <w:sz w:val="24"/>
          <w:szCs w:val="24"/>
          <w:lang w:eastAsia="bg-BG"/>
        </w:rPr>
        <w:t>щ</w:t>
      </w:r>
      <w:r w:rsidRPr="00A1696A">
        <w:rPr>
          <w:rFonts w:ascii="Times New Roman" w:hAnsi="Times New Roman" w:cs="Times New Roman"/>
          <w:sz w:val="24"/>
          <w:szCs w:val="24"/>
          <w:lang w:eastAsia="bg-BG"/>
        </w:rPr>
        <w:t xml:space="preserve"> отделни </w:t>
      </w:r>
      <w:r w:rsidRPr="00615C53">
        <w:rPr>
          <w:rFonts w:ascii="Times New Roman" w:hAnsi="Times New Roman" w:cs="Times New Roman"/>
          <w:sz w:val="24"/>
          <w:szCs w:val="24"/>
          <w:lang w:eastAsia="bg-BG"/>
        </w:rPr>
        <w:t>неиздържани водоносни хоризонт</w:t>
      </w:r>
      <w:r w:rsidR="001846B3" w:rsidRPr="00615C53">
        <w:rPr>
          <w:rFonts w:ascii="Times New Roman" w:hAnsi="Times New Roman" w:cs="Times New Roman"/>
          <w:sz w:val="24"/>
          <w:szCs w:val="24"/>
          <w:lang w:eastAsia="bg-BG"/>
        </w:rPr>
        <w:t>и</w:t>
      </w:r>
      <w:r w:rsidRPr="00A1696A">
        <w:rPr>
          <w:rFonts w:ascii="Times New Roman" w:hAnsi="Times New Roman" w:cs="Times New Roman"/>
          <w:sz w:val="24"/>
          <w:szCs w:val="24"/>
          <w:lang w:eastAsia="bg-BG"/>
        </w:rPr>
        <w:t>, които са с близка хидродинамична характеристика и химичен състав на водите. По хидродинамичните си свойства се определят като напорни, а според литологията на вместващите ги скали се дефинират като поров тип води.</w:t>
      </w:r>
      <w:r w:rsidR="00BF1AC9"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Водите в скалите с </w:t>
      </w:r>
      <w:r w:rsidRPr="00A1696A">
        <w:rPr>
          <w:rFonts w:ascii="Times New Roman" w:hAnsi="Times New Roman" w:cs="Times New Roman"/>
          <w:i/>
          <w:sz w:val="24"/>
          <w:szCs w:val="24"/>
          <w:lang w:eastAsia="bg-BG"/>
        </w:rPr>
        <w:t>олигоценска възраст</w:t>
      </w:r>
      <w:r w:rsidRPr="00A1696A">
        <w:rPr>
          <w:rFonts w:ascii="Times New Roman" w:hAnsi="Times New Roman" w:cs="Times New Roman"/>
          <w:sz w:val="24"/>
          <w:szCs w:val="24"/>
          <w:lang w:eastAsia="bg-BG"/>
        </w:rPr>
        <w:t xml:space="preserve"> са акумулирани в пясъчно-алевролитовите пластове на горната теригенна серия от глинесто-мергелната задруга. По форма на залягане на водосъдържащите пластове те се явяват пластово-лещови, а по хидродинамичните си свойства – напорни води. Вследствие данни</w:t>
      </w:r>
      <w:r w:rsidR="00071612" w:rsidRPr="00A1696A">
        <w:rPr>
          <w:rFonts w:ascii="Times New Roman" w:hAnsi="Times New Roman" w:cs="Times New Roman"/>
          <w:sz w:val="24"/>
          <w:szCs w:val="24"/>
          <w:lang w:eastAsia="bg-BG"/>
        </w:rPr>
        <w:t xml:space="preserve">те от изпитанията в двата сондажа </w:t>
      </w:r>
      <w:r w:rsidR="00BF1AC9" w:rsidRPr="00A1696A">
        <w:rPr>
          <w:rFonts w:ascii="Times New Roman" w:hAnsi="Times New Roman" w:cs="Times New Roman"/>
          <w:sz w:val="24"/>
          <w:szCs w:val="24"/>
          <w:lang w:eastAsia="bg-BG"/>
        </w:rPr>
        <w:t>Р-1 Свиленград и С-3 Капитан Андреево</w:t>
      </w:r>
      <w:r w:rsidRPr="00A1696A">
        <w:rPr>
          <w:rFonts w:ascii="Times New Roman" w:hAnsi="Times New Roman" w:cs="Times New Roman"/>
          <w:sz w:val="24"/>
          <w:szCs w:val="24"/>
          <w:lang w:eastAsia="bg-BG"/>
        </w:rPr>
        <w:t xml:space="preserve">, може да се предположи, че вероятността на получен приток от вода е в резултат не на самостоятелно обособен водоносен хоризонт, а като проявление и увличане на свързана вода в пласта от газа. Между тези води и горноеоценския водоносен комплекс </w:t>
      </w:r>
      <w:r w:rsidRPr="00A1696A">
        <w:rPr>
          <w:rFonts w:ascii="Times New Roman" w:hAnsi="Times New Roman" w:cs="Times New Roman"/>
          <w:sz w:val="24"/>
          <w:szCs w:val="24"/>
          <w:lang w:eastAsia="bg-BG"/>
        </w:rPr>
        <w:lastRenderedPageBreak/>
        <w:t>съществува добра изолация от скалите на теригенно-карбонатната серия на глинесто-мергелната задруга.</w:t>
      </w:r>
      <w:r w:rsidR="00BF1AC9" w:rsidRPr="00A1696A">
        <w:rPr>
          <w:rFonts w:ascii="Times New Roman" w:hAnsi="Times New Roman" w:cs="Times New Roman"/>
          <w:sz w:val="24"/>
          <w:szCs w:val="24"/>
          <w:lang w:eastAsia="bg-BG"/>
        </w:rPr>
        <w:t xml:space="preserve"> </w:t>
      </w:r>
    </w:p>
    <w:p w14:paraId="410350A6" w14:textId="248EE856" w:rsidR="0055322A" w:rsidRPr="00A1696A" w:rsidRDefault="0055322A" w:rsidP="006B6EBF">
      <w:pPr>
        <w:spacing w:after="0" w:line="240" w:lineRule="auto"/>
        <w:ind w:firstLine="709"/>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 xml:space="preserve">Описаната хидродинамична и хидрохимична обстановка дава основание да се предполага, че относително благоприятни са: Хидрокарбонатно-натриевите води с висока минерализация, считани за косвен признак за нефтогазоносност; </w:t>
      </w:r>
      <w:r w:rsidRPr="00702DCC">
        <w:rPr>
          <w:rFonts w:ascii="Times New Roman" w:hAnsi="Times New Roman" w:cs="Times New Roman"/>
          <w:sz w:val="24"/>
          <w:szCs w:val="24"/>
          <w:lang w:eastAsia="bg-BG"/>
        </w:rPr>
        <w:t>Палеохидродинамичните</w:t>
      </w:r>
      <w:r w:rsidRPr="00A1696A">
        <w:rPr>
          <w:rFonts w:ascii="Times New Roman" w:hAnsi="Times New Roman" w:cs="Times New Roman"/>
          <w:sz w:val="24"/>
          <w:szCs w:val="24"/>
          <w:lang w:eastAsia="bg-BG"/>
        </w:rPr>
        <w:t xml:space="preserve"> условия в периодите на протичане на елизионни процеси; Съвременните хидродинамични условия на водоносните хоризонти в скалите с олигоценска и </w:t>
      </w:r>
      <w:r w:rsidR="00035EFF" w:rsidRPr="00A1696A">
        <w:rPr>
          <w:rFonts w:ascii="Times New Roman" w:hAnsi="Times New Roman" w:cs="Times New Roman"/>
          <w:sz w:val="24"/>
          <w:szCs w:val="24"/>
          <w:lang w:eastAsia="bg-BG"/>
        </w:rPr>
        <w:t>късно</w:t>
      </w:r>
      <w:r w:rsidRPr="00A1696A">
        <w:rPr>
          <w:rFonts w:ascii="Times New Roman" w:hAnsi="Times New Roman" w:cs="Times New Roman"/>
          <w:sz w:val="24"/>
          <w:szCs w:val="24"/>
          <w:lang w:eastAsia="bg-BG"/>
        </w:rPr>
        <w:t xml:space="preserve">еоценска възраст, способстващи запазването на ВВ акумулации в централните части на изучавания район; Наличието на изолиращ комплекс между водоносните комплекси с олигоценска и </w:t>
      </w:r>
      <w:r w:rsidR="00035EFF" w:rsidRPr="00A1696A">
        <w:rPr>
          <w:rFonts w:ascii="Times New Roman" w:hAnsi="Times New Roman" w:cs="Times New Roman"/>
          <w:sz w:val="24"/>
          <w:szCs w:val="24"/>
          <w:lang w:eastAsia="bg-BG"/>
        </w:rPr>
        <w:t>къс</w:t>
      </w:r>
      <w:r w:rsidRPr="00A1696A">
        <w:rPr>
          <w:rFonts w:ascii="Times New Roman" w:hAnsi="Times New Roman" w:cs="Times New Roman"/>
          <w:sz w:val="24"/>
          <w:szCs w:val="24"/>
          <w:lang w:eastAsia="bg-BG"/>
        </w:rPr>
        <w:t xml:space="preserve">ноеоценска възраст. Неблагоприятни са: </w:t>
      </w:r>
      <w:r w:rsidR="00A2361B" w:rsidRPr="00A1696A">
        <w:rPr>
          <w:rFonts w:ascii="Times New Roman" w:hAnsi="Times New Roman" w:cs="Times New Roman"/>
          <w:sz w:val="24"/>
          <w:szCs w:val="24"/>
          <w:lang w:eastAsia="bg-BG"/>
        </w:rPr>
        <w:t>п</w:t>
      </w:r>
      <w:r w:rsidRPr="00A1696A">
        <w:rPr>
          <w:rFonts w:ascii="Times New Roman" w:hAnsi="Times New Roman" w:cs="Times New Roman"/>
          <w:sz w:val="24"/>
          <w:szCs w:val="24"/>
          <w:lang w:eastAsia="bg-BG"/>
        </w:rPr>
        <w:t xml:space="preserve">алеохидродинамичните условия в периодите на тектонско издигане на вместващите седиментни комплекси; </w:t>
      </w:r>
      <w:r w:rsidR="00A2361B" w:rsidRPr="00A1696A">
        <w:rPr>
          <w:rFonts w:ascii="Times New Roman" w:hAnsi="Times New Roman" w:cs="Times New Roman"/>
          <w:sz w:val="24"/>
          <w:szCs w:val="24"/>
          <w:lang w:eastAsia="bg-BG"/>
        </w:rPr>
        <w:t>р</w:t>
      </w:r>
      <w:r w:rsidRPr="00A1696A">
        <w:rPr>
          <w:rFonts w:ascii="Times New Roman" w:hAnsi="Times New Roman" w:cs="Times New Roman"/>
          <w:sz w:val="24"/>
          <w:szCs w:val="24"/>
          <w:lang w:eastAsia="bg-BG"/>
        </w:rPr>
        <w:t>иск</w:t>
      </w:r>
      <w:r w:rsidR="00A2361B" w:rsidRPr="00A1696A">
        <w:rPr>
          <w:rFonts w:ascii="Times New Roman" w:hAnsi="Times New Roman" w:cs="Times New Roman"/>
          <w:sz w:val="24"/>
          <w:szCs w:val="24"/>
          <w:lang w:eastAsia="bg-BG"/>
        </w:rPr>
        <w:t>ът</w:t>
      </w:r>
      <w:r w:rsidRPr="00A1696A">
        <w:rPr>
          <w:rFonts w:ascii="Times New Roman" w:hAnsi="Times New Roman" w:cs="Times New Roman"/>
          <w:sz w:val="24"/>
          <w:szCs w:val="24"/>
          <w:lang w:eastAsia="bg-BG"/>
        </w:rPr>
        <w:t xml:space="preserve"> от протичане на инфилтрационни процеси в горноеоценските водоносни хоризонти в местата на разкрития на скалите на повърхността в най-северния край на изучавания район и риск</w:t>
      </w:r>
      <w:r w:rsidR="00A2361B" w:rsidRPr="00A1696A">
        <w:rPr>
          <w:rFonts w:ascii="Times New Roman" w:hAnsi="Times New Roman" w:cs="Times New Roman"/>
          <w:sz w:val="24"/>
          <w:szCs w:val="24"/>
          <w:lang w:eastAsia="bg-BG"/>
        </w:rPr>
        <w:t>ът</w:t>
      </w:r>
      <w:r w:rsidRPr="00A1696A">
        <w:rPr>
          <w:rFonts w:ascii="Times New Roman" w:hAnsi="Times New Roman" w:cs="Times New Roman"/>
          <w:sz w:val="24"/>
          <w:szCs w:val="24"/>
          <w:lang w:eastAsia="bg-BG"/>
        </w:rPr>
        <w:t xml:space="preserve"> от съществуване на хидродинамична връзка с водоносните хоризонти в централната му част.</w:t>
      </w:r>
    </w:p>
    <w:bookmarkEnd w:id="87"/>
    <w:p w14:paraId="3739BB89" w14:textId="77777777" w:rsidR="0055322A" w:rsidRPr="00A1696A" w:rsidRDefault="0055322A" w:rsidP="006B6EBF">
      <w:pPr>
        <w:spacing w:after="0" w:line="240" w:lineRule="auto"/>
        <w:ind w:firstLine="709"/>
        <w:jc w:val="both"/>
        <w:rPr>
          <w:rFonts w:ascii="Times New Roman" w:hAnsi="Times New Roman" w:cs="Times New Roman"/>
          <w:sz w:val="24"/>
          <w:szCs w:val="24"/>
          <w:lang w:eastAsia="bg-BG"/>
        </w:rPr>
      </w:pPr>
    </w:p>
    <w:p w14:paraId="18DCF959" w14:textId="3C799EB0" w:rsidR="000E705B" w:rsidRPr="00A1696A" w:rsidRDefault="000E705B" w:rsidP="006B6EBF">
      <w:pPr>
        <w:pStyle w:val="Style1"/>
        <w:ind w:left="0" w:firstLine="709"/>
        <w:jc w:val="both"/>
        <w:rPr>
          <w:lang w:val="bg-BG"/>
        </w:rPr>
      </w:pPr>
      <w:bookmarkStart w:id="88" w:name="_Toc7820647"/>
      <w:bookmarkStart w:id="89" w:name="_Hlk7801036"/>
      <w:r w:rsidRPr="00A1696A">
        <w:rPr>
          <w:lang w:val="bg-BG"/>
        </w:rPr>
        <w:t>4.</w:t>
      </w:r>
      <w:r w:rsidR="001846B3" w:rsidRPr="00A1696A">
        <w:rPr>
          <w:lang w:val="bg-BG"/>
        </w:rPr>
        <w:t>5</w:t>
      </w:r>
      <w:r w:rsidRPr="00A1696A">
        <w:rPr>
          <w:lang w:val="bg-BG"/>
        </w:rPr>
        <w:t xml:space="preserve">. Оценка на въглеводородо-генерационния потенциал на скалите </w:t>
      </w:r>
      <w:r w:rsidR="003B57C3" w:rsidRPr="00A1696A">
        <w:rPr>
          <w:lang w:val="bg-BG"/>
        </w:rPr>
        <w:t>и характеристика на степента на зрялост на ОВ</w:t>
      </w:r>
      <w:bookmarkEnd w:id="88"/>
    </w:p>
    <w:p w14:paraId="006797F5" w14:textId="737BF605" w:rsidR="00513A69" w:rsidRPr="00DA6E8E" w:rsidRDefault="00513A69" w:rsidP="00DA6E8E">
      <w:pPr>
        <w:spacing w:after="0" w:line="240" w:lineRule="auto"/>
        <w:ind w:firstLine="709"/>
        <w:jc w:val="both"/>
        <w:rPr>
          <w:rFonts w:ascii="Times New Roman" w:hAnsi="Times New Roman" w:cs="Times New Roman"/>
          <w:b/>
          <w:i/>
          <w:color w:val="000000"/>
          <w:sz w:val="24"/>
          <w:szCs w:val="24"/>
        </w:rPr>
      </w:pPr>
      <w:r w:rsidRPr="00DA6E8E">
        <w:rPr>
          <w:rFonts w:ascii="Times New Roman" w:hAnsi="Times New Roman" w:cs="Times New Roman"/>
          <w:b/>
          <w:i/>
          <w:color w:val="000000"/>
          <w:sz w:val="24"/>
          <w:szCs w:val="24"/>
        </w:rPr>
        <w:t>4.</w:t>
      </w:r>
      <w:r w:rsidR="001846B3" w:rsidRPr="00DA6E8E">
        <w:rPr>
          <w:rFonts w:ascii="Times New Roman" w:hAnsi="Times New Roman" w:cs="Times New Roman"/>
          <w:b/>
          <w:i/>
          <w:color w:val="000000"/>
          <w:sz w:val="24"/>
          <w:szCs w:val="24"/>
        </w:rPr>
        <w:t>5</w:t>
      </w:r>
      <w:r w:rsidRPr="00DA6E8E">
        <w:rPr>
          <w:rFonts w:ascii="Times New Roman" w:hAnsi="Times New Roman" w:cs="Times New Roman"/>
          <w:b/>
          <w:i/>
          <w:color w:val="000000"/>
          <w:sz w:val="24"/>
          <w:szCs w:val="24"/>
        </w:rPr>
        <w:t>.1. Интерпретация на резултатите от RockEval изследванията</w:t>
      </w:r>
    </w:p>
    <w:p w14:paraId="75F420D9" w14:textId="0BF42D56" w:rsidR="001846B3" w:rsidRDefault="00513A69" w:rsidP="001846B3">
      <w:pPr>
        <w:spacing w:after="0" w:line="240" w:lineRule="auto"/>
        <w:ind w:firstLine="709"/>
        <w:jc w:val="both"/>
        <w:rPr>
          <w:rFonts w:ascii="Times New Roman" w:hAnsi="Times New Roman" w:cs="Times New Roman"/>
          <w:color w:val="000000"/>
          <w:sz w:val="24"/>
          <w:szCs w:val="24"/>
        </w:rPr>
      </w:pPr>
      <w:r w:rsidRPr="00A1696A">
        <w:rPr>
          <w:rFonts w:ascii="Times New Roman" w:hAnsi="Times New Roman" w:cs="Times New Roman"/>
          <w:color w:val="000000"/>
          <w:sz w:val="24"/>
          <w:szCs w:val="24"/>
        </w:rPr>
        <w:t xml:space="preserve">Получените резултати от тези изследвания дават основание да </w:t>
      </w:r>
      <w:r w:rsidR="006B080C" w:rsidRPr="00A1696A">
        <w:rPr>
          <w:rFonts w:ascii="Times New Roman" w:hAnsi="Times New Roman" w:cs="Times New Roman"/>
          <w:color w:val="000000"/>
          <w:sz w:val="24"/>
          <w:szCs w:val="24"/>
        </w:rPr>
        <w:t xml:space="preserve">се </w:t>
      </w:r>
      <w:r w:rsidRPr="00A1696A">
        <w:rPr>
          <w:rFonts w:ascii="Times New Roman" w:hAnsi="Times New Roman" w:cs="Times New Roman"/>
          <w:color w:val="000000"/>
          <w:sz w:val="24"/>
          <w:szCs w:val="24"/>
        </w:rPr>
        <w:t xml:space="preserve">направи анализ на генерационния потенциал на скалите, които биха играли ролята на генериращи комплекси в </w:t>
      </w:r>
      <w:r w:rsidR="001F0BFE" w:rsidRPr="00A1696A">
        <w:rPr>
          <w:rFonts w:ascii="Times New Roman" w:hAnsi="Times New Roman" w:cs="Times New Roman"/>
          <w:color w:val="000000"/>
          <w:sz w:val="24"/>
          <w:szCs w:val="24"/>
        </w:rPr>
        <w:t xml:space="preserve">терциерния </w:t>
      </w:r>
      <w:r w:rsidRPr="00A1696A">
        <w:rPr>
          <w:rFonts w:ascii="Times New Roman" w:hAnsi="Times New Roman" w:cs="Times New Roman"/>
          <w:color w:val="000000"/>
          <w:sz w:val="24"/>
          <w:szCs w:val="24"/>
        </w:rPr>
        <w:t>седимен</w:t>
      </w:r>
      <w:r w:rsidR="001F0BFE" w:rsidRPr="00A1696A">
        <w:rPr>
          <w:rFonts w:ascii="Times New Roman" w:hAnsi="Times New Roman" w:cs="Times New Roman"/>
          <w:color w:val="000000"/>
          <w:sz w:val="24"/>
          <w:szCs w:val="24"/>
        </w:rPr>
        <w:t>тен</w:t>
      </w:r>
      <w:r w:rsidRPr="00A1696A">
        <w:rPr>
          <w:rFonts w:ascii="Times New Roman" w:hAnsi="Times New Roman" w:cs="Times New Roman"/>
          <w:color w:val="000000"/>
          <w:sz w:val="24"/>
          <w:szCs w:val="24"/>
        </w:rPr>
        <w:t xml:space="preserve"> разрез (</w:t>
      </w:r>
      <w:r w:rsidR="006B080C" w:rsidRPr="00A1696A">
        <w:rPr>
          <w:rFonts w:ascii="Times New Roman" w:hAnsi="Times New Roman" w:cs="Times New Roman"/>
          <w:color w:val="000000"/>
          <w:sz w:val="24"/>
          <w:szCs w:val="24"/>
        </w:rPr>
        <w:t>Палакарчева и Стефанова, 2013</w:t>
      </w:r>
      <w:r w:rsidRPr="00A1696A">
        <w:rPr>
          <w:rFonts w:ascii="Times New Roman" w:hAnsi="Times New Roman" w:cs="Times New Roman"/>
          <w:color w:val="000000"/>
          <w:sz w:val="24"/>
          <w:szCs w:val="24"/>
        </w:rPr>
        <w:t>).</w:t>
      </w:r>
      <w:r w:rsidR="00C37D5F" w:rsidRPr="00A1696A">
        <w:rPr>
          <w:rFonts w:ascii="Times New Roman" w:hAnsi="Times New Roman" w:cs="Times New Roman"/>
          <w:color w:val="000000"/>
          <w:sz w:val="24"/>
          <w:szCs w:val="24"/>
        </w:rPr>
        <w:t xml:space="preserve"> </w:t>
      </w:r>
      <w:r w:rsidR="001F0BFE" w:rsidRPr="00A1696A">
        <w:rPr>
          <w:rFonts w:ascii="Times New Roman" w:hAnsi="Times New Roman" w:cs="Times New Roman"/>
          <w:color w:val="000000"/>
          <w:sz w:val="24"/>
          <w:szCs w:val="24"/>
        </w:rPr>
        <w:t>За част от изследваните образци са получени сравнително добри стойности по всички параметри (табл. 1)</w:t>
      </w:r>
      <w:r w:rsidR="00C37D5F" w:rsidRPr="00A1696A">
        <w:rPr>
          <w:rFonts w:ascii="Times New Roman" w:hAnsi="Times New Roman" w:cs="Times New Roman"/>
          <w:color w:val="000000"/>
          <w:sz w:val="24"/>
          <w:szCs w:val="24"/>
        </w:rPr>
        <w:t xml:space="preserve">. </w:t>
      </w:r>
      <w:r w:rsidR="001846B3" w:rsidRPr="00A1696A">
        <w:rPr>
          <w:rFonts w:ascii="Times New Roman" w:hAnsi="Times New Roman" w:cs="Times New Roman"/>
          <w:color w:val="000000"/>
          <w:sz w:val="24"/>
          <w:szCs w:val="24"/>
        </w:rPr>
        <w:t>Съдържанието на С</w:t>
      </w:r>
      <w:r w:rsidR="001846B3" w:rsidRPr="00A1696A">
        <w:rPr>
          <w:rFonts w:ascii="Times New Roman" w:hAnsi="Times New Roman" w:cs="Times New Roman"/>
          <w:color w:val="000000"/>
          <w:sz w:val="24"/>
          <w:szCs w:val="24"/>
          <w:vertAlign w:val="subscript"/>
        </w:rPr>
        <w:t>орг</w:t>
      </w:r>
      <w:r w:rsidR="001846B3" w:rsidRPr="00A1696A">
        <w:rPr>
          <w:rFonts w:ascii="Times New Roman" w:hAnsi="Times New Roman" w:cs="Times New Roman"/>
          <w:color w:val="000000"/>
          <w:sz w:val="24"/>
          <w:szCs w:val="24"/>
        </w:rPr>
        <w:t xml:space="preserve"> в голяма част от изследваните проби от сондажна ядка е над 0,5%, а в една от тях количеството на С</w:t>
      </w:r>
      <w:r w:rsidR="001846B3" w:rsidRPr="00A1696A">
        <w:rPr>
          <w:rFonts w:ascii="Times New Roman" w:hAnsi="Times New Roman" w:cs="Times New Roman"/>
          <w:color w:val="000000"/>
          <w:sz w:val="24"/>
          <w:szCs w:val="24"/>
          <w:vertAlign w:val="subscript"/>
        </w:rPr>
        <w:t>орг</w:t>
      </w:r>
      <w:r w:rsidR="001846B3" w:rsidRPr="00A1696A">
        <w:rPr>
          <w:rFonts w:ascii="Times New Roman" w:hAnsi="Times New Roman" w:cs="Times New Roman"/>
          <w:color w:val="000000"/>
          <w:sz w:val="24"/>
          <w:szCs w:val="24"/>
        </w:rPr>
        <w:t xml:space="preserve"> (TOC – </w:t>
      </w:r>
      <w:r w:rsidR="001846B3" w:rsidRPr="00A1696A">
        <w:rPr>
          <w:rFonts w:ascii="Times New Roman" w:hAnsi="Times New Roman" w:cs="Times New Roman"/>
          <w:color w:val="000000"/>
          <w:sz w:val="24"/>
          <w:szCs w:val="24"/>
          <w:u w:val="single"/>
        </w:rPr>
        <w:t>T</w:t>
      </w:r>
      <w:r w:rsidR="001846B3" w:rsidRPr="00A1696A">
        <w:rPr>
          <w:rFonts w:ascii="Times New Roman" w:hAnsi="Times New Roman" w:cs="Times New Roman"/>
          <w:color w:val="000000"/>
          <w:sz w:val="24"/>
          <w:szCs w:val="24"/>
        </w:rPr>
        <w:t xml:space="preserve">otal </w:t>
      </w:r>
      <w:r w:rsidR="001846B3" w:rsidRPr="00A1696A">
        <w:rPr>
          <w:rFonts w:ascii="Times New Roman" w:hAnsi="Times New Roman" w:cs="Times New Roman"/>
          <w:color w:val="000000"/>
          <w:sz w:val="24"/>
          <w:szCs w:val="24"/>
          <w:u w:val="single"/>
        </w:rPr>
        <w:t>O</w:t>
      </w:r>
      <w:r w:rsidR="001846B3" w:rsidRPr="00A1696A">
        <w:rPr>
          <w:rFonts w:ascii="Times New Roman" w:hAnsi="Times New Roman" w:cs="Times New Roman"/>
          <w:color w:val="000000"/>
          <w:sz w:val="24"/>
          <w:szCs w:val="24"/>
        </w:rPr>
        <w:t xml:space="preserve">rganic </w:t>
      </w:r>
      <w:r w:rsidR="001846B3" w:rsidRPr="00A1696A">
        <w:rPr>
          <w:rFonts w:ascii="Times New Roman" w:hAnsi="Times New Roman" w:cs="Times New Roman"/>
          <w:color w:val="000000"/>
          <w:sz w:val="24"/>
          <w:szCs w:val="24"/>
          <w:u w:val="single"/>
        </w:rPr>
        <w:t>C</w:t>
      </w:r>
      <w:r w:rsidR="001846B3" w:rsidRPr="00A1696A">
        <w:rPr>
          <w:rFonts w:ascii="Times New Roman" w:hAnsi="Times New Roman" w:cs="Times New Roman"/>
          <w:color w:val="000000"/>
          <w:sz w:val="24"/>
          <w:szCs w:val="24"/>
        </w:rPr>
        <w:t>arbon) достига до 2,31%, което според приетите класификации (Тиссо и Вельте, 1981; Peters and Cassa, 1994) може да се оцени като скала с богато съдържание на С</w:t>
      </w:r>
      <w:r w:rsidR="001846B3" w:rsidRPr="00A1696A">
        <w:rPr>
          <w:rFonts w:ascii="Times New Roman" w:hAnsi="Times New Roman" w:cs="Times New Roman"/>
          <w:color w:val="000000"/>
          <w:sz w:val="24"/>
          <w:szCs w:val="24"/>
          <w:vertAlign w:val="subscript"/>
        </w:rPr>
        <w:t>орг</w:t>
      </w:r>
      <w:r w:rsidR="001846B3" w:rsidRPr="00A1696A">
        <w:rPr>
          <w:rFonts w:ascii="Times New Roman" w:hAnsi="Times New Roman" w:cs="Times New Roman"/>
          <w:color w:val="000000"/>
          <w:sz w:val="24"/>
          <w:szCs w:val="24"/>
        </w:rPr>
        <w:t>. Една част от изследваните образци от с</w:t>
      </w:r>
      <w:r w:rsidR="003056D9" w:rsidRPr="00A1696A">
        <w:rPr>
          <w:rFonts w:ascii="Times New Roman" w:hAnsi="Times New Roman" w:cs="Times New Roman"/>
          <w:color w:val="000000"/>
          <w:sz w:val="24"/>
          <w:szCs w:val="24"/>
        </w:rPr>
        <w:t>онда</w:t>
      </w:r>
      <w:r w:rsidR="001846B3" w:rsidRPr="00A1696A">
        <w:rPr>
          <w:rFonts w:ascii="Times New Roman" w:hAnsi="Times New Roman" w:cs="Times New Roman"/>
          <w:color w:val="000000"/>
          <w:sz w:val="24"/>
          <w:szCs w:val="24"/>
        </w:rPr>
        <w:t>ж Р-1 Свиленград, в интервалите които показват високо съдържание на С</w:t>
      </w:r>
      <w:r w:rsidR="001846B3" w:rsidRPr="00A1696A">
        <w:rPr>
          <w:rFonts w:ascii="Times New Roman" w:hAnsi="Times New Roman" w:cs="Times New Roman"/>
          <w:color w:val="000000"/>
          <w:sz w:val="24"/>
          <w:szCs w:val="24"/>
          <w:vertAlign w:val="subscript"/>
        </w:rPr>
        <w:t>орг</w:t>
      </w:r>
      <w:r w:rsidR="001846B3" w:rsidRPr="00A1696A">
        <w:rPr>
          <w:rFonts w:ascii="Times New Roman" w:hAnsi="Times New Roman" w:cs="Times New Roman"/>
          <w:color w:val="000000"/>
          <w:sz w:val="24"/>
          <w:szCs w:val="24"/>
        </w:rPr>
        <w:t>, се характеризират също и със задоволителен генерационен потенциал по параметъра S</w:t>
      </w:r>
      <w:r w:rsidR="001846B3" w:rsidRPr="00A1696A">
        <w:rPr>
          <w:rFonts w:ascii="Times New Roman" w:hAnsi="Times New Roman" w:cs="Times New Roman"/>
          <w:color w:val="000000"/>
          <w:sz w:val="24"/>
          <w:szCs w:val="24"/>
          <w:vertAlign w:val="subscript"/>
        </w:rPr>
        <w:t>1</w:t>
      </w:r>
      <w:r w:rsidR="001846B3" w:rsidRPr="00A1696A">
        <w:rPr>
          <w:rFonts w:ascii="Times New Roman" w:hAnsi="Times New Roman" w:cs="Times New Roman"/>
          <w:color w:val="000000"/>
          <w:sz w:val="24"/>
          <w:szCs w:val="24"/>
        </w:rPr>
        <w:t>+S</w:t>
      </w:r>
      <w:r w:rsidR="001846B3" w:rsidRPr="00A1696A">
        <w:rPr>
          <w:rFonts w:ascii="Times New Roman" w:hAnsi="Times New Roman" w:cs="Times New Roman"/>
          <w:color w:val="000000"/>
          <w:sz w:val="24"/>
          <w:szCs w:val="24"/>
          <w:vertAlign w:val="subscript"/>
        </w:rPr>
        <w:t>2</w:t>
      </w:r>
      <w:r w:rsidR="001846B3" w:rsidRPr="00A1696A">
        <w:rPr>
          <w:rFonts w:ascii="Times New Roman" w:hAnsi="Times New Roman" w:cs="Times New Roman"/>
          <w:color w:val="000000"/>
          <w:sz w:val="24"/>
          <w:szCs w:val="24"/>
        </w:rPr>
        <w:t xml:space="preserve"> (фиг. </w:t>
      </w:r>
      <w:r w:rsidR="008D3800" w:rsidRPr="008D3800">
        <w:rPr>
          <w:rFonts w:ascii="Times New Roman" w:hAnsi="Times New Roman" w:cs="Times New Roman"/>
          <w:color w:val="000000"/>
          <w:sz w:val="24"/>
          <w:szCs w:val="24"/>
        </w:rPr>
        <w:t>20</w:t>
      </w:r>
      <w:r w:rsidR="001846B3" w:rsidRPr="008D3800">
        <w:rPr>
          <w:rFonts w:ascii="Times New Roman" w:hAnsi="Times New Roman" w:cs="Times New Roman"/>
          <w:color w:val="000000"/>
          <w:sz w:val="24"/>
          <w:szCs w:val="24"/>
        </w:rPr>
        <w:t>а</w:t>
      </w:r>
      <w:r w:rsidR="001846B3" w:rsidRPr="00A1696A">
        <w:rPr>
          <w:rFonts w:ascii="Times New Roman" w:hAnsi="Times New Roman" w:cs="Times New Roman"/>
          <w:color w:val="000000"/>
          <w:sz w:val="24"/>
          <w:szCs w:val="24"/>
        </w:rPr>
        <w:t>). Стойностите за тях по параметъра S</w:t>
      </w:r>
      <w:r w:rsidR="001846B3" w:rsidRPr="00A1696A">
        <w:rPr>
          <w:rFonts w:ascii="Times New Roman" w:hAnsi="Times New Roman" w:cs="Times New Roman"/>
          <w:color w:val="000000"/>
          <w:sz w:val="24"/>
          <w:szCs w:val="24"/>
          <w:vertAlign w:val="subscript"/>
        </w:rPr>
        <w:t>2</w:t>
      </w:r>
      <w:r w:rsidR="001846B3" w:rsidRPr="00A1696A">
        <w:rPr>
          <w:rFonts w:ascii="Times New Roman" w:hAnsi="Times New Roman" w:cs="Times New Roman"/>
          <w:color w:val="000000"/>
          <w:sz w:val="24"/>
          <w:szCs w:val="24"/>
        </w:rPr>
        <w:t xml:space="preserve"> са достатъчно високи и определят скалата като такава със задоволителен генерационен потенциал – стойности над 2,5 mg ВВ/g скала</w:t>
      </w:r>
      <w:r w:rsidR="003056D9" w:rsidRPr="00A1696A">
        <w:rPr>
          <w:rFonts w:ascii="Times New Roman" w:hAnsi="Times New Roman" w:cs="Times New Roman"/>
          <w:color w:val="000000"/>
          <w:sz w:val="24"/>
          <w:szCs w:val="24"/>
        </w:rPr>
        <w:t xml:space="preserve"> (Peters and Cassa, 1994)</w:t>
      </w:r>
      <w:r w:rsidR="001846B3" w:rsidRPr="00A1696A">
        <w:rPr>
          <w:rFonts w:ascii="Times New Roman" w:hAnsi="Times New Roman" w:cs="Times New Roman"/>
          <w:color w:val="000000"/>
          <w:sz w:val="24"/>
          <w:szCs w:val="24"/>
        </w:rPr>
        <w:t>. Степента на зрялост определена чрез параметъра T</w:t>
      </w:r>
      <w:r w:rsidR="001846B3" w:rsidRPr="00A1696A">
        <w:rPr>
          <w:rFonts w:ascii="Times New Roman" w:hAnsi="Times New Roman" w:cs="Times New Roman"/>
          <w:color w:val="000000"/>
          <w:sz w:val="24"/>
          <w:szCs w:val="24"/>
          <w:vertAlign w:val="subscript"/>
        </w:rPr>
        <w:t>max</w:t>
      </w:r>
      <w:r w:rsidR="001846B3" w:rsidRPr="00A1696A">
        <w:rPr>
          <w:rFonts w:ascii="Times New Roman" w:hAnsi="Times New Roman" w:cs="Times New Roman"/>
          <w:color w:val="000000"/>
          <w:sz w:val="24"/>
          <w:szCs w:val="24"/>
        </w:rPr>
        <w:t xml:space="preserve"> показва че изследваните образци са със стойности характеризиращи ОВ на скалата като такова с ниска степен на преобразуваност. Единствено при два от изследваните образеца от сондажна ядка (</w:t>
      </w:r>
      <w:r w:rsidR="003056D9" w:rsidRPr="00A1696A">
        <w:rPr>
          <w:rFonts w:ascii="Times New Roman" w:hAnsi="Times New Roman" w:cs="Times New Roman"/>
          <w:color w:val="000000"/>
          <w:sz w:val="24"/>
          <w:szCs w:val="24"/>
        </w:rPr>
        <w:t>RE</w:t>
      </w:r>
      <w:r w:rsidR="001846B3" w:rsidRPr="00A1696A">
        <w:rPr>
          <w:rFonts w:ascii="Times New Roman" w:hAnsi="Times New Roman" w:cs="Times New Roman"/>
          <w:color w:val="000000"/>
          <w:sz w:val="24"/>
          <w:szCs w:val="24"/>
        </w:rPr>
        <w:t xml:space="preserve">2 и </w:t>
      </w:r>
      <w:r w:rsidR="003056D9" w:rsidRPr="00A1696A">
        <w:rPr>
          <w:rFonts w:ascii="Times New Roman" w:hAnsi="Times New Roman" w:cs="Times New Roman"/>
          <w:color w:val="000000"/>
          <w:sz w:val="24"/>
          <w:szCs w:val="24"/>
        </w:rPr>
        <w:t>RE</w:t>
      </w:r>
      <w:r w:rsidR="001846B3" w:rsidRPr="00A1696A">
        <w:rPr>
          <w:rFonts w:ascii="Times New Roman" w:hAnsi="Times New Roman" w:cs="Times New Roman"/>
          <w:color w:val="000000"/>
          <w:sz w:val="24"/>
          <w:szCs w:val="24"/>
        </w:rPr>
        <w:t xml:space="preserve">3) ОВ е навлязло в стадия на ранна зрялост (фиг. </w:t>
      </w:r>
      <w:r w:rsidR="008D3800" w:rsidRPr="008D3800">
        <w:rPr>
          <w:rFonts w:ascii="Times New Roman" w:hAnsi="Times New Roman" w:cs="Times New Roman"/>
          <w:color w:val="000000"/>
          <w:sz w:val="24"/>
          <w:szCs w:val="24"/>
        </w:rPr>
        <w:t>20</w:t>
      </w:r>
      <w:r w:rsidR="001846B3" w:rsidRPr="008D3800">
        <w:rPr>
          <w:rFonts w:ascii="Times New Roman" w:hAnsi="Times New Roman" w:cs="Times New Roman"/>
          <w:color w:val="000000"/>
          <w:sz w:val="24"/>
          <w:szCs w:val="24"/>
        </w:rPr>
        <w:t>б</w:t>
      </w:r>
      <w:r w:rsidR="001846B3" w:rsidRPr="00A1696A">
        <w:rPr>
          <w:rFonts w:ascii="Times New Roman" w:hAnsi="Times New Roman" w:cs="Times New Roman"/>
          <w:color w:val="000000"/>
          <w:sz w:val="24"/>
          <w:szCs w:val="24"/>
        </w:rPr>
        <w:t>).</w:t>
      </w:r>
    </w:p>
    <w:bookmarkEnd w:id="89"/>
    <w:p w14:paraId="1BE2AE24" w14:textId="77777777" w:rsidR="008D3800" w:rsidRPr="00A1696A" w:rsidRDefault="008D3800" w:rsidP="001846B3">
      <w:pPr>
        <w:spacing w:after="0" w:line="240" w:lineRule="auto"/>
        <w:ind w:firstLine="709"/>
        <w:jc w:val="both"/>
        <w:rPr>
          <w:color w:val="000000"/>
          <w:sz w:val="24"/>
          <w:szCs w:val="24"/>
        </w:rPr>
      </w:pPr>
    </w:p>
    <w:p w14:paraId="768B791B" w14:textId="77777777" w:rsidR="008D3800" w:rsidRPr="00A1696A" w:rsidRDefault="008D3800" w:rsidP="008D3800">
      <w:pPr>
        <w:pStyle w:val="Tekst"/>
        <w:ind w:firstLine="0"/>
        <w:jc w:val="center"/>
        <w:rPr>
          <w:sz w:val="24"/>
          <w:szCs w:val="24"/>
          <w:lang w:val="bg-BG"/>
        </w:rPr>
      </w:pPr>
      <w:r w:rsidRPr="00A1696A">
        <w:rPr>
          <w:sz w:val="24"/>
          <w:szCs w:val="24"/>
          <w:lang w:val="bg-BG"/>
        </w:rPr>
        <w:t>а)</w:t>
      </w:r>
      <w:r w:rsidRPr="00A1696A">
        <w:rPr>
          <w:lang w:val="bg-BG"/>
        </w:rPr>
        <w:t xml:space="preserve"> </w:t>
      </w:r>
      <w:r w:rsidRPr="00A1696A">
        <w:rPr>
          <w:noProof/>
          <w:lang w:val="bg-BG" w:eastAsia="bg-BG"/>
        </w:rPr>
        <w:drawing>
          <wp:inline distT="0" distB="0" distL="0" distR="0" wp14:anchorId="4814C1E9" wp14:editId="5F5FDA37">
            <wp:extent cx="3802565" cy="2255376"/>
            <wp:effectExtent l="19050" t="19050" r="26670" b="12065"/>
            <wp:docPr id="90118" name="Картина 9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697" t="4562" r="6778" b="6368"/>
                    <a:stretch/>
                  </pic:blipFill>
                  <pic:spPr bwMode="auto">
                    <a:xfrm>
                      <a:off x="0" y="0"/>
                      <a:ext cx="3834609" cy="2274382"/>
                    </a:xfrm>
                    <a:prstGeom prst="rect">
                      <a:avLst/>
                    </a:prstGeom>
                    <a:noFill/>
                    <a:ln>
                      <a:solidFill>
                        <a:schemeClr val="bg2">
                          <a:lumMod val="50000"/>
                        </a:schemeClr>
                      </a:solidFill>
                    </a:ln>
                    <a:extLst>
                      <a:ext uri="{53640926-AAD7-44D8-BBD7-CCE9431645EC}">
                        <a14:shadowObscured xmlns:a14="http://schemas.microsoft.com/office/drawing/2010/main"/>
                      </a:ext>
                    </a:extLst>
                  </pic:spPr>
                </pic:pic>
              </a:graphicData>
            </a:graphic>
          </wp:inline>
        </w:drawing>
      </w:r>
      <w:r w:rsidRPr="00A1696A">
        <w:rPr>
          <w:sz w:val="24"/>
          <w:szCs w:val="24"/>
          <w:lang w:val="bg-BG"/>
        </w:rPr>
        <w:t>б)</w:t>
      </w:r>
      <w:r w:rsidRPr="00A1696A">
        <w:rPr>
          <w:noProof/>
          <w:sz w:val="24"/>
          <w:szCs w:val="24"/>
          <w:lang w:val="bg-BG" w:eastAsia="bg-BG"/>
        </w:rPr>
        <w:drawing>
          <wp:inline distT="0" distB="0" distL="0" distR="0" wp14:anchorId="7B435043" wp14:editId="606B03D6">
            <wp:extent cx="1718255" cy="2272737"/>
            <wp:effectExtent l="19050" t="19050" r="15875" b="13335"/>
            <wp:docPr id="4125" name="Картина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2494" t="8345" r="19751" b="16106"/>
                    <a:stretch/>
                  </pic:blipFill>
                  <pic:spPr bwMode="auto">
                    <a:xfrm>
                      <a:off x="0" y="0"/>
                      <a:ext cx="1727173" cy="2284533"/>
                    </a:xfrm>
                    <a:prstGeom prst="rect">
                      <a:avLst/>
                    </a:prstGeom>
                    <a:noFill/>
                    <a:ln w="9525">
                      <a:solidFill>
                        <a:schemeClr val="bg2">
                          <a:lumMod val="50000"/>
                        </a:schemeClr>
                      </a:solidFill>
                    </a:ln>
                    <a:extLst>
                      <a:ext uri="{53640926-AAD7-44D8-BBD7-CCE9431645EC}">
                        <a14:shadowObscured xmlns:a14="http://schemas.microsoft.com/office/drawing/2010/main"/>
                      </a:ext>
                    </a:extLst>
                  </pic:spPr>
                </pic:pic>
              </a:graphicData>
            </a:graphic>
          </wp:inline>
        </w:drawing>
      </w:r>
    </w:p>
    <w:p w14:paraId="5FB1EE6D" w14:textId="39590410" w:rsidR="008D3800" w:rsidRPr="00A1696A" w:rsidRDefault="008D3800" w:rsidP="008D3800">
      <w:pPr>
        <w:pStyle w:val="Tekst"/>
        <w:ind w:firstLine="0"/>
        <w:jc w:val="center"/>
        <w:rPr>
          <w:i/>
          <w:color w:val="000000"/>
          <w:sz w:val="24"/>
          <w:szCs w:val="24"/>
          <w:lang w:val="bg-BG"/>
        </w:rPr>
      </w:pPr>
      <w:r w:rsidRPr="00A1696A">
        <w:rPr>
          <w:i/>
          <w:color w:val="000000"/>
          <w:sz w:val="24"/>
          <w:szCs w:val="24"/>
          <w:lang w:val="bg-BG"/>
        </w:rPr>
        <w:t xml:space="preserve">Фиг. </w:t>
      </w:r>
      <w:r>
        <w:rPr>
          <w:i/>
          <w:color w:val="000000"/>
          <w:sz w:val="24"/>
          <w:szCs w:val="24"/>
          <w:lang w:val="bg-BG"/>
        </w:rPr>
        <w:t>20</w:t>
      </w:r>
      <w:r w:rsidRPr="00A1696A">
        <w:rPr>
          <w:i/>
          <w:color w:val="000000"/>
          <w:sz w:val="24"/>
          <w:szCs w:val="24"/>
          <w:lang w:val="bg-BG"/>
        </w:rPr>
        <w:t>. Графично представяне на а) генерационния потенциал на скалата чрез отношението (S</w:t>
      </w:r>
      <w:r w:rsidRPr="00A1696A">
        <w:rPr>
          <w:i/>
          <w:color w:val="000000"/>
          <w:sz w:val="24"/>
          <w:szCs w:val="24"/>
          <w:vertAlign w:val="subscript"/>
          <w:lang w:val="bg-BG"/>
        </w:rPr>
        <w:t>1</w:t>
      </w:r>
      <w:r w:rsidRPr="00A1696A">
        <w:rPr>
          <w:i/>
          <w:color w:val="000000"/>
          <w:sz w:val="24"/>
          <w:szCs w:val="24"/>
          <w:lang w:val="bg-BG"/>
        </w:rPr>
        <w:t>+S</w:t>
      </w:r>
      <w:r w:rsidRPr="00A1696A">
        <w:rPr>
          <w:i/>
          <w:color w:val="000000"/>
          <w:sz w:val="24"/>
          <w:szCs w:val="24"/>
          <w:vertAlign w:val="subscript"/>
          <w:lang w:val="bg-BG"/>
        </w:rPr>
        <w:t>2</w:t>
      </w:r>
      <w:r w:rsidRPr="00A1696A">
        <w:rPr>
          <w:i/>
          <w:color w:val="000000"/>
          <w:sz w:val="24"/>
          <w:szCs w:val="24"/>
          <w:lang w:val="bg-BG"/>
        </w:rPr>
        <w:t>)/ TOC и б) степента на зрялост чрез T</w:t>
      </w:r>
      <w:r w:rsidRPr="00A1696A">
        <w:rPr>
          <w:i/>
          <w:color w:val="000000"/>
          <w:sz w:val="24"/>
          <w:szCs w:val="24"/>
          <w:vertAlign w:val="subscript"/>
          <w:lang w:val="bg-BG"/>
        </w:rPr>
        <w:t>max</w:t>
      </w:r>
    </w:p>
    <w:p w14:paraId="30FFE14E" w14:textId="77777777" w:rsidR="00513A69" w:rsidRPr="00A1696A" w:rsidRDefault="00513A69" w:rsidP="006B6EBF">
      <w:pPr>
        <w:pStyle w:val="ListParagraph"/>
        <w:spacing w:after="0" w:line="240" w:lineRule="auto"/>
        <w:jc w:val="both"/>
        <w:rPr>
          <w:rFonts w:ascii="Times New Roman" w:hAnsi="Times New Roman" w:cs="Times New Roman"/>
          <w:color w:val="000000"/>
          <w:sz w:val="24"/>
          <w:szCs w:val="24"/>
        </w:rPr>
      </w:pPr>
    </w:p>
    <w:p w14:paraId="6530962C" w14:textId="63734B5E" w:rsidR="00D17DAC" w:rsidRPr="00A1696A" w:rsidRDefault="00D17DAC" w:rsidP="006B6EBF">
      <w:pPr>
        <w:pStyle w:val="ListParagraph"/>
        <w:spacing w:after="0" w:line="240" w:lineRule="auto"/>
        <w:jc w:val="both"/>
        <w:rPr>
          <w:rFonts w:ascii="Times New Roman" w:hAnsi="Times New Roman" w:cs="Times New Roman"/>
          <w:color w:val="000000"/>
          <w:sz w:val="24"/>
          <w:szCs w:val="24"/>
        </w:rPr>
        <w:sectPr w:rsidR="00D17DAC" w:rsidRPr="00A1696A" w:rsidSect="008E2120">
          <w:footerReference w:type="default" r:id="rId33"/>
          <w:pgSz w:w="11906" w:h="16838"/>
          <w:pgMar w:top="1134" w:right="1134" w:bottom="1134" w:left="1134" w:header="709" w:footer="709" w:gutter="0"/>
          <w:cols w:space="708"/>
          <w:docGrid w:linePitch="360"/>
        </w:sectPr>
      </w:pPr>
    </w:p>
    <w:p w14:paraId="13FDF020" w14:textId="2B4E6376" w:rsidR="00513A69" w:rsidRPr="00A1696A" w:rsidRDefault="00513A69" w:rsidP="006B6EBF">
      <w:pPr>
        <w:pStyle w:val="tytultabeli"/>
        <w:jc w:val="right"/>
        <w:rPr>
          <w:i/>
          <w:color w:val="000000"/>
          <w:sz w:val="24"/>
          <w:szCs w:val="24"/>
          <w:lang w:val="bg-BG"/>
        </w:rPr>
      </w:pPr>
      <w:r w:rsidRPr="00A1696A">
        <w:rPr>
          <w:i/>
          <w:color w:val="000000"/>
          <w:sz w:val="24"/>
          <w:szCs w:val="24"/>
          <w:lang w:val="bg-BG"/>
        </w:rPr>
        <w:lastRenderedPageBreak/>
        <w:t>Табл</w:t>
      </w:r>
      <w:r w:rsidR="00A2361B" w:rsidRPr="00A1696A">
        <w:rPr>
          <w:i/>
          <w:color w:val="000000"/>
          <w:sz w:val="24"/>
          <w:szCs w:val="24"/>
          <w:lang w:val="bg-BG"/>
        </w:rPr>
        <w:t>.</w:t>
      </w:r>
      <w:r w:rsidRPr="00A1696A">
        <w:rPr>
          <w:i/>
          <w:color w:val="000000"/>
          <w:sz w:val="24"/>
          <w:szCs w:val="24"/>
          <w:lang w:val="bg-BG"/>
        </w:rPr>
        <w:t xml:space="preserve"> 1 </w:t>
      </w:r>
    </w:p>
    <w:p w14:paraId="0FF1C2CF" w14:textId="7B9CFA6D" w:rsidR="00513A69" w:rsidRPr="00A1696A" w:rsidRDefault="00513A69" w:rsidP="006B6EBF">
      <w:pPr>
        <w:pStyle w:val="Tekst"/>
        <w:jc w:val="right"/>
        <w:rPr>
          <w:i/>
          <w:color w:val="000000"/>
          <w:sz w:val="24"/>
          <w:szCs w:val="24"/>
          <w:lang w:val="bg-BG"/>
        </w:rPr>
      </w:pPr>
      <w:r w:rsidRPr="00A1696A">
        <w:rPr>
          <w:i/>
          <w:color w:val="000000"/>
          <w:sz w:val="24"/>
          <w:szCs w:val="24"/>
          <w:lang w:val="bg-BG"/>
        </w:rPr>
        <w:t>Резултати от RockEval анализ на проби от сондажна ядка и разкрити</w:t>
      </w:r>
      <w:r w:rsidR="008D3800">
        <w:rPr>
          <w:i/>
          <w:color w:val="000000"/>
          <w:sz w:val="24"/>
          <w:szCs w:val="24"/>
          <w:lang w:val="bg-BG"/>
        </w:rPr>
        <w:t>я</w:t>
      </w:r>
    </w:p>
    <w:tbl>
      <w:tblPr>
        <w:tblpPr w:leftFromText="141" w:rightFromText="141" w:vertAnchor="text" w:horzAnchor="margin" w:tblpXSpec="center" w:tblpY="24"/>
        <w:tblW w:w="13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5"/>
        <w:gridCol w:w="1270"/>
        <w:gridCol w:w="1411"/>
        <w:gridCol w:w="1835"/>
        <w:gridCol w:w="1270"/>
        <w:gridCol w:w="1270"/>
        <w:gridCol w:w="1269"/>
        <w:gridCol w:w="903"/>
        <w:gridCol w:w="1015"/>
        <w:gridCol w:w="938"/>
        <w:gridCol w:w="938"/>
      </w:tblGrid>
      <w:tr w:rsidR="00DA68ED" w:rsidRPr="00A1696A" w14:paraId="536BA5C5" w14:textId="77777777" w:rsidTr="00DA68ED">
        <w:trPr>
          <w:trHeight w:val="268"/>
        </w:trPr>
        <w:tc>
          <w:tcPr>
            <w:tcW w:w="1265" w:type="dxa"/>
            <w:tcBorders>
              <w:bottom w:val="single" w:sz="4" w:space="0" w:color="auto"/>
            </w:tcBorders>
            <w:shd w:val="clear" w:color="000000" w:fill="99FF99"/>
            <w:noWrap/>
            <w:vAlign w:val="bottom"/>
            <w:hideMark/>
          </w:tcPr>
          <w:p w14:paraId="48CB481B" w14:textId="4ADA80CC"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Проба No.</w:t>
            </w:r>
          </w:p>
          <w:p w14:paraId="399A0388"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RockEval</w:t>
            </w:r>
          </w:p>
        </w:tc>
        <w:tc>
          <w:tcPr>
            <w:tcW w:w="1270" w:type="dxa"/>
            <w:tcBorders>
              <w:bottom w:val="single" w:sz="4" w:space="0" w:color="auto"/>
            </w:tcBorders>
            <w:shd w:val="clear" w:color="000000" w:fill="99FF99"/>
            <w:vAlign w:val="bottom"/>
          </w:tcPr>
          <w:p w14:paraId="64865C6F" w14:textId="4508DF25"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Проба No.</w:t>
            </w:r>
          </w:p>
          <w:p w14:paraId="1194FAF9"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ГХ-МС</w:t>
            </w:r>
          </w:p>
        </w:tc>
        <w:tc>
          <w:tcPr>
            <w:tcW w:w="1411" w:type="dxa"/>
            <w:tcBorders>
              <w:bottom w:val="single" w:sz="4" w:space="0" w:color="auto"/>
            </w:tcBorders>
            <w:shd w:val="clear" w:color="000000" w:fill="99FF99"/>
            <w:vAlign w:val="bottom"/>
          </w:tcPr>
          <w:p w14:paraId="1B6CE479"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Дълбочина (m)</w:t>
            </w:r>
          </w:p>
        </w:tc>
        <w:tc>
          <w:tcPr>
            <w:tcW w:w="1835" w:type="dxa"/>
            <w:tcBorders>
              <w:bottom w:val="single" w:sz="4" w:space="0" w:color="auto"/>
            </w:tcBorders>
            <w:shd w:val="clear" w:color="000000" w:fill="99FF99"/>
            <w:vAlign w:val="bottom"/>
          </w:tcPr>
          <w:p w14:paraId="3B85AA68"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Предполагаема формация</w:t>
            </w:r>
          </w:p>
        </w:tc>
        <w:tc>
          <w:tcPr>
            <w:tcW w:w="1270" w:type="dxa"/>
            <w:tcBorders>
              <w:bottom w:val="single" w:sz="4" w:space="0" w:color="auto"/>
            </w:tcBorders>
            <w:shd w:val="clear" w:color="000000" w:fill="99FF99"/>
            <w:noWrap/>
            <w:vAlign w:val="bottom"/>
            <w:hideMark/>
          </w:tcPr>
          <w:p w14:paraId="11E73751"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S</w:t>
            </w:r>
            <w:r w:rsidRPr="00A1696A">
              <w:rPr>
                <w:rFonts w:ascii="Times New Roman" w:eastAsia="Times New Roman" w:hAnsi="Times New Roman" w:cs="Times New Roman"/>
                <w:b/>
                <w:vertAlign w:val="subscript"/>
                <w:lang w:eastAsia="bg-BG"/>
              </w:rPr>
              <w:t>1</w:t>
            </w:r>
          </w:p>
          <w:p w14:paraId="6E41E89A"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(mg ВВ/g скала)</w:t>
            </w:r>
          </w:p>
        </w:tc>
        <w:tc>
          <w:tcPr>
            <w:tcW w:w="1270" w:type="dxa"/>
            <w:tcBorders>
              <w:bottom w:val="single" w:sz="4" w:space="0" w:color="auto"/>
            </w:tcBorders>
            <w:shd w:val="clear" w:color="000000" w:fill="99FF99"/>
            <w:noWrap/>
            <w:vAlign w:val="bottom"/>
            <w:hideMark/>
          </w:tcPr>
          <w:p w14:paraId="71855567"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S</w:t>
            </w:r>
            <w:r w:rsidRPr="00A1696A">
              <w:rPr>
                <w:rFonts w:ascii="Times New Roman" w:eastAsia="Times New Roman" w:hAnsi="Times New Roman" w:cs="Times New Roman"/>
                <w:b/>
                <w:vertAlign w:val="subscript"/>
                <w:lang w:eastAsia="bg-BG"/>
              </w:rPr>
              <w:t>2</w:t>
            </w:r>
          </w:p>
          <w:p w14:paraId="232A3B31"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(mg ВВ/g скала)</w:t>
            </w:r>
          </w:p>
        </w:tc>
        <w:tc>
          <w:tcPr>
            <w:tcW w:w="1269" w:type="dxa"/>
            <w:tcBorders>
              <w:bottom w:val="single" w:sz="4" w:space="0" w:color="auto"/>
            </w:tcBorders>
            <w:shd w:val="clear" w:color="000000" w:fill="99FF99"/>
            <w:noWrap/>
            <w:vAlign w:val="bottom"/>
            <w:hideMark/>
          </w:tcPr>
          <w:p w14:paraId="262D9A7F"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S</w:t>
            </w:r>
            <w:r w:rsidRPr="00A1696A">
              <w:rPr>
                <w:rFonts w:ascii="Times New Roman" w:eastAsia="Times New Roman" w:hAnsi="Times New Roman" w:cs="Times New Roman"/>
                <w:b/>
                <w:vertAlign w:val="subscript"/>
                <w:lang w:eastAsia="bg-BG"/>
              </w:rPr>
              <w:t>3</w:t>
            </w:r>
            <w:r w:rsidRPr="00A1696A">
              <w:rPr>
                <w:rFonts w:ascii="Times New Roman" w:eastAsia="Times New Roman" w:hAnsi="Times New Roman" w:cs="Times New Roman"/>
                <w:b/>
                <w:lang w:eastAsia="bg-BG"/>
              </w:rPr>
              <w:t xml:space="preserve"> </w:t>
            </w:r>
          </w:p>
          <w:p w14:paraId="3E8CCFDB"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(mg ВВ/g скала)</w:t>
            </w:r>
          </w:p>
        </w:tc>
        <w:tc>
          <w:tcPr>
            <w:tcW w:w="903" w:type="dxa"/>
            <w:tcBorders>
              <w:bottom w:val="single" w:sz="4" w:space="0" w:color="auto"/>
            </w:tcBorders>
            <w:shd w:val="clear" w:color="000000" w:fill="99FF99"/>
            <w:noWrap/>
            <w:vAlign w:val="bottom"/>
            <w:hideMark/>
          </w:tcPr>
          <w:p w14:paraId="3B0ED69B"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T</w:t>
            </w:r>
            <w:r w:rsidRPr="00A1696A">
              <w:rPr>
                <w:rFonts w:ascii="Times New Roman" w:eastAsia="Times New Roman" w:hAnsi="Times New Roman" w:cs="Times New Roman"/>
                <w:b/>
                <w:vertAlign w:val="subscript"/>
                <w:lang w:eastAsia="bg-BG"/>
              </w:rPr>
              <w:t>max</w:t>
            </w:r>
            <w:r w:rsidRPr="00A1696A">
              <w:rPr>
                <w:rFonts w:ascii="Times New Roman" w:eastAsia="Times New Roman" w:hAnsi="Times New Roman" w:cs="Times New Roman"/>
                <w:b/>
                <w:lang w:eastAsia="bg-BG"/>
              </w:rPr>
              <w:t xml:space="preserve"> (°С)</w:t>
            </w:r>
          </w:p>
        </w:tc>
        <w:tc>
          <w:tcPr>
            <w:tcW w:w="1015" w:type="dxa"/>
            <w:tcBorders>
              <w:bottom w:val="single" w:sz="4" w:space="0" w:color="auto"/>
            </w:tcBorders>
            <w:shd w:val="clear" w:color="000000" w:fill="99FF99"/>
            <w:noWrap/>
            <w:vAlign w:val="bottom"/>
            <w:hideMark/>
          </w:tcPr>
          <w:p w14:paraId="434BCE2D" w14:textId="77777777" w:rsidR="00DA68ED" w:rsidRPr="00A1696A" w:rsidRDefault="00DA68ED" w:rsidP="006B6EBF">
            <w:pPr>
              <w:spacing w:after="0" w:line="240" w:lineRule="auto"/>
              <w:jc w:val="center"/>
              <w:rPr>
                <w:rFonts w:ascii="Times New Roman" w:eastAsia="Times New Roman" w:hAnsi="Times New Roman" w:cs="Times New Roman"/>
                <w:b/>
                <w:lang w:eastAsia="bg-BG"/>
              </w:rPr>
            </w:pPr>
            <w:r w:rsidRPr="00A1696A">
              <w:rPr>
                <w:rFonts w:ascii="Times New Roman" w:eastAsia="Times New Roman" w:hAnsi="Times New Roman" w:cs="Times New Roman"/>
                <w:b/>
                <w:lang w:eastAsia="bg-BG"/>
              </w:rPr>
              <w:t>TOC (%)</w:t>
            </w:r>
          </w:p>
        </w:tc>
        <w:tc>
          <w:tcPr>
            <w:tcW w:w="938" w:type="dxa"/>
            <w:tcBorders>
              <w:bottom w:val="single" w:sz="4" w:space="0" w:color="auto"/>
            </w:tcBorders>
            <w:shd w:val="clear" w:color="000000" w:fill="99FF99"/>
            <w:noWrap/>
            <w:vAlign w:val="bottom"/>
            <w:hideMark/>
          </w:tcPr>
          <w:p w14:paraId="5A48AE81"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 xml:space="preserve">HI </w:t>
            </w:r>
          </w:p>
          <w:p w14:paraId="315B6B99"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(mg ВВ/g)</w:t>
            </w:r>
          </w:p>
        </w:tc>
        <w:tc>
          <w:tcPr>
            <w:tcW w:w="938" w:type="dxa"/>
            <w:tcBorders>
              <w:bottom w:val="single" w:sz="4" w:space="0" w:color="auto"/>
            </w:tcBorders>
            <w:shd w:val="clear" w:color="000000" w:fill="99FF99"/>
            <w:noWrap/>
            <w:vAlign w:val="bottom"/>
            <w:hideMark/>
          </w:tcPr>
          <w:p w14:paraId="1B3B932B"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 xml:space="preserve">OI  </w:t>
            </w:r>
          </w:p>
          <w:p w14:paraId="57899024" w14:textId="77777777" w:rsidR="00DA68ED" w:rsidRPr="00A1696A" w:rsidRDefault="00DA68ED" w:rsidP="006B6EBF">
            <w:pPr>
              <w:spacing w:after="0" w:line="240" w:lineRule="auto"/>
              <w:jc w:val="center"/>
              <w:rPr>
                <w:rFonts w:ascii="Times New Roman" w:eastAsia="Times New Roman" w:hAnsi="Times New Roman" w:cs="Times New Roman"/>
                <w:b/>
                <w:color w:val="000000"/>
                <w:lang w:eastAsia="bg-BG"/>
              </w:rPr>
            </w:pPr>
            <w:r w:rsidRPr="00A1696A">
              <w:rPr>
                <w:rFonts w:ascii="Times New Roman" w:eastAsia="Times New Roman" w:hAnsi="Times New Roman" w:cs="Times New Roman"/>
                <w:b/>
                <w:color w:val="000000"/>
                <w:lang w:eastAsia="bg-BG"/>
              </w:rPr>
              <w:t>(mg ВВ/g)</w:t>
            </w:r>
          </w:p>
        </w:tc>
      </w:tr>
      <w:tr w:rsidR="00DA68ED" w:rsidRPr="00A1696A" w14:paraId="73E49871" w14:textId="77777777" w:rsidTr="00DA68ED">
        <w:trPr>
          <w:trHeight w:val="268"/>
        </w:trPr>
        <w:tc>
          <w:tcPr>
            <w:tcW w:w="1265" w:type="dxa"/>
            <w:shd w:val="clear" w:color="000000" w:fill="FFFF99"/>
            <w:noWrap/>
            <w:vAlign w:val="bottom"/>
            <w:hideMark/>
          </w:tcPr>
          <w:p w14:paraId="63C3579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w:t>
            </w:r>
          </w:p>
        </w:tc>
        <w:tc>
          <w:tcPr>
            <w:tcW w:w="1270" w:type="dxa"/>
            <w:shd w:val="clear" w:color="000000" w:fill="FFFF99"/>
            <w:vAlign w:val="bottom"/>
          </w:tcPr>
          <w:p w14:paraId="58046B0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411" w:type="dxa"/>
            <w:shd w:val="clear" w:color="000000" w:fill="FFFF99"/>
            <w:vAlign w:val="bottom"/>
          </w:tcPr>
          <w:p w14:paraId="3C8B2C09" w14:textId="06C3212F"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211,2</w:t>
            </w:r>
          </w:p>
        </w:tc>
        <w:tc>
          <w:tcPr>
            <w:tcW w:w="1835" w:type="dxa"/>
            <w:shd w:val="clear" w:color="000000" w:fill="FFFF99"/>
            <w:vAlign w:val="bottom"/>
          </w:tcPr>
          <w:p w14:paraId="42252119" w14:textId="3A377511"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000000" w:fill="FFFF99"/>
            <w:noWrap/>
            <w:vAlign w:val="bottom"/>
            <w:hideMark/>
          </w:tcPr>
          <w:p w14:paraId="25738F08" w14:textId="5BCC30A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0,02</w:t>
            </w:r>
          </w:p>
        </w:tc>
        <w:tc>
          <w:tcPr>
            <w:tcW w:w="1270" w:type="dxa"/>
            <w:shd w:val="clear" w:color="000000" w:fill="FFFF99"/>
            <w:noWrap/>
            <w:vAlign w:val="bottom"/>
            <w:hideMark/>
          </w:tcPr>
          <w:p w14:paraId="5D42DC4D"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w:t>
            </w:r>
          </w:p>
        </w:tc>
        <w:tc>
          <w:tcPr>
            <w:tcW w:w="1269" w:type="dxa"/>
            <w:shd w:val="clear" w:color="000000" w:fill="FFFF99"/>
            <w:noWrap/>
            <w:vAlign w:val="bottom"/>
            <w:hideMark/>
          </w:tcPr>
          <w:p w14:paraId="690A713A" w14:textId="243E563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0,735</w:t>
            </w:r>
          </w:p>
        </w:tc>
        <w:tc>
          <w:tcPr>
            <w:tcW w:w="903" w:type="dxa"/>
            <w:shd w:val="clear" w:color="000000" w:fill="FFFF99"/>
            <w:noWrap/>
            <w:vAlign w:val="bottom"/>
            <w:hideMark/>
          </w:tcPr>
          <w:p w14:paraId="50A6B68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430</w:t>
            </w:r>
          </w:p>
        </w:tc>
        <w:tc>
          <w:tcPr>
            <w:tcW w:w="1015" w:type="dxa"/>
            <w:shd w:val="clear" w:color="000000" w:fill="FFFF99"/>
            <w:noWrap/>
            <w:vAlign w:val="bottom"/>
            <w:hideMark/>
          </w:tcPr>
          <w:p w14:paraId="26B6426D" w14:textId="5ABD573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1,315</w:t>
            </w:r>
          </w:p>
        </w:tc>
        <w:tc>
          <w:tcPr>
            <w:tcW w:w="938" w:type="dxa"/>
            <w:shd w:val="clear" w:color="000000" w:fill="FFFF99"/>
            <w:noWrap/>
            <w:vAlign w:val="bottom"/>
            <w:hideMark/>
          </w:tcPr>
          <w:p w14:paraId="76135E14" w14:textId="3D2F926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152,5</w:t>
            </w:r>
          </w:p>
        </w:tc>
        <w:tc>
          <w:tcPr>
            <w:tcW w:w="938" w:type="dxa"/>
            <w:shd w:val="clear" w:color="000000" w:fill="FFFF99"/>
            <w:noWrap/>
            <w:vAlign w:val="bottom"/>
            <w:hideMark/>
          </w:tcPr>
          <w:p w14:paraId="600D28D7"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56</w:t>
            </w:r>
          </w:p>
        </w:tc>
      </w:tr>
      <w:tr w:rsidR="00DA68ED" w:rsidRPr="00A1696A" w14:paraId="29587ED4" w14:textId="77777777" w:rsidTr="00DA68ED">
        <w:trPr>
          <w:trHeight w:val="268"/>
        </w:trPr>
        <w:tc>
          <w:tcPr>
            <w:tcW w:w="1265" w:type="dxa"/>
            <w:shd w:val="clear" w:color="000000" w:fill="FFFF99"/>
            <w:noWrap/>
            <w:vAlign w:val="bottom"/>
            <w:hideMark/>
          </w:tcPr>
          <w:p w14:paraId="23B92D2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w:t>
            </w:r>
          </w:p>
        </w:tc>
        <w:tc>
          <w:tcPr>
            <w:tcW w:w="1270" w:type="dxa"/>
            <w:shd w:val="clear" w:color="000000" w:fill="FFFF99"/>
            <w:vAlign w:val="bottom"/>
          </w:tcPr>
          <w:p w14:paraId="1206D03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G1</w:t>
            </w:r>
          </w:p>
        </w:tc>
        <w:tc>
          <w:tcPr>
            <w:tcW w:w="1411" w:type="dxa"/>
            <w:shd w:val="clear" w:color="000000" w:fill="FFFF99"/>
            <w:vAlign w:val="bottom"/>
          </w:tcPr>
          <w:p w14:paraId="2A6EC904" w14:textId="3D3A4974"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266,5</w:t>
            </w:r>
          </w:p>
        </w:tc>
        <w:tc>
          <w:tcPr>
            <w:tcW w:w="1835" w:type="dxa"/>
            <w:shd w:val="clear" w:color="000000" w:fill="FFFF99"/>
            <w:vAlign w:val="bottom"/>
          </w:tcPr>
          <w:p w14:paraId="77225BAB" w14:textId="285111AC"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000000" w:fill="FFFF99"/>
            <w:noWrap/>
            <w:vAlign w:val="bottom"/>
            <w:hideMark/>
          </w:tcPr>
          <w:p w14:paraId="7C239851" w14:textId="016D67D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000000" w:fill="FFFF99"/>
            <w:noWrap/>
            <w:vAlign w:val="bottom"/>
            <w:hideMark/>
          </w:tcPr>
          <w:p w14:paraId="7C975C86" w14:textId="43EDAFB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2,555</w:t>
            </w:r>
          </w:p>
        </w:tc>
        <w:tc>
          <w:tcPr>
            <w:tcW w:w="1269" w:type="dxa"/>
            <w:shd w:val="clear" w:color="000000" w:fill="FFFF99"/>
            <w:noWrap/>
            <w:vAlign w:val="bottom"/>
            <w:hideMark/>
          </w:tcPr>
          <w:p w14:paraId="55C57FAF" w14:textId="7BC3C5B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0,79</w:t>
            </w:r>
          </w:p>
        </w:tc>
        <w:tc>
          <w:tcPr>
            <w:tcW w:w="903" w:type="dxa"/>
            <w:shd w:val="clear" w:color="000000" w:fill="FFFF99"/>
            <w:noWrap/>
            <w:vAlign w:val="bottom"/>
            <w:hideMark/>
          </w:tcPr>
          <w:p w14:paraId="14C031E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437</w:t>
            </w:r>
          </w:p>
        </w:tc>
        <w:tc>
          <w:tcPr>
            <w:tcW w:w="1015" w:type="dxa"/>
            <w:shd w:val="clear" w:color="000000" w:fill="FFFF99"/>
            <w:noWrap/>
            <w:vAlign w:val="bottom"/>
            <w:hideMark/>
          </w:tcPr>
          <w:p w14:paraId="2C47D9F1" w14:textId="4B4CC96A"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1,295</w:t>
            </w:r>
          </w:p>
        </w:tc>
        <w:tc>
          <w:tcPr>
            <w:tcW w:w="938" w:type="dxa"/>
            <w:shd w:val="clear" w:color="000000" w:fill="FFFF99"/>
            <w:noWrap/>
            <w:vAlign w:val="bottom"/>
            <w:hideMark/>
          </w:tcPr>
          <w:p w14:paraId="73EC4F80" w14:textId="241A655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197,3</w:t>
            </w:r>
          </w:p>
        </w:tc>
        <w:tc>
          <w:tcPr>
            <w:tcW w:w="938" w:type="dxa"/>
            <w:shd w:val="clear" w:color="000000" w:fill="FFFF99"/>
            <w:noWrap/>
            <w:vAlign w:val="bottom"/>
            <w:hideMark/>
          </w:tcPr>
          <w:p w14:paraId="4BB2E719"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61</w:t>
            </w:r>
          </w:p>
        </w:tc>
      </w:tr>
      <w:tr w:rsidR="00DA68ED" w:rsidRPr="00A1696A" w14:paraId="6083BF59" w14:textId="77777777" w:rsidTr="00DA68ED">
        <w:trPr>
          <w:trHeight w:val="268"/>
        </w:trPr>
        <w:tc>
          <w:tcPr>
            <w:tcW w:w="1265" w:type="dxa"/>
            <w:tcBorders>
              <w:bottom w:val="single" w:sz="4" w:space="0" w:color="auto"/>
            </w:tcBorders>
            <w:shd w:val="clear" w:color="auto" w:fill="auto"/>
            <w:noWrap/>
            <w:vAlign w:val="bottom"/>
            <w:hideMark/>
          </w:tcPr>
          <w:p w14:paraId="43064F3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RE-3</w:t>
            </w:r>
          </w:p>
        </w:tc>
        <w:tc>
          <w:tcPr>
            <w:tcW w:w="1270" w:type="dxa"/>
            <w:tcBorders>
              <w:bottom w:val="single" w:sz="4" w:space="0" w:color="auto"/>
            </w:tcBorders>
            <w:vAlign w:val="bottom"/>
          </w:tcPr>
          <w:p w14:paraId="64193C9B"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G2</w:t>
            </w:r>
          </w:p>
        </w:tc>
        <w:tc>
          <w:tcPr>
            <w:tcW w:w="1411" w:type="dxa"/>
            <w:tcBorders>
              <w:bottom w:val="single" w:sz="4" w:space="0" w:color="auto"/>
            </w:tcBorders>
            <w:vAlign w:val="bottom"/>
          </w:tcPr>
          <w:p w14:paraId="3736E16C" w14:textId="17933C00"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363,7</w:t>
            </w:r>
          </w:p>
        </w:tc>
        <w:tc>
          <w:tcPr>
            <w:tcW w:w="1835" w:type="dxa"/>
            <w:tcBorders>
              <w:bottom w:val="single" w:sz="4" w:space="0" w:color="auto"/>
            </w:tcBorders>
            <w:vAlign w:val="bottom"/>
          </w:tcPr>
          <w:p w14:paraId="4F72C147" w14:textId="6357035C"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tcBorders>
              <w:bottom w:val="single" w:sz="4" w:space="0" w:color="auto"/>
            </w:tcBorders>
            <w:shd w:val="clear" w:color="auto" w:fill="auto"/>
            <w:noWrap/>
            <w:vAlign w:val="bottom"/>
            <w:hideMark/>
          </w:tcPr>
          <w:p w14:paraId="006DA0DB"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tcBorders>
              <w:bottom w:val="single" w:sz="4" w:space="0" w:color="auto"/>
            </w:tcBorders>
            <w:shd w:val="clear" w:color="auto" w:fill="auto"/>
            <w:noWrap/>
            <w:vAlign w:val="bottom"/>
            <w:hideMark/>
          </w:tcPr>
          <w:p w14:paraId="08C09FCB" w14:textId="4ABB826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0,135</w:t>
            </w:r>
          </w:p>
        </w:tc>
        <w:tc>
          <w:tcPr>
            <w:tcW w:w="1269" w:type="dxa"/>
            <w:tcBorders>
              <w:bottom w:val="single" w:sz="4" w:space="0" w:color="auto"/>
            </w:tcBorders>
            <w:shd w:val="clear" w:color="auto" w:fill="auto"/>
            <w:noWrap/>
            <w:vAlign w:val="bottom"/>
            <w:hideMark/>
          </w:tcPr>
          <w:p w14:paraId="60BEE4FE" w14:textId="6104E0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0,99</w:t>
            </w:r>
          </w:p>
        </w:tc>
        <w:tc>
          <w:tcPr>
            <w:tcW w:w="903" w:type="dxa"/>
            <w:tcBorders>
              <w:bottom w:val="single" w:sz="4" w:space="0" w:color="auto"/>
            </w:tcBorders>
            <w:shd w:val="clear" w:color="auto" w:fill="auto"/>
            <w:noWrap/>
            <w:vAlign w:val="bottom"/>
            <w:hideMark/>
          </w:tcPr>
          <w:p w14:paraId="1663DD19" w14:textId="6C3196E1"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437,5</w:t>
            </w:r>
          </w:p>
        </w:tc>
        <w:tc>
          <w:tcPr>
            <w:tcW w:w="1015" w:type="dxa"/>
            <w:tcBorders>
              <w:bottom w:val="single" w:sz="4" w:space="0" w:color="auto"/>
            </w:tcBorders>
            <w:shd w:val="clear" w:color="auto" w:fill="auto"/>
            <w:noWrap/>
            <w:vAlign w:val="bottom"/>
            <w:hideMark/>
          </w:tcPr>
          <w:p w14:paraId="1025CAC5" w14:textId="5E03E9B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0,475</w:t>
            </w:r>
          </w:p>
        </w:tc>
        <w:tc>
          <w:tcPr>
            <w:tcW w:w="938" w:type="dxa"/>
            <w:tcBorders>
              <w:bottom w:val="single" w:sz="4" w:space="0" w:color="auto"/>
            </w:tcBorders>
            <w:shd w:val="clear" w:color="auto" w:fill="auto"/>
            <w:noWrap/>
            <w:vAlign w:val="bottom"/>
            <w:hideMark/>
          </w:tcPr>
          <w:p w14:paraId="0B745AF6" w14:textId="4B7BAE0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28,5</w:t>
            </w:r>
          </w:p>
        </w:tc>
        <w:tc>
          <w:tcPr>
            <w:tcW w:w="938" w:type="dxa"/>
            <w:tcBorders>
              <w:bottom w:val="single" w:sz="4" w:space="0" w:color="auto"/>
            </w:tcBorders>
            <w:shd w:val="clear" w:color="auto" w:fill="auto"/>
            <w:noWrap/>
            <w:vAlign w:val="bottom"/>
            <w:hideMark/>
          </w:tcPr>
          <w:p w14:paraId="09D2368F" w14:textId="26810F8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208,4</w:t>
            </w:r>
          </w:p>
        </w:tc>
      </w:tr>
      <w:tr w:rsidR="00DA68ED" w:rsidRPr="00A1696A" w14:paraId="300BB533" w14:textId="77777777" w:rsidTr="00DA68ED">
        <w:trPr>
          <w:trHeight w:val="268"/>
        </w:trPr>
        <w:tc>
          <w:tcPr>
            <w:tcW w:w="1265" w:type="dxa"/>
            <w:shd w:val="clear" w:color="000000" w:fill="FFFF99"/>
            <w:noWrap/>
            <w:vAlign w:val="bottom"/>
            <w:hideMark/>
          </w:tcPr>
          <w:p w14:paraId="3950AA66"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RE-4</w:t>
            </w:r>
          </w:p>
        </w:tc>
        <w:tc>
          <w:tcPr>
            <w:tcW w:w="1270" w:type="dxa"/>
            <w:shd w:val="clear" w:color="000000" w:fill="FFFF99"/>
            <w:vAlign w:val="bottom"/>
          </w:tcPr>
          <w:p w14:paraId="66A5E890"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G3</w:t>
            </w:r>
          </w:p>
        </w:tc>
        <w:tc>
          <w:tcPr>
            <w:tcW w:w="1411" w:type="dxa"/>
            <w:shd w:val="clear" w:color="000000" w:fill="FFFF99"/>
            <w:vAlign w:val="bottom"/>
          </w:tcPr>
          <w:p w14:paraId="05D7D088" w14:textId="13A33452"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443,3</w:t>
            </w:r>
          </w:p>
        </w:tc>
        <w:tc>
          <w:tcPr>
            <w:tcW w:w="1835" w:type="dxa"/>
            <w:shd w:val="clear" w:color="000000" w:fill="FFFF99"/>
            <w:vAlign w:val="bottom"/>
          </w:tcPr>
          <w:p w14:paraId="43679A51" w14:textId="61F168D6"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000000" w:fill="FFFF99"/>
            <w:noWrap/>
            <w:vAlign w:val="bottom"/>
            <w:hideMark/>
          </w:tcPr>
          <w:p w14:paraId="7897F601" w14:textId="7B42425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0,025</w:t>
            </w:r>
          </w:p>
        </w:tc>
        <w:tc>
          <w:tcPr>
            <w:tcW w:w="1270" w:type="dxa"/>
            <w:shd w:val="clear" w:color="000000" w:fill="FFFF99"/>
            <w:noWrap/>
            <w:vAlign w:val="bottom"/>
            <w:hideMark/>
          </w:tcPr>
          <w:p w14:paraId="78C589BC" w14:textId="37F1F30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3,345</w:t>
            </w:r>
          </w:p>
        </w:tc>
        <w:tc>
          <w:tcPr>
            <w:tcW w:w="1269" w:type="dxa"/>
            <w:shd w:val="clear" w:color="000000" w:fill="FFFF99"/>
            <w:noWrap/>
            <w:vAlign w:val="bottom"/>
            <w:hideMark/>
          </w:tcPr>
          <w:p w14:paraId="4D41D76C" w14:textId="55582C1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1,025</w:t>
            </w:r>
          </w:p>
        </w:tc>
        <w:tc>
          <w:tcPr>
            <w:tcW w:w="903" w:type="dxa"/>
            <w:shd w:val="clear" w:color="000000" w:fill="FFFF99"/>
            <w:noWrap/>
            <w:vAlign w:val="bottom"/>
            <w:hideMark/>
          </w:tcPr>
          <w:p w14:paraId="71F23A40" w14:textId="23BD107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430,5</w:t>
            </w:r>
          </w:p>
        </w:tc>
        <w:tc>
          <w:tcPr>
            <w:tcW w:w="1015" w:type="dxa"/>
            <w:shd w:val="clear" w:color="000000" w:fill="FFFF99"/>
            <w:noWrap/>
            <w:vAlign w:val="bottom"/>
            <w:hideMark/>
          </w:tcPr>
          <w:p w14:paraId="74B1984A" w14:textId="004C51C1"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1,825</w:t>
            </w:r>
          </w:p>
        </w:tc>
        <w:tc>
          <w:tcPr>
            <w:tcW w:w="938" w:type="dxa"/>
            <w:shd w:val="clear" w:color="000000" w:fill="FFFF99"/>
            <w:noWrap/>
            <w:vAlign w:val="bottom"/>
            <w:hideMark/>
          </w:tcPr>
          <w:p w14:paraId="2C0243CF" w14:textId="2551A8B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183,3</w:t>
            </w:r>
          </w:p>
        </w:tc>
        <w:tc>
          <w:tcPr>
            <w:tcW w:w="938" w:type="dxa"/>
            <w:shd w:val="clear" w:color="000000" w:fill="FFFF99"/>
            <w:noWrap/>
            <w:vAlign w:val="bottom"/>
            <w:hideMark/>
          </w:tcPr>
          <w:p w14:paraId="6DF02015" w14:textId="0573F0A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56,2</w:t>
            </w:r>
          </w:p>
        </w:tc>
      </w:tr>
      <w:tr w:rsidR="00DA68ED" w:rsidRPr="00A1696A" w14:paraId="339F5B8E" w14:textId="77777777" w:rsidTr="00DA68ED">
        <w:trPr>
          <w:trHeight w:val="268"/>
        </w:trPr>
        <w:tc>
          <w:tcPr>
            <w:tcW w:w="1265" w:type="dxa"/>
            <w:tcBorders>
              <w:bottom w:val="single" w:sz="4" w:space="0" w:color="auto"/>
            </w:tcBorders>
            <w:shd w:val="clear" w:color="000000" w:fill="FFFF99"/>
            <w:noWrap/>
            <w:vAlign w:val="bottom"/>
            <w:hideMark/>
          </w:tcPr>
          <w:p w14:paraId="4C332AD6"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RE-5</w:t>
            </w:r>
          </w:p>
        </w:tc>
        <w:tc>
          <w:tcPr>
            <w:tcW w:w="1270" w:type="dxa"/>
            <w:tcBorders>
              <w:bottom w:val="single" w:sz="4" w:space="0" w:color="auto"/>
            </w:tcBorders>
            <w:shd w:val="clear" w:color="000000" w:fill="FFFF99"/>
            <w:vAlign w:val="bottom"/>
          </w:tcPr>
          <w:p w14:paraId="61FF2E41"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G4</w:t>
            </w:r>
          </w:p>
        </w:tc>
        <w:tc>
          <w:tcPr>
            <w:tcW w:w="1411" w:type="dxa"/>
            <w:tcBorders>
              <w:bottom w:val="single" w:sz="4" w:space="0" w:color="auto"/>
            </w:tcBorders>
            <w:shd w:val="clear" w:color="000000" w:fill="FFFF99"/>
            <w:vAlign w:val="bottom"/>
          </w:tcPr>
          <w:p w14:paraId="159E5DA4" w14:textId="6F4A6782"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495,6</w:t>
            </w:r>
          </w:p>
        </w:tc>
        <w:tc>
          <w:tcPr>
            <w:tcW w:w="1835" w:type="dxa"/>
            <w:tcBorders>
              <w:bottom w:val="single" w:sz="4" w:space="0" w:color="auto"/>
            </w:tcBorders>
            <w:shd w:val="clear" w:color="000000" w:fill="FFFF99"/>
            <w:vAlign w:val="bottom"/>
          </w:tcPr>
          <w:p w14:paraId="777B10E0" w14:textId="61A2BF05"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tcBorders>
              <w:bottom w:val="single" w:sz="4" w:space="0" w:color="auto"/>
            </w:tcBorders>
            <w:shd w:val="clear" w:color="000000" w:fill="FFFF99"/>
            <w:noWrap/>
            <w:vAlign w:val="bottom"/>
            <w:hideMark/>
          </w:tcPr>
          <w:p w14:paraId="47435956" w14:textId="6BFA6159"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tcBorders>
              <w:bottom w:val="single" w:sz="4" w:space="0" w:color="auto"/>
            </w:tcBorders>
            <w:shd w:val="clear" w:color="000000" w:fill="FFFF99"/>
            <w:noWrap/>
            <w:vAlign w:val="bottom"/>
            <w:hideMark/>
          </w:tcPr>
          <w:p w14:paraId="7DC70ABC" w14:textId="5B706EB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1,29</w:t>
            </w:r>
          </w:p>
        </w:tc>
        <w:tc>
          <w:tcPr>
            <w:tcW w:w="1269" w:type="dxa"/>
            <w:tcBorders>
              <w:bottom w:val="single" w:sz="4" w:space="0" w:color="auto"/>
            </w:tcBorders>
            <w:shd w:val="clear" w:color="000000" w:fill="FFFF99"/>
            <w:noWrap/>
            <w:vAlign w:val="bottom"/>
            <w:hideMark/>
          </w:tcPr>
          <w:p w14:paraId="57F3CDF9" w14:textId="29B8B2D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0,745</w:t>
            </w:r>
          </w:p>
        </w:tc>
        <w:tc>
          <w:tcPr>
            <w:tcW w:w="903" w:type="dxa"/>
            <w:tcBorders>
              <w:bottom w:val="single" w:sz="4" w:space="0" w:color="auto"/>
            </w:tcBorders>
            <w:shd w:val="clear" w:color="000000" w:fill="FFFF99"/>
            <w:noWrap/>
            <w:vAlign w:val="bottom"/>
            <w:hideMark/>
          </w:tcPr>
          <w:p w14:paraId="3F31B714" w14:textId="02AFBFF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431,5</w:t>
            </w:r>
          </w:p>
        </w:tc>
        <w:tc>
          <w:tcPr>
            <w:tcW w:w="1015" w:type="dxa"/>
            <w:tcBorders>
              <w:bottom w:val="single" w:sz="4" w:space="0" w:color="auto"/>
            </w:tcBorders>
            <w:shd w:val="clear" w:color="000000" w:fill="FFFF99"/>
            <w:noWrap/>
            <w:vAlign w:val="bottom"/>
            <w:hideMark/>
          </w:tcPr>
          <w:p w14:paraId="71494A23" w14:textId="53F0ADA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1,275</w:t>
            </w:r>
          </w:p>
        </w:tc>
        <w:tc>
          <w:tcPr>
            <w:tcW w:w="938" w:type="dxa"/>
            <w:tcBorders>
              <w:bottom w:val="single" w:sz="4" w:space="0" w:color="auto"/>
            </w:tcBorders>
            <w:shd w:val="clear" w:color="000000" w:fill="FFFF99"/>
            <w:noWrap/>
            <w:vAlign w:val="bottom"/>
            <w:hideMark/>
          </w:tcPr>
          <w:p w14:paraId="680F81B0" w14:textId="7A8490B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101,2</w:t>
            </w:r>
          </w:p>
        </w:tc>
        <w:tc>
          <w:tcPr>
            <w:tcW w:w="938" w:type="dxa"/>
            <w:tcBorders>
              <w:bottom w:val="single" w:sz="4" w:space="0" w:color="auto"/>
            </w:tcBorders>
            <w:shd w:val="clear" w:color="000000" w:fill="FFFF99"/>
            <w:noWrap/>
            <w:vAlign w:val="bottom"/>
            <w:hideMark/>
          </w:tcPr>
          <w:p w14:paraId="35EF2D08" w14:textId="77F3068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58,4</w:t>
            </w:r>
          </w:p>
        </w:tc>
      </w:tr>
      <w:tr w:rsidR="00DA68ED" w:rsidRPr="00A1696A" w14:paraId="6F99F357" w14:textId="77777777" w:rsidTr="00DA68ED">
        <w:trPr>
          <w:trHeight w:val="268"/>
        </w:trPr>
        <w:tc>
          <w:tcPr>
            <w:tcW w:w="1265" w:type="dxa"/>
            <w:tcBorders>
              <w:bottom w:val="single" w:sz="4" w:space="0" w:color="auto"/>
            </w:tcBorders>
            <w:shd w:val="clear" w:color="000000" w:fill="FF9966"/>
            <w:noWrap/>
            <w:vAlign w:val="bottom"/>
            <w:hideMark/>
          </w:tcPr>
          <w:p w14:paraId="038833A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RE-6</w:t>
            </w:r>
          </w:p>
        </w:tc>
        <w:tc>
          <w:tcPr>
            <w:tcW w:w="1270" w:type="dxa"/>
            <w:tcBorders>
              <w:bottom w:val="single" w:sz="4" w:space="0" w:color="auto"/>
            </w:tcBorders>
            <w:shd w:val="clear" w:color="000000" w:fill="FF9966"/>
            <w:vAlign w:val="bottom"/>
          </w:tcPr>
          <w:p w14:paraId="1B3231B6"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G5</w:t>
            </w:r>
          </w:p>
        </w:tc>
        <w:tc>
          <w:tcPr>
            <w:tcW w:w="1411" w:type="dxa"/>
            <w:tcBorders>
              <w:bottom w:val="single" w:sz="4" w:space="0" w:color="auto"/>
            </w:tcBorders>
            <w:shd w:val="clear" w:color="000000" w:fill="FF9966"/>
            <w:vAlign w:val="bottom"/>
          </w:tcPr>
          <w:p w14:paraId="6FA9D4C0" w14:textId="6DC7FDB9"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553,0</w:t>
            </w:r>
          </w:p>
        </w:tc>
        <w:tc>
          <w:tcPr>
            <w:tcW w:w="1835" w:type="dxa"/>
            <w:tcBorders>
              <w:bottom w:val="single" w:sz="4" w:space="0" w:color="auto"/>
            </w:tcBorders>
            <w:shd w:val="clear" w:color="000000" w:fill="FF9966"/>
            <w:vAlign w:val="bottom"/>
          </w:tcPr>
          <w:p w14:paraId="6153CE72" w14:textId="445E0D4A"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tcBorders>
              <w:bottom w:val="single" w:sz="4" w:space="0" w:color="auto"/>
            </w:tcBorders>
            <w:shd w:val="clear" w:color="000000" w:fill="FF9966"/>
            <w:noWrap/>
            <w:vAlign w:val="bottom"/>
            <w:hideMark/>
          </w:tcPr>
          <w:p w14:paraId="6723DFA0" w14:textId="1C2A0A8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0,015</w:t>
            </w:r>
          </w:p>
        </w:tc>
        <w:tc>
          <w:tcPr>
            <w:tcW w:w="1270" w:type="dxa"/>
            <w:tcBorders>
              <w:bottom w:val="single" w:sz="4" w:space="0" w:color="auto"/>
            </w:tcBorders>
            <w:shd w:val="clear" w:color="000000" w:fill="FF9966"/>
            <w:noWrap/>
            <w:vAlign w:val="bottom"/>
            <w:hideMark/>
          </w:tcPr>
          <w:p w14:paraId="6646F2C3" w14:textId="1DD0E33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3,39</w:t>
            </w:r>
          </w:p>
        </w:tc>
        <w:tc>
          <w:tcPr>
            <w:tcW w:w="1269" w:type="dxa"/>
            <w:tcBorders>
              <w:bottom w:val="single" w:sz="4" w:space="0" w:color="auto"/>
            </w:tcBorders>
            <w:shd w:val="clear" w:color="000000" w:fill="FF9966"/>
            <w:noWrap/>
            <w:vAlign w:val="bottom"/>
            <w:hideMark/>
          </w:tcPr>
          <w:p w14:paraId="4ADC036C" w14:textId="7B4138A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1,035</w:t>
            </w:r>
          </w:p>
        </w:tc>
        <w:tc>
          <w:tcPr>
            <w:tcW w:w="903" w:type="dxa"/>
            <w:tcBorders>
              <w:bottom w:val="single" w:sz="4" w:space="0" w:color="auto"/>
            </w:tcBorders>
            <w:shd w:val="clear" w:color="000000" w:fill="FF9966"/>
            <w:noWrap/>
            <w:vAlign w:val="bottom"/>
            <w:hideMark/>
          </w:tcPr>
          <w:p w14:paraId="757C253E" w14:textId="4EEB7FBA"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428,5</w:t>
            </w:r>
          </w:p>
        </w:tc>
        <w:tc>
          <w:tcPr>
            <w:tcW w:w="1015" w:type="dxa"/>
            <w:tcBorders>
              <w:bottom w:val="single" w:sz="4" w:space="0" w:color="auto"/>
            </w:tcBorders>
            <w:shd w:val="clear" w:color="000000" w:fill="FF9966"/>
            <w:noWrap/>
            <w:vAlign w:val="bottom"/>
            <w:hideMark/>
          </w:tcPr>
          <w:p w14:paraId="36ADA1A7" w14:textId="1A5D8A6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2,31</w:t>
            </w:r>
          </w:p>
        </w:tc>
        <w:tc>
          <w:tcPr>
            <w:tcW w:w="938" w:type="dxa"/>
            <w:tcBorders>
              <w:bottom w:val="single" w:sz="4" w:space="0" w:color="auto"/>
            </w:tcBorders>
            <w:shd w:val="clear" w:color="000000" w:fill="FF9966"/>
            <w:noWrap/>
            <w:vAlign w:val="bottom"/>
            <w:hideMark/>
          </w:tcPr>
          <w:p w14:paraId="51E631D5" w14:textId="4E8F15A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146,8</w:t>
            </w:r>
          </w:p>
        </w:tc>
        <w:tc>
          <w:tcPr>
            <w:tcW w:w="938" w:type="dxa"/>
            <w:tcBorders>
              <w:bottom w:val="single" w:sz="4" w:space="0" w:color="auto"/>
            </w:tcBorders>
            <w:shd w:val="clear" w:color="000000" w:fill="FF9966"/>
            <w:noWrap/>
            <w:vAlign w:val="bottom"/>
            <w:hideMark/>
          </w:tcPr>
          <w:p w14:paraId="07129991" w14:textId="7CE7E52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44,8</w:t>
            </w:r>
          </w:p>
        </w:tc>
      </w:tr>
      <w:tr w:rsidR="00DA68ED" w:rsidRPr="00A1696A" w14:paraId="7AEED060" w14:textId="77777777" w:rsidTr="00DA68ED">
        <w:trPr>
          <w:trHeight w:val="268"/>
        </w:trPr>
        <w:tc>
          <w:tcPr>
            <w:tcW w:w="1265" w:type="dxa"/>
            <w:shd w:val="clear" w:color="000000" w:fill="FFFF99"/>
            <w:noWrap/>
            <w:vAlign w:val="bottom"/>
            <w:hideMark/>
          </w:tcPr>
          <w:p w14:paraId="00193C22"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RE-7</w:t>
            </w:r>
          </w:p>
        </w:tc>
        <w:tc>
          <w:tcPr>
            <w:tcW w:w="1270" w:type="dxa"/>
            <w:shd w:val="clear" w:color="000000" w:fill="FFFF99"/>
            <w:vAlign w:val="bottom"/>
          </w:tcPr>
          <w:p w14:paraId="63248AA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411" w:type="dxa"/>
            <w:shd w:val="clear" w:color="000000" w:fill="FFFF99"/>
            <w:vAlign w:val="bottom"/>
          </w:tcPr>
          <w:p w14:paraId="0BE78874" w14:textId="0EFD832B"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558,0</w:t>
            </w:r>
          </w:p>
        </w:tc>
        <w:tc>
          <w:tcPr>
            <w:tcW w:w="1835" w:type="dxa"/>
            <w:shd w:val="clear" w:color="000000" w:fill="FFFF99"/>
            <w:vAlign w:val="bottom"/>
          </w:tcPr>
          <w:p w14:paraId="4C6A8735" w14:textId="51B526D3"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000000" w:fill="FFFF99"/>
            <w:noWrap/>
            <w:vAlign w:val="bottom"/>
            <w:hideMark/>
          </w:tcPr>
          <w:p w14:paraId="2DD1D785" w14:textId="762E86C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000000" w:fill="FFFF99"/>
            <w:noWrap/>
            <w:vAlign w:val="bottom"/>
            <w:hideMark/>
          </w:tcPr>
          <w:p w14:paraId="6645C5EE" w14:textId="5F7DB2A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3,51</w:t>
            </w:r>
          </w:p>
        </w:tc>
        <w:tc>
          <w:tcPr>
            <w:tcW w:w="1269" w:type="dxa"/>
            <w:shd w:val="clear" w:color="000000" w:fill="FFFF99"/>
            <w:noWrap/>
            <w:vAlign w:val="bottom"/>
            <w:hideMark/>
          </w:tcPr>
          <w:p w14:paraId="1DC739A5" w14:textId="0FB52C0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0,77</w:t>
            </w:r>
          </w:p>
        </w:tc>
        <w:tc>
          <w:tcPr>
            <w:tcW w:w="903" w:type="dxa"/>
            <w:shd w:val="clear" w:color="000000" w:fill="FFFF99"/>
            <w:noWrap/>
            <w:vAlign w:val="bottom"/>
            <w:hideMark/>
          </w:tcPr>
          <w:p w14:paraId="7EFB1DEB" w14:textId="49C80EB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426,5</w:t>
            </w:r>
          </w:p>
        </w:tc>
        <w:tc>
          <w:tcPr>
            <w:tcW w:w="1015" w:type="dxa"/>
            <w:shd w:val="clear" w:color="000000" w:fill="FFFF99"/>
            <w:noWrap/>
            <w:vAlign w:val="bottom"/>
            <w:hideMark/>
          </w:tcPr>
          <w:p w14:paraId="02B7BC4E" w14:textId="6BAE712B"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1,88</w:t>
            </w:r>
          </w:p>
        </w:tc>
        <w:tc>
          <w:tcPr>
            <w:tcW w:w="938" w:type="dxa"/>
            <w:shd w:val="clear" w:color="000000" w:fill="FFFF99"/>
            <w:noWrap/>
            <w:vAlign w:val="bottom"/>
            <w:hideMark/>
          </w:tcPr>
          <w:p w14:paraId="204C7345" w14:textId="1FA76C5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186,5</w:t>
            </w:r>
          </w:p>
        </w:tc>
        <w:tc>
          <w:tcPr>
            <w:tcW w:w="938" w:type="dxa"/>
            <w:shd w:val="clear" w:color="000000" w:fill="FFFF99"/>
            <w:noWrap/>
            <w:vAlign w:val="bottom"/>
            <w:hideMark/>
          </w:tcPr>
          <w:p w14:paraId="2FEEE5B3"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41</w:t>
            </w:r>
          </w:p>
        </w:tc>
      </w:tr>
      <w:tr w:rsidR="00DA68ED" w:rsidRPr="00A1696A" w14:paraId="7A011A4F" w14:textId="77777777" w:rsidTr="00DA68ED">
        <w:trPr>
          <w:trHeight w:val="268"/>
        </w:trPr>
        <w:tc>
          <w:tcPr>
            <w:tcW w:w="1265" w:type="dxa"/>
            <w:shd w:val="clear" w:color="auto" w:fill="auto"/>
            <w:noWrap/>
            <w:vAlign w:val="bottom"/>
            <w:hideMark/>
          </w:tcPr>
          <w:p w14:paraId="36BCF69A"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RE-8</w:t>
            </w:r>
          </w:p>
        </w:tc>
        <w:tc>
          <w:tcPr>
            <w:tcW w:w="1270" w:type="dxa"/>
            <w:vAlign w:val="bottom"/>
          </w:tcPr>
          <w:p w14:paraId="0A4D320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411" w:type="dxa"/>
            <w:vAlign w:val="bottom"/>
          </w:tcPr>
          <w:p w14:paraId="4E845C2E" w14:textId="49CAC44C"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709,0</w:t>
            </w:r>
          </w:p>
        </w:tc>
        <w:tc>
          <w:tcPr>
            <w:tcW w:w="1835" w:type="dxa"/>
            <w:vAlign w:val="bottom"/>
          </w:tcPr>
          <w:p w14:paraId="46D1284D" w14:textId="55120268"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6103F8C6" w14:textId="6DC7B91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706BA5DC" w14:textId="7DC03629"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0,16</w:t>
            </w:r>
          </w:p>
        </w:tc>
        <w:tc>
          <w:tcPr>
            <w:tcW w:w="1269" w:type="dxa"/>
            <w:shd w:val="clear" w:color="auto" w:fill="auto"/>
            <w:noWrap/>
            <w:vAlign w:val="bottom"/>
            <w:hideMark/>
          </w:tcPr>
          <w:p w14:paraId="6CC6D245" w14:textId="34A4DAC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0,23</w:t>
            </w:r>
          </w:p>
        </w:tc>
        <w:tc>
          <w:tcPr>
            <w:tcW w:w="903" w:type="dxa"/>
            <w:shd w:val="clear" w:color="auto" w:fill="auto"/>
            <w:noWrap/>
            <w:vAlign w:val="bottom"/>
            <w:hideMark/>
          </w:tcPr>
          <w:p w14:paraId="227D89E5" w14:textId="6CF7854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427,5</w:t>
            </w:r>
          </w:p>
        </w:tc>
        <w:tc>
          <w:tcPr>
            <w:tcW w:w="1015" w:type="dxa"/>
            <w:shd w:val="clear" w:color="auto" w:fill="auto"/>
            <w:noWrap/>
            <w:vAlign w:val="bottom"/>
            <w:hideMark/>
          </w:tcPr>
          <w:p w14:paraId="451FCE2A" w14:textId="7C3E83E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0,37</w:t>
            </w:r>
          </w:p>
        </w:tc>
        <w:tc>
          <w:tcPr>
            <w:tcW w:w="938" w:type="dxa"/>
            <w:shd w:val="clear" w:color="auto" w:fill="auto"/>
            <w:noWrap/>
            <w:vAlign w:val="bottom"/>
            <w:hideMark/>
          </w:tcPr>
          <w:p w14:paraId="39C2F493" w14:textId="0ADE6D1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43,3</w:t>
            </w:r>
          </w:p>
        </w:tc>
        <w:tc>
          <w:tcPr>
            <w:tcW w:w="938" w:type="dxa"/>
            <w:shd w:val="clear" w:color="auto" w:fill="auto"/>
            <w:noWrap/>
            <w:vAlign w:val="bottom"/>
            <w:hideMark/>
          </w:tcPr>
          <w:p w14:paraId="072D902F" w14:textId="0C6DCD6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63,5</w:t>
            </w:r>
          </w:p>
        </w:tc>
      </w:tr>
      <w:tr w:rsidR="00DA68ED" w:rsidRPr="00A1696A" w14:paraId="0BB1CD21" w14:textId="77777777" w:rsidTr="00DA68ED">
        <w:trPr>
          <w:trHeight w:val="268"/>
        </w:trPr>
        <w:tc>
          <w:tcPr>
            <w:tcW w:w="1265" w:type="dxa"/>
            <w:shd w:val="clear" w:color="auto" w:fill="auto"/>
            <w:noWrap/>
            <w:vAlign w:val="bottom"/>
            <w:hideMark/>
          </w:tcPr>
          <w:p w14:paraId="175B5498"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RE-9</w:t>
            </w:r>
          </w:p>
        </w:tc>
        <w:tc>
          <w:tcPr>
            <w:tcW w:w="1270" w:type="dxa"/>
            <w:vAlign w:val="bottom"/>
          </w:tcPr>
          <w:p w14:paraId="25C9037E"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G6</w:t>
            </w:r>
          </w:p>
        </w:tc>
        <w:tc>
          <w:tcPr>
            <w:tcW w:w="1411" w:type="dxa"/>
            <w:vAlign w:val="bottom"/>
          </w:tcPr>
          <w:p w14:paraId="2B97BC10" w14:textId="4F3763E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816,8</w:t>
            </w:r>
          </w:p>
        </w:tc>
        <w:tc>
          <w:tcPr>
            <w:tcW w:w="1835" w:type="dxa"/>
            <w:vAlign w:val="bottom"/>
          </w:tcPr>
          <w:p w14:paraId="771669A2" w14:textId="42C13CBA"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31DF520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shd w:val="clear" w:color="auto" w:fill="auto"/>
            <w:noWrap/>
            <w:vAlign w:val="bottom"/>
            <w:hideMark/>
          </w:tcPr>
          <w:p w14:paraId="5F5BB3A2" w14:textId="7E32314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69" w:type="dxa"/>
            <w:shd w:val="clear" w:color="auto" w:fill="auto"/>
            <w:noWrap/>
            <w:vAlign w:val="bottom"/>
            <w:hideMark/>
          </w:tcPr>
          <w:p w14:paraId="5C0731CE" w14:textId="27CFF58A"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0,23</w:t>
            </w:r>
          </w:p>
        </w:tc>
        <w:tc>
          <w:tcPr>
            <w:tcW w:w="903" w:type="dxa"/>
            <w:shd w:val="clear" w:color="auto" w:fill="auto"/>
            <w:noWrap/>
            <w:vAlign w:val="bottom"/>
            <w:hideMark/>
          </w:tcPr>
          <w:p w14:paraId="1B0E9184" w14:textId="0475F6F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428,5</w:t>
            </w:r>
          </w:p>
        </w:tc>
        <w:tc>
          <w:tcPr>
            <w:tcW w:w="1015" w:type="dxa"/>
            <w:shd w:val="clear" w:color="auto" w:fill="auto"/>
            <w:noWrap/>
            <w:vAlign w:val="bottom"/>
            <w:hideMark/>
          </w:tcPr>
          <w:p w14:paraId="18F13B17" w14:textId="54244C4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0,235</w:t>
            </w:r>
          </w:p>
        </w:tc>
        <w:tc>
          <w:tcPr>
            <w:tcW w:w="938" w:type="dxa"/>
            <w:shd w:val="clear" w:color="auto" w:fill="auto"/>
            <w:noWrap/>
            <w:vAlign w:val="bottom"/>
            <w:hideMark/>
          </w:tcPr>
          <w:p w14:paraId="0895800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w:t>
            </w:r>
          </w:p>
        </w:tc>
        <w:tc>
          <w:tcPr>
            <w:tcW w:w="938" w:type="dxa"/>
            <w:shd w:val="clear" w:color="auto" w:fill="auto"/>
            <w:noWrap/>
            <w:vAlign w:val="bottom"/>
            <w:hideMark/>
          </w:tcPr>
          <w:p w14:paraId="6A5CF863"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98</w:t>
            </w:r>
          </w:p>
        </w:tc>
      </w:tr>
      <w:tr w:rsidR="00DA68ED" w:rsidRPr="00A1696A" w14:paraId="718A5196" w14:textId="77777777" w:rsidTr="00DA68ED">
        <w:trPr>
          <w:trHeight w:val="268"/>
        </w:trPr>
        <w:tc>
          <w:tcPr>
            <w:tcW w:w="1265" w:type="dxa"/>
            <w:shd w:val="clear" w:color="auto" w:fill="auto"/>
            <w:noWrap/>
            <w:vAlign w:val="bottom"/>
            <w:hideMark/>
          </w:tcPr>
          <w:p w14:paraId="3F17125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RE-10</w:t>
            </w:r>
          </w:p>
        </w:tc>
        <w:tc>
          <w:tcPr>
            <w:tcW w:w="1270" w:type="dxa"/>
            <w:vAlign w:val="bottom"/>
          </w:tcPr>
          <w:p w14:paraId="7326E1DA"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35B35105" w14:textId="38FDA45A"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875,8</w:t>
            </w:r>
          </w:p>
        </w:tc>
        <w:tc>
          <w:tcPr>
            <w:tcW w:w="1835" w:type="dxa"/>
            <w:vAlign w:val="bottom"/>
          </w:tcPr>
          <w:p w14:paraId="3B380B27" w14:textId="59177933"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7010A4F1" w14:textId="389C67D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4994A038" w14:textId="07AD848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0,02</w:t>
            </w:r>
          </w:p>
        </w:tc>
        <w:tc>
          <w:tcPr>
            <w:tcW w:w="1269" w:type="dxa"/>
            <w:shd w:val="clear" w:color="auto" w:fill="auto"/>
            <w:noWrap/>
            <w:vAlign w:val="bottom"/>
            <w:hideMark/>
          </w:tcPr>
          <w:p w14:paraId="65D3691F" w14:textId="20AD3B3A"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0,245</w:t>
            </w:r>
          </w:p>
        </w:tc>
        <w:tc>
          <w:tcPr>
            <w:tcW w:w="903" w:type="dxa"/>
            <w:shd w:val="clear" w:color="auto" w:fill="auto"/>
            <w:noWrap/>
            <w:vAlign w:val="bottom"/>
            <w:hideMark/>
          </w:tcPr>
          <w:p w14:paraId="7A74AFDC" w14:textId="321D5ED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429,5</w:t>
            </w:r>
          </w:p>
        </w:tc>
        <w:tc>
          <w:tcPr>
            <w:tcW w:w="1015" w:type="dxa"/>
            <w:shd w:val="clear" w:color="auto" w:fill="auto"/>
            <w:noWrap/>
            <w:vAlign w:val="bottom"/>
            <w:hideMark/>
          </w:tcPr>
          <w:p w14:paraId="698B96D0" w14:textId="5365DDC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0,27</w:t>
            </w:r>
          </w:p>
        </w:tc>
        <w:tc>
          <w:tcPr>
            <w:tcW w:w="938" w:type="dxa"/>
            <w:shd w:val="clear" w:color="auto" w:fill="auto"/>
            <w:noWrap/>
            <w:vAlign w:val="bottom"/>
            <w:hideMark/>
          </w:tcPr>
          <w:p w14:paraId="59E6CFD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7</w:t>
            </w:r>
          </w:p>
        </w:tc>
        <w:tc>
          <w:tcPr>
            <w:tcW w:w="938" w:type="dxa"/>
            <w:shd w:val="clear" w:color="auto" w:fill="auto"/>
            <w:noWrap/>
            <w:vAlign w:val="bottom"/>
            <w:hideMark/>
          </w:tcPr>
          <w:p w14:paraId="06BF3CC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91</w:t>
            </w:r>
          </w:p>
        </w:tc>
      </w:tr>
      <w:tr w:rsidR="00DA68ED" w:rsidRPr="00A1696A" w14:paraId="662B178D" w14:textId="77777777" w:rsidTr="00DA68ED">
        <w:trPr>
          <w:trHeight w:val="268"/>
        </w:trPr>
        <w:tc>
          <w:tcPr>
            <w:tcW w:w="1265" w:type="dxa"/>
            <w:shd w:val="clear" w:color="auto" w:fill="auto"/>
            <w:noWrap/>
            <w:vAlign w:val="bottom"/>
            <w:hideMark/>
          </w:tcPr>
          <w:p w14:paraId="6268DE6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RE-11</w:t>
            </w:r>
          </w:p>
        </w:tc>
        <w:tc>
          <w:tcPr>
            <w:tcW w:w="1270" w:type="dxa"/>
            <w:vAlign w:val="bottom"/>
          </w:tcPr>
          <w:p w14:paraId="6C28F972"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G7, G8</w:t>
            </w:r>
          </w:p>
        </w:tc>
        <w:tc>
          <w:tcPr>
            <w:tcW w:w="1411" w:type="dxa"/>
            <w:vAlign w:val="bottom"/>
          </w:tcPr>
          <w:p w14:paraId="7AF6770F" w14:textId="023ECF9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1685,3</w:t>
            </w:r>
          </w:p>
        </w:tc>
        <w:tc>
          <w:tcPr>
            <w:tcW w:w="1835" w:type="dxa"/>
            <w:vAlign w:val="bottom"/>
          </w:tcPr>
          <w:p w14:paraId="5C4262F9" w14:textId="07CB4F3B"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 xml:space="preserve">Ск. с възраст J(?) </w:t>
            </w:r>
          </w:p>
        </w:tc>
        <w:tc>
          <w:tcPr>
            <w:tcW w:w="1270" w:type="dxa"/>
            <w:shd w:val="clear" w:color="auto" w:fill="auto"/>
            <w:noWrap/>
            <w:vAlign w:val="bottom"/>
            <w:hideMark/>
          </w:tcPr>
          <w:p w14:paraId="79DBD347" w14:textId="49B58C1A"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01454F6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5B0482D4" w14:textId="4AD255A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0,115</w:t>
            </w:r>
          </w:p>
        </w:tc>
        <w:tc>
          <w:tcPr>
            <w:tcW w:w="903" w:type="dxa"/>
            <w:shd w:val="clear" w:color="auto" w:fill="auto"/>
            <w:noWrap/>
            <w:vAlign w:val="bottom"/>
            <w:hideMark/>
          </w:tcPr>
          <w:p w14:paraId="571BD961" w14:textId="7F27073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262,5</w:t>
            </w:r>
          </w:p>
        </w:tc>
        <w:tc>
          <w:tcPr>
            <w:tcW w:w="1015" w:type="dxa"/>
            <w:shd w:val="clear" w:color="auto" w:fill="auto"/>
            <w:noWrap/>
            <w:vAlign w:val="bottom"/>
            <w:hideMark/>
          </w:tcPr>
          <w:p w14:paraId="626F45CA" w14:textId="728515B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w:t>
            </w:r>
          </w:p>
        </w:tc>
        <w:tc>
          <w:tcPr>
            <w:tcW w:w="938" w:type="dxa"/>
            <w:shd w:val="clear" w:color="auto" w:fill="auto"/>
            <w:noWrap/>
            <w:vAlign w:val="bottom"/>
            <w:hideMark/>
          </w:tcPr>
          <w:p w14:paraId="4AD00A9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2A324919"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115</w:t>
            </w:r>
          </w:p>
        </w:tc>
      </w:tr>
      <w:tr w:rsidR="00DA68ED" w:rsidRPr="00A1696A" w14:paraId="30D75DC0" w14:textId="77777777" w:rsidTr="00DA68ED">
        <w:trPr>
          <w:trHeight w:val="268"/>
        </w:trPr>
        <w:tc>
          <w:tcPr>
            <w:tcW w:w="1265" w:type="dxa"/>
            <w:shd w:val="clear" w:color="auto" w:fill="auto"/>
            <w:noWrap/>
            <w:vAlign w:val="bottom"/>
            <w:hideMark/>
          </w:tcPr>
          <w:p w14:paraId="1E33636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RE-12</w:t>
            </w:r>
          </w:p>
        </w:tc>
        <w:tc>
          <w:tcPr>
            <w:tcW w:w="1270" w:type="dxa"/>
            <w:vAlign w:val="bottom"/>
          </w:tcPr>
          <w:p w14:paraId="34791E7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25928FFA"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55B3C171" w14:textId="18B8424D"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ПМЗ</w:t>
            </w:r>
          </w:p>
        </w:tc>
        <w:tc>
          <w:tcPr>
            <w:tcW w:w="1270" w:type="dxa"/>
            <w:shd w:val="clear" w:color="auto" w:fill="auto"/>
            <w:noWrap/>
            <w:vAlign w:val="bottom"/>
            <w:hideMark/>
          </w:tcPr>
          <w:p w14:paraId="6C10E72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shd w:val="clear" w:color="auto" w:fill="auto"/>
            <w:noWrap/>
            <w:vAlign w:val="bottom"/>
            <w:hideMark/>
          </w:tcPr>
          <w:p w14:paraId="5F81224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780DE179" w14:textId="221071E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0,43</w:t>
            </w:r>
          </w:p>
        </w:tc>
        <w:tc>
          <w:tcPr>
            <w:tcW w:w="903" w:type="dxa"/>
            <w:shd w:val="clear" w:color="auto" w:fill="auto"/>
            <w:noWrap/>
            <w:vAlign w:val="bottom"/>
            <w:hideMark/>
          </w:tcPr>
          <w:p w14:paraId="478FE8AD"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76DE094A" w14:textId="1F85F6B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0,03</w:t>
            </w:r>
          </w:p>
        </w:tc>
        <w:tc>
          <w:tcPr>
            <w:tcW w:w="938" w:type="dxa"/>
            <w:shd w:val="clear" w:color="auto" w:fill="auto"/>
            <w:noWrap/>
            <w:vAlign w:val="bottom"/>
            <w:hideMark/>
          </w:tcPr>
          <w:p w14:paraId="7C883D14"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119C362F" w14:textId="171B406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1433</w:t>
            </w:r>
          </w:p>
        </w:tc>
      </w:tr>
      <w:tr w:rsidR="00DA68ED" w:rsidRPr="00A1696A" w14:paraId="3F272493" w14:textId="77777777" w:rsidTr="00DA68ED">
        <w:trPr>
          <w:trHeight w:val="268"/>
        </w:trPr>
        <w:tc>
          <w:tcPr>
            <w:tcW w:w="1265" w:type="dxa"/>
            <w:shd w:val="clear" w:color="auto" w:fill="auto"/>
            <w:noWrap/>
            <w:vAlign w:val="bottom"/>
            <w:hideMark/>
          </w:tcPr>
          <w:p w14:paraId="51345CD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RE-13</w:t>
            </w:r>
          </w:p>
        </w:tc>
        <w:tc>
          <w:tcPr>
            <w:tcW w:w="1270" w:type="dxa"/>
            <w:vAlign w:val="bottom"/>
          </w:tcPr>
          <w:p w14:paraId="60D9EED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23AC359A"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7EE5E0A" w14:textId="3CA7B9B5"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ВС</w:t>
            </w:r>
          </w:p>
        </w:tc>
        <w:tc>
          <w:tcPr>
            <w:tcW w:w="1270" w:type="dxa"/>
            <w:shd w:val="clear" w:color="auto" w:fill="auto"/>
            <w:noWrap/>
            <w:vAlign w:val="bottom"/>
            <w:hideMark/>
          </w:tcPr>
          <w:p w14:paraId="0E9AA47D" w14:textId="1A2D37F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5DA516D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21692DBD" w14:textId="3888398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0,28</w:t>
            </w:r>
          </w:p>
        </w:tc>
        <w:tc>
          <w:tcPr>
            <w:tcW w:w="903" w:type="dxa"/>
            <w:shd w:val="clear" w:color="auto" w:fill="auto"/>
            <w:noWrap/>
            <w:vAlign w:val="bottom"/>
            <w:hideMark/>
          </w:tcPr>
          <w:p w14:paraId="5B0C6F0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070BF7F9" w14:textId="7F4B551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0,15</w:t>
            </w:r>
          </w:p>
        </w:tc>
        <w:tc>
          <w:tcPr>
            <w:tcW w:w="938" w:type="dxa"/>
            <w:shd w:val="clear" w:color="auto" w:fill="auto"/>
            <w:noWrap/>
            <w:vAlign w:val="bottom"/>
            <w:hideMark/>
          </w:tcPr>
          <w:p w14:paraId="10C9DA46"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2AC7698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187</w:t>
            </w:r>
          </w:p>
        </w:tc>
      </w:tr>
      <w:tr w:rsidR="00DA68ED" w:rsidRPr="00A1696A" w14:paraId="68382D29" w14:textId="77777777" w:rsidTr="00DA68ED">
        <w:trPr>
          <w:trHeight w:val="268"/>
        </w:trPr>
        <w:tc>
          <w:tcPr>
            <w:tcW w:w="1265" w:type="dxa"/>
            <w:shd w:val="clear" w:color="auto" w:fill="auto"/>
            <w:noWrap/>
            <w:vAlign w:val="bottom"/>
            <w:hideMark/>
          </w:tcPr>
          <w:p w14:paraId="5BB2E368"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RE-14</w:t>
            </w:r>
          </w:p>
        </w:tc>
        <w:tc>
          <w:tcPr>
            <w:tcW w:w="1270" w:type="dxa"/>
            <w:vAlign w:val="bottom"/>
          </w:tcPr>
          <w:p w14:paraId="78CAFBF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1E316E9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696BE5A0" w14:textId="6068DFF6"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ПМЗ</w:t>
            </w:r>
          </w:p>
        </w:tc>
        <w:tc>
          <w:tcPr>
            <w:tcW w:w="1270" w:type="dxa"/>
            <w:shd w:val="clear" w:color="auto" w:fill="auto"/>
            <w:noWrap/>
            <w:vAlign w:val="bottom"/>
            <w:hideMark/>
          </w:tcPr>
          <w:p w14:paraId="6B551E5D" w14:textId="0CAE3A6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3B7ABD9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6EC706D1" w14:textId="23BCC97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0,65</w:t>
            </w:r>
          </w:p>
        </w:tc>
        <w:tc>
          <w:tcPr>
            <w:tcW w:w="903" w:type="dxa"/>
            <w:shd w:val="clear" w:color="auto" w:fill="auto"/>
            <w:noWrap/>
            <w:vAlign w:val="bottom"/>
            <w:hideMark/>
          </w:tcPr>
          <w:p w14:paraId="645D6108"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6D605954" w14:textId="69F6266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0,11</w:t>
            </w:r>
          </w:p>
        </w:tc>
        <w:tc>
          <w:tcPr>
            <w:tcW w:w="938" w:type="dxa"/>
            <w:shd w:val="clear" w:color="auto" w:fill="auto"/>
            <w:noWrap/>
            <w:vAlign w:val="bottom"/>
            <w:hideMark/>
          </w:tcPr>
          <w:p w14:paraId="2697804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1D1FCE40"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595</w:t>
            </w:r>
          </w:p>
        </w:tc>
      </w:tr>
      <w:tr w:rsidR="00DA68ED" w:rsidRPr="00A1696A" w14:paraId="3A4F9928" w14:textId="77777777" w:rsidTr="00DA68ED">
        <w:trPr>
          <w:trHeight w:val="268"/>
        </w:trPr>
        <w:tc>
          <w:tcPr>
            <w:tcW w:w="1265" w:type="dxa"/>
            <w:shd w:val="clear" w:color="auto" w:fill="auto"/>
            <w:noWrap/>
            <w:vAlign w:val="bottom"/>
            <w:hideMark/>
          </w:tcPr>
          <w:p w14:paraId="4E297BC6"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RE-15</w:t>
            </w:r>
          </w:p>
        </w:tc>
        <w:tc>
          <w:tcPr>
            <w:tcW w:w="1270" w:type="dxa"/>
            <w:vAlign w:val="bottom"/>
          </w:tcPr>
          <w:p w14:paraId="287E3AC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0DA130E5"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BDD83CD" w14:textId="5E3F89CD"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ПМЗ</w:t>
            </w:r>
          </w:p>
        </w:tc>
        <w:tc>
          <w:tcPr>
            <w:tcW w:w="1270" w:type="dxa"/>
            <w:shd w:val="clear" w:color="auto" w:fill="auto"/>
            <w:noWrap/>
            <w:vAlign w:val="bottom"/>
            <w:hideMark/>
          </w:tcPr>
          <w:p w14:paraId="7C163BA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shd w:val="clear" w:color="auto" w:fill="auto"/>
            <w:noWrap/>
            <w:vAlign w:val="bottom"/>
            <w:hideMark/>
          </w:tcPr>
          <w:p w14:paraId="7BFBF40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0BCE63FA" w14:textId="54E88A5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0,485</w:t>
            </w:r>
          </w:p>
        </w:tc>
        <w:tc>
          <w:tcPr>
            <w:tcW w:w="903" w:type="dxa"/>
            <w:shd w:val="clear" w:color="auto" w:fill="auto"/>
            <w:noWrap/>
            <w:vAlign w:val="bottom"/>
            <w:hideMark/>
          </w:tcPr>
          <w:p w14:paraId="07DE2BC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263</w:t>
            </w:r>
          </w:p>
        </w:tc>
        <w:tc>
          <w:tcPr>
            <w:tcW w:w="1015" w:type="dxa"/>
            <w:shd w:val="clear" w:color="auto" w:fill="auto"/>
            <w:noWrap/>
            <w:vAlign w:val="bottom"/>
            <w:hideMark/>
          </w:tcPr>
          <w:p w14:paraId="7142A02C" w14:textId="35A8F5C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0,12</w:t>
            </w:r>
          </w:p>
        </w:tc>
        <w:tc>
          <w:tcPr>
            <w:tcW w:w="938" w:type="dxa"/>
            <w:shd w:val="clear" w:color="auto" w:fill="auto"/>
            <w:noWrap/>
            <w:vAlign w:val="bottom"/>
            <w:hideMark/>
          </w:tcPr>
          <w:p w14:paraId="56E71E8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7B8BB94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405</w:t>
            </w:r>
          </w:p>
        </w:tc>
      </w:tr>
      <w:tr w:rsidR="00DA68ED" w:rsidRPr="00A1696A" w14:paraId="79321E6C" w14:textId="77777777" w:rsidTr="00DA68ED">
        <w:trPr>
          <w:trHeight w:val="268"/>
        </w:trPr>
        <w:tc>
          <w:tcPr>
            <w:tcW w:w="1265" w:type="dxa"/>
            <w:shd w:val="clear" w:color="auto" w:fill="auto"/>
            <w:noWrap/>
            <w:vAlign w:val="bottom"/>
            <w:hideMark/>
          </w:tcPr>
          <w:p w14:paraId="1AB36E92"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RE-16</w:t>
            </w:r>
          </w:p>
        </w:tc>
        <w:tc>
          <w:tcPr>
            <w:tcW w:w="1270" w:type="dxa"/>
            <w:vAlign w:val="bottom"/>
          </w:tcPr>
          <w:p w14:paraId="70A5A51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1DBC2DB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573299C6" w14:textId="14F03813"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ПМЗ</w:t>
            </w:r>
          </w:p>
        </w:tc>
        <w:tc>
          <w:tcPr>
            <w:tcW w:w="1270" w:type="dxa"/>
            <w:shd w:val="clear" w:color="auto" w:fill="auto"/>
            <w:noWrap/>
            <w:vAlign w:val="bottom"/>
            <w:hideMark/>
          </w:tcPr>
          <w:p w14:paraId="4B422808" w14:textId="37B8A2C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44069259"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4B293932" w14:textId="5D529FF1"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0,12</w:t>
            </w:r>
          </w:p>
        </w:tc>
        <w:tc>
          <w:tcPr>
            <w:tcW w:w="903" w:type="dxa"/>
            <w:shd w:val="clear" w:color="auto" w:fill="auto"/>
            <w:noWrap/>
            <w:vAlign w:val="bottom"/>
            <w:hideMark/>
          </w:tcPr>
          <w:p w14:paraId="07841D57"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726654D7" w14:textId="2A4C77E9"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0,04</w:t>
            </w:r>
          </w:p>
        </w:tc>
        <w:tc>
          <w:tcPr>
            <w:tcW w:w="938" w:type="dxa"/>
            <w:shd w:val="clear" w:color="auto" w:fill="auto"/>
            <w:noWrap/>
            <w:vAlign w:val="bottom"/>
            <w:hideMark/>
          </w:tcPr>
          <w:p w14:paraId="38B990E6"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41F899D3"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300</w:t>
            </w:r>
          </w:p>
        </w:tc>
      </w:tr>
      <w:tr w:rsidR="00DA68ED" w:rsidRPr="00A1696A" w14:paraId="1368D08F" w14:textId="77777777" w:rsidTr="00DA68ED">
        <w:trPr>
          <w:trHeight w:val="268"/>
        </w:trPr>
        <w:tc>
          <w:tcPr>
            <w:tcW w:w="1265" w:type="dxa"/>
            <w:shd w:val="clear" w:color="auto" w:fill="auto"/>
            <w:noWrap/>
            <w:vAlign w:val="bottom"/>
            <w:hideMark/>
          </w:tcPr>
          <w:p w14:paraId="12C60F3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RE-17</w:t>
            </w:r>
          </w:p>
        </w:tc>
        <w:tc>
          <w:tcPr>
            <w:tcW w:w="1270" w:type="dxa"/>
            <w:vAlign w:val="bottom"/>
          </w:tcPr>
          <w:p w14:paraId="5342A618"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3EEABCE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4E5D25F5" w14:textId="54BBBE06"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auto" w:fill="auto"/>
            <w:noWrap/>
            <w:vAlign w:val="bottom"/>
            <w:hideMark/>
          </w:tcPr>
          <w:p w14:paraId="66860B82" w14:textId="0E6CF89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3F745C7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6E0BD35C" w14:textId="7A65B9C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0,215</w:t>
            </w:r>
          </w:p>
        </w:tc>
        <w:tc>
          <w:tcPr>
            <w:tcW w:w="903" w:type="dxa"/>
            <w:shd w:val="clear" w:color="auto" w:fill="auto"/>
            <w:noWrap/>
            <w:vAlign w:val="bottom"/>
            <w:hideMark/>
          </w:tcPr>
          <w:p w14:paraId="56B86EFA" w14:textId="003052F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262,5</w:t>
            </w:r>
          </w:p>
        </w:tc>
        <w:tc>
          <w:tcPr>
            <w:tcW w:w="1015" w:type="dxa"/>
            <w:shd w:val="clear" w:color="auto" w:fill="auto"/>
            <w:noWrap/>
            <w:vAlign w:val="bottom"/>
            <w:hideMark/>
          </w:tcPr>
          <w:p w14:paraId="7C863EB7" w14:textId="56A7520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0,055</w:t>
            </w:r>
          </w:p>
        </w:tc>
        <w:tc>
          <w:tcPr>
            <w:tcW w:w="938" w:type="dxa"/>
            <w:shd w:val="clear" w:color="auto" w:fill="auto"/>
            <w:noWrap/>
            <w:vAlign w:val="bottom"/>
            <w:hideMark/>
          </w:tcPr>
          <w:p w14:paraId="195BF428"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77B26F68" w14:textId="6CA8C9B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391</w:t>
            </w:r>
          </w:p>
        </w:tc>
      </w:tr>
      <w:tr w:rsidR="00DA68ED" w:rsidRPr="00A1696A" w14:paraId="7DA20353" w14:textId="77777777" w:rsidTr="00DA68ED">
        <w:trPr>
          <w:trHeight w:val="268"/>
        </w:trPr>
        <w:tc>
          <w:tcPr>
            <w:tcW w:w="1265" w:type="dxa"/>
            <w:shd w:val="clear" w:color="auto" w:fill="auto"/>
            <w:noWrap/>
            <w:vAlign w:val="bottom"/>
            <w:hideMark/>
          </w:tcPr>
          <w:p w14:paraId="3715C77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RE-18</w:t>
            </w:r>
          </w:p>
        </w:tc>
        <w:tc>
          <w:tcPr>
            <w:tcW w:w="1270" w:type="dxa"/>
            <w:vAlign w:val="bottom"/>
          </w:tcPr>
          <w:p w14:paraId="59918E3F"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400AF050"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EB1F657" w14:textId="606DE624"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0C445A2D" w14:textId="09BDB1D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3544197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1092792D" w14:textId="51CEA5D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0,275</w:t>
            </w:r>
          </w:p>
        </w:tc>
        <w:tc>
          <w:tcPr>
            <w:tcW w:w="903" w:type="dxa"/>
            <w:shd w:val="clear" w:color="auto" w:fill="auto"/>
            <w:noWrap/>
            <w:vAlign w:val="bottom"/>
            <w:hideMark/>
          </w:tcPr>
          <w:p w14:paraId="5E3F5FA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40448ABD" w14:textId="6733B2B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0,06</w:t>
            </w:r>
          </w:p>
        </w:tc>
        <w:tc>
          <w:tcPr>
            <w:tcW w:w="938" w:type="dxa"/>
            <w:shd w:val="clear" w:color="auto" w:fill="auto"/>
            <w:noWrap/>
            <w:vAlign w:val="bottom"/>
            <w:hideMark/>
          </w:tcPr>
          <w:p w14:paraId="1D0A0242"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2405628A" w14:textId="601ED1D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458</w:t>
            </w:r>
          </w:p>
        </w:tc>
      </w:tr>
      <w:tr w:rsidR="00DA68ED" w:rsidRPr="00A1696A" w14:paraId="4FEF4504" w14:textId="77777777" w:rsidTr="00DA68ED">
        <w:trPr>
          <w:trHeight w:val="268"/>
        </w:trPr>
        <w:tc>
          <w:tcPr>
            <w:tcW w:w="1265" w:type="dxa"/>
            <w:shd w:val="clear" w:color="auto" w:fill="auto"/>
            <w:noWrap/>
            <w:vAlign w:val="bottom"/>
            <w:hideMark/>
          </w:tcPr>
          <w:p w14:paraId="4B667406"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RE-19</w:t>
            </w:r>
          </w:p>
        </w:tc>
        <w:tc>
          <w:tcPr>
            <w:tcW w:w="1270" w:type="dxa"/>
            <w:vAlign w:val="bottom"/>
          </w:tcPr>
          <w:p w14:paraId="347DE12C"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5C342A6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584B8DF4" w14:textId="18BA6971"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6591AFF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shd w:val="clear" w:color="auto" w:fill="auto"/>
            <w:noWrap/>
            <w:vAlign w:val="bottom"/>
            <w:hideMark/>
          </w:tcPr>
          <w:p w14:paraId="211981C3"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6A93CB30" w14:textId="0763065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0,12</w:t>
            </w:r>
          </w:p>
        </w:tc>
        <w:tc>
          <w:tcPr>
            <w:tcW w:w="903" w:type="dxa"/>
            <w:shd w:val="clear" w:color="auto" w:fill="auto"/>
            <w:noWrap/>
            <w:vAlign w:val="bottom"/>
            <w:hideMark/>
          </w:tcPr>
          <w:p w14:paraId="42E6D6DD"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263</w:t>
            </w:r>
          </w:p>
        </w:tc>
        <w:tc>
          <w:tcPr>
            <w:tcW w:w="1015" w:type="dxa"/>
            <w:shd w:val="clear" w:color="auto" w:fill="auto"/>
            <w:noWrap/>
            <w:vAlign w:val="bottom"/>
            <w:hideMark/>
          </w:tcPr>
          <w:p w14:paraId="2CCDC1BD" w14:textId="45837E4B"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0,04</w:t>
            </w:r>
          </w:p>
        </w:tc>
        <w:tc>
          <w:tcPr>
            <w:tcW w:w="938" w:type="dxa"/>
            <w:shd w:val="clear" w:color="auto" w:fill="auto"/>
            <w:noWrap/>
            <w:vAlign w:val="bottom"/>
            <w:hideMark/>
          </w:tcPr>
          <w:p w14:paraId="2950490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080F59A8"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300</w:t>
            </w:r>
          </w:p>
        </w:tc>
      </w:tr>
      <w:tr w:rsidR="00DA68ED" w:rsidRPr="00A1696A" w14:paraId="2DBD3F70" w14:textId="77777777" w:rsidTr="00DA68ED">
        <w:trPr>
          <w:trHeight w:val="268"/>
        </w:trPr>
        <w:tc>
          <w:tcPr>
            <w:tcW w:w="1265" w:type="dxa"/>
            <w:shd w:val="clear" w:color="auto" w:fill="auto"/>
            <w:noWrap/>
            <w:vAlign w:val="bottom"/>
            <w:hideMark/>
          </w:tcPr>
          <w:p w14:paraId="29379321"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RE-20</w:t>
            </w:r>
          </w:p>
        </w:tc>
        <w:tc>
          <w:tcPr>
            <w:tcW w:w="1270" w:type="dxa"/>
            <w:vAlign w:val="bottom"/>
          </w:tcPr>
          <w:p w14:paraId="5414294F"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2481B11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1E747137" w14:textId="3F812D4C"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auto" w:fill="auto"/>
            <w:noWrap/>
            <w:vAlign w:val="bottom"/>
            <w:hideMark/>
          </w:tcPr>
          <w:p w14:paraId="74280FFD" w14:textId="4D04D6F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3FFA41E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7EBF8226" w14:textId="33EA3E6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0,26</w:t>
            </w:r>
          </w:p>
        </w:tc>
        <w:tc>
          <w:tcPr>
            <w:tcW w:w="903" w:type="dxa"/>
            <w:shd w:val="clear" w:color="auto" w:fill="auto"/>
            <w:noWrap/>
            <w:vAlign w:val="bottom"/>
            <w:hideMark/>
          </w:tcPr>
          <w:p w14:paraId="13F0EB56"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263</w:t>
            </w:r>
          </w:p>
        </w:tc>
        <w:tc>
          <w:tcPr>
            <w:tcW w:w="1015" w:type="dxa"/>
            <w:shd w:val="clear" w:color="auto" w:fill="auto"/>
            <w:noWrap/>
            <w:vAlign w:val="bottom"/>
            <w:hideMark/>
          </w:tcPr>
          <w:p w14:paraId="1C80FBB7" w14:textId="12E2905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0,065</w:t>
            </w:r>
          </w:p>
        </w:tc>
        <w:tc>
          <w:tcPr>
            <w:tcW w:w="938" w:type="dxa"/>
            <w:shd w:val="clear" w:color="auto" w:fill="auto"/>
            <w:noWrap/>
            <w:vAlign w:val="bottom"/>
            <w:hideMark/>
          </w:tcPr>
          <w:p w14:paraId="4EC76998"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532AD86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398</w:t>
            </w:r>
          </w:p>
        </w:tc>
      </w:tr>
      <w:tr w:rsidR="00DA68ED" w:rsidRPr="00A1696A" w14:paraId="63E9E874" w14:textId="77777777" w:rsidTr="00DA68ED">
        <w:trPr>
          <w:trHeight w:val="268"/>
        </w:trPr>
        <w:tc>
          <w:tcPr>
            <w:tcW w:w="1265" w:type="dxa"/>
            <w:shd w:val="clear" w:color="auto" w:fill="auto"/>
            <w:noWrap/>
            <w:vAlign w:val="bottom"/>
            <w:hideMark/>
          </w:tcPr>
          <w:p w14:paraId="503778D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RE-21</w:t>
            </w:r>
          </w:p>
        </w:tc>
        <w:tc>
          <w:tcPr>
            <w:tcW w:w="1270" w:type="dxa"/>
            <w:vAlign w:val="bottom"/>
          </w:tcPr>
          <w:p w14:paraId="7B249391"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G9</w:t>
            </w:r>
          </w:p>
        </w:tc>
        <w:tc>
          <w:tcPr>
            <w:tcW w:w="1411" w:type="dxa"/>
            <w:vAlign w:val="bottom"/>
          </w:tcPr>
          <w:p w14:paraId="453E2759"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C785CF7" w14:textId="58355BBE"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3093758E" w14:textId="1316B23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24118BF3"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5032A811" w14:textId="20A9396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0,33</w:t>
            </w:r>
          </w:p>
        </w:tc>
        <w:tc>
          <w:tcPr>
            <w:tcW w:w="903" w:type="dxa"/>
            <w:shd w:val="clear" w:color="auto" w:fill="auto"/>
            <w:noWrap/>
            <w:vAlign w:val="bottom"/>
            <w:hideMark/>
          </w:tcPr>
          <w:p w14:paraId="42667642" w14:textId="23BAF9F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262,5</w:t>
            </w:r>
          </w:p>
        </w:tc>
        <w:tc>
          <w:tcPr>
            <w:tcW w:w="1015" w:type="dxa"/>
            <w:shd w:val="clear" w:color="auto" w:fill="auto"/>
            <w:noWrap/>
            <w:vAlign w:val="bottom"/>
            <w:hideMark/>
          </w:tcPr>
          <w:p w14:paraId="6FD392E6" w14:textId="69E60D9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0,065</w:t>
            </w:r>
          </w:p>
        </w:tc>
        <w:tc>
          <w:tcPr>
            <w:tcW w:w="938" w:type="dxa"/>
            <w:shd w:val="clear" w:color="auto" w:fill="auto"/>
            <w:noWrap/>
            <w:vAlign w:val="bottom"/>
            <w:hideMark/>
          </w:tcPr>
          <w:p w14:paraId="7036F80E"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07D7266D" w14:textId="4D51383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508</w:t>
            </w:r>
          </w:p>
        </w:tc>
      </w:tr>
      <w:tr w:rsidR="00DA68ED" w:rsidRPr="00A1696A" w14:paraId="463DD681" w14:textId="77777777" w:rsidTr="00DA68ED">
        <w:trPr>
          <w:trHeight w:val="268"/>
        </w:trPr>
        <w:tc>
          <w:tcPr>
            <w:tcW w:w="1265" w:type="dxa"/>
            <w:shd w:val="clear" w:color="auto" w:fill="auto"/>
            <w:noWrap/>
            <w:vAlign w:val="bottom"/>
            <w:hideMark/>
          </w:tcPr>
          <w:p w14:paraId="1F87A793"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RE-22</w:t>
            </w:r>
          </w:p>
        </w:tc>
        <w:tc>
          <w:tcPr>
            <w:tcW w:w="1270" w:type="dxa"/>
            <w:vAlign w:val="bottom"/>
          </w:tcPr>
          <w:p w14:paraId="3234686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G10</w:t>
            </w:r>
          </w:p>
        </w:tc>
        <w:tc>
          <w:tcPr>
            <w:tcW w:w="1411" w:type="dxa"/>
            <w:vAlign w:val="bottom"/>
          </w:tcPr>
          <w:p w14:paraId="1F96F60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D68B7D0" w14:textId="29728A4D"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ТВМЗ</w:t>
            </w:r>
          </w:p>
        </w:tc>
        <w:tc>
          <w:tcPr>
            <w:tcW w:w="1270" w:type="dxa"/>
            <w:shd w:val="clear" w:color="auto" w:fill="auto"/>
            <w:noWrap/>
            <w:vAlign w:val="bottom"/>
            <w:hideMark/>
          </w:tcPr>
          <w:p w14:paraId="3560A7E4" w14:textId="695BE70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58159D1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503824DD" w14:textId="59729869"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0,165</w:t>
            </w:r>
          </w:p>
        </w:tc>
        <w:tc>
          <w:tcPr>
            <w:tcW w:w="903" w:type="dxa"/>
            <w:shd w:val="clear" w:color="auto" w:fill="auto"/>
            <w:noWrap/>
            <w:vAlign w:val="bottom"/>
            <w:hideMark/>
          </w:tcPr>
          <w:p w14:paraId="14EB244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1BDA8FA8" w14:textId="6F40359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0,035</w:t>
            </w:r>
          </w:p>
        </w:tc>
        <w:tc>
          <w:tcPr>
            <w:tcW w:w="938" w:type="dxa"/>
            <w:shd w:val="clear" w:color="auto" w:fill="auto"/>
            <w:noWrap/>
            <w:vAlign w:val="bottom"/>
            <w:hideMark/>
          </w:tcPr>
          <w:p w14:paraId="049A5985"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3068F9A4" w14:textId="22391FE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471</w:t>
            </w:r>
          </w:p>
        </w:tc>
      </w:tr>
      <w:tr w:rsidR="00DA68ED" w:rsidRPr="00A1696A" w14:paraId="7C84BB04" w14:textId="77777777" w:rsidTr="00DA68ED">
        <w:trPr>
          <w:trHeight w:val="268"/>
        </w:trPr>
        <w:tc>
          <w:tcPr>
            <w:tcW w:w="1265" w:type="dxa"/>
            <w:shd w:val="clear" w:color="auto" w:fill="auto"/>
            <w:noWrap/>
            <w:vAlign w:val="bottom"/>
            <w:hideMark/>
          </w:tcPr>
          <w:p w14:paraId="4D5AE91B"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RE-23</w:t>
            </w:r>
          </w:p>
        </w:tc>
        <w:tc>
          <w:tcPr>
            <w:tcW w:w="1270" w:type="dxa"/>
            <w:vAlign w:val="bottom"/>
          </w:tcPr>
          <w:p w14:paraId="33AD8D45"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24116F74"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6F2397F0" w14:textId="1DEFC343"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ВС</w:t>
            </w:r>
          </w:p>
        </w:tc>
        <w:tc>
          <w:tcPr>
            <w:tcW w:w="1270" w:type="dxa"/>
            <w:shd w:val="clear" w:color="auto" w:fill="auto"/>
            <w:noWrap/>
            <w:vAlign w:val="bottom"/>
            <w:hideMark/>
          </w:tcPr>
          <w:p w14:paraId="4388BC23" w14:textId="132BD1A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6FA65E8F"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5C86779A" w14:textId="5268365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0,2</w:t>
            </w:r>
          </w:p>
        </w:tc>
        <w:tc>
          <w:tcPr>
            <w:tcW w:w="903" w:type="dxa"/>
            <w:shd w:val="clear" w:color="auto" w:fill="auto"/>
            <w:noWrap/>
            <w:vAlign w:val="bottom"/>
            <w:hideMark/>
          </w:tcPr>
          <w:p w14:paraId="2DA73F44"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263</w:t>
            </w:r>
          </w:p>
        </w:tc>
        <w:tc>
          <w:tcPr>
            <w:tcW w:w="1015" w:type="dxa"/>
            <w:shd w:val="clear" w:color="auto" w:fill="auto"/>
            <w:noWrap/>
            <w:vAlign w:val="bottom"/>
            <w:hideMark/>
          </w:tcPr>
          <w:p w14:paraId="0432D1E6" w14:textId="2C9951D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0,04</w:t>
            </w:r>
          </w:p>
        </w:tc>
        <w:tc>
          <w:tcPr>
            <w:tcW w:w="938" w:type="dxa"/>
            <w:shd w:val="clear" w:color="auto" w:fill="auto"/>
            <w:noWrap/>
            <w:vAlign w:val="bottom"/>
            <w:hideMark/>
          </w:tcPr>
          <w:p w14:paraId="39670C5B"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4151DC7F"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500</w:t>
            </w:r>
          </w:p>
        </w:tc>
      </w:tr>
      <w:tr w:rsidR="00DA68ED" w:rsidRPr="00A1696A" w14:paraId="7F660A41" w14:textId="77777777" w:rsidTr="00DA68ED">
        <w:trPr>
          <w:trHeight w:val="268"/>
        </w:trPr>
        <w:tc>
          <w:tcPr>
            <w:tcW w:w="1265" w:type="dxa"/>
            <w:shd w:val="clear" w:color="auto" w:fill="auto"/>
            <w:noWrap/>
            <w:vAlign w:val="bottom"/>
            <w:hideMark/>
          </w:tcPr>
          <w:p w14:paraId="0B07823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RE-24</w:t>
            </w:r>
          </w:p>
        </w:tc>
        <w:tc>
          <w:tcPr>
            <w:tcW w:w="1270" w:type="dxa"/>
            <w:vAlign w:val="bottom"/>
          </w:tcPr>
          <w:p w14:paraId="3A1B31E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40562E0E"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1BBA6E53" w14:textId="53E1E58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ВС</w:t>
            </w:r>
          </w:p>
        </w:tc>
        <w:tc>
          <w:tcPr>
            <w:tcW w:w="1270" w:type="dxa"/>
            <w:shd w:val="clear" w:color="auto" w:fill="auto"/>
            <w:noWrap/>
            <w:vAlign w:val="bottom"/>
            <w:hideMark/>
          </w:tcPr>
          <w:p w14:paraId="5A2735F3" w14:textId="0F870E8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0,01</w:t>
            </w:r>
          </w:p>
        </w:tc>
        <w:tc>
          <w:tcPr>
            <w:tcW w:w="1270" w:type="dxa"/>
            <w:shd w:val="clear" w:color="auto" w:fill="auto"/>
            <w:noWrap/>
            <w:vAlign w:val="bottom"/>
            <w:hideMark/>
          </w:tcPr>
          <w:p w14:paraId="2D4D9647"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148AE3F5" w14:textId="2A1FEC52"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0,36</w:t>
            </w:r>
          </w:p>
        </w:tc>
        <w:tc>
          <w:tcPr>
            <w:tcW w:w="903" w:type="dxa"/>
            <w:shd w:val="clear" w:color="auto" w:fill="auto"/>
            <w:noWrap/>
            <w:vAlign w:val="bottom"/>
            <w:hideMark/>
          </w:tcPr>
          <w:p w14:paraId="2F57F064"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w:t>
            </w:r>
          </w:p>
        </w:tc>
        <w:tc>
          <w:tcPr>
            <w:tcW w:w="1015" w:type="dxa"/>
            <w:shd w:val="clear" w:color="auto" w:fill="auto"/>
            <w:noWrap/>
            <w:vAlign w:val="bottom"/>
            <w:hideMark/>
          </w:tcPr>
          <w:p w14:paraId="5BAE039E" w14:textId="63133FB5"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0,06</w:t>
            </w:r>
          </w:p>
        </w:tc>
        <w:tc>
          <w:tcPr>
            <w:tcW w:w="938" w:type="dxa"/>
            <w:shd w:val="clear" w:color="auto" w:fill="auto"/>
            <w:noWrap/>
            <w:vAlign w:val="bottom"/>
            <w:hideMark/>
          </w:tcPr>
          <w:p w14:paraId="17C0135B"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3EB34B8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600</w:t>
            </w:r>
          </w:p>
        </w:tc>
      </w:tr>
      <w:tr w:rsidR="00DA68ED" w:rsidRPr="00A1696A" w14:paraId="68FCC08B" w14:textId="77777777" w:rsidTr="00DA68ED">
        <w:trPr>
          <w:trHeight w:val="268"/>
        </w:trPr>
        <w:tc>
          <w:tcPr>
            <w:tcW w:w="1265" w:type="dxa"/>
            <w:shd w:val="clear" w:color="auto" w:fill="auto"/>
            <w:noWrap/>
            <w:vAlign w:val="bottom"/>
            <w:hideMark/>
          </w:tcPr>
          <w:p w14:paraId="08A45BFF"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RE-25</w:t>
            </w:r>
          </w:p>
        </w:tc>
        <w:tc>
          <w:tcPr>
            <w:tcW w:w="1270" w:type="dxa"/>
            <w:vAlign w:val="bottom"/>
          </w:tcPr>
          <w:p w14:paraId="246A0D32"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p>
        </w:tc>
        <w:tc>
          <w:tcPr>
            <w:tcW w:w="1411" w:type="dxa"/>
            <w:vAlign w:val="bottom"/>
          </w:tcPr>
          <w:p w14:paraId="1388FC8D"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vAlign w:val="bottom"/>
          </w:tcPr>
          <w:p w14:paraId="79A8B781" w14:textId="5E256EED"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ВС</w:t>
            </w:r>
          </w:p>
        </w:tc>
        <w:tc>
          <w:tcPr>
            <w:tcW w:w="1270" w:type="dxa"/>
            <w:shd w:val="clear" w:color="auto" w:fill="auto"/>
            <w:noWrap/>
            <w:vAlign w:val="bottom"/>
            <w:hideMark/>
          </w:tcPr>
          <w:p w14:paraId="5894D143" w14:textId="1FAF1CB6"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0,005</w:t>
            </w:r>
          </w:p>
        </w:tc>
        <w:tc>
          <w:tcPr>
            <w:tcW w:w="1270" w:type="dxa"/>
            <w:shd w:val="clear" w:color="auto" w:fill="auto"/>
            <w:noWrap/>
            <w:vAlign w:val="bottom"/>
            <w:hideMark/>
          </w:tcPr>
          <w:p w14:paraId="602CEBD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shd w:val="clear" w:color="auto" w:fill="auto"/>
            <w:noWrap/>
            <w:vAlign w:val="bottom"/>
            <w:hideMark/>
          </w:tcPr>
          <w:p w14:paraId="3660F558" w14:textId="73D9491D"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0,955</w:t>
            </w:r>
          </w:p>
        </w:tc>
        <w:tc>
          <w:tcPr>
            <w:tcW w:w="903" w:type="dxa"/>
            <w:shd w:val="clear" w:color="auto" w:fill="auto"/>
            <w:noWrap/>
            <w:vAlign w:val="bottom"/>
            <w:hideMark/>
          </w:tcPr>
          <w:p w14:paraId="40B1011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263</w:t>
            </w:r>
          </w:p>
        </w:tc>
        <w:tc>
          <w:tcPr>
            <w:tcW w:w="1015" w:type="dxa"/>
            <w:shd w:val="clear" w:color="auto" w:fill="auto"/>
            <w:noWrap/>
            <w:vAlign w:val="bottom"/>
            <w:hideMark/>
          </w:tcPr>
          <w:p w14:paraId="6182C9AF" w14:textId="573F98D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0,055</w:t>
            </w:r>
          </w:p>
        </w:tc>
        <w:tc>
          <w:tcPr>
            <w:tcW w:w="938" w:type="dxa"/>
            <w:shd w:val="clear" w:color="auto" w:fill="auto"/>
            <w:noWrap/>
            <w:vAlign w:val="bottom"/>
            <w:hideMark/>
          </w:tcPr>
          <w:p w14:paraId="59F06F48"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shd w:val="clear" w:color="auto" w:fill="auto"/>
            <w:noWrap/>
            <w:vAlign w:val="bottom"/>
            <w:hideMark/>
          </w:tcPr>
          <w:p w14:paraId="77EA0CDF" w14:textId="6606E5D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1736</w:t>
            </w:r>
          </w:p>
        </w:tc>
      </w:tr>
      <w:tr w:rsidR="00DA68ED" w:rsidRPr="00A1696A" w14:paraId="4B309F8A" w14:textId="77777777" w:rsidTr="00DA68ED">
        <w:trPr>
          <w:trHeight w:val="268"/>
        </w:trPr>
        <w:tc>
          <w:tcPr>
            <w:tcW w:w="1265" w:type="dxa"/>
            <w:tcBorders>
              <w:bottom w:val="single" w:sz="4" w:space="0" w:color="auto"/>
            </w:tcBorders>
            <w:shd w:val="clear" w:color="auto" w:fill="auto"/>
            <w:noWrap/>
            <w:vAlign w:val="bottom"/>
            <w:hideMark/>
          </w:tcPr>
          <w:p w14:paraId="43738650"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RE-26</w:t>
            </w:r>
          </w:p>
        </w:tc>
        <w:tc>
          <w:tcPr>
            <w:tcW w:w="1270" w:type="dxa"/>
            <w:tcBorders>
              <w:bottom w:val="single" w:sz="4" w:space="0" w:color="auto"/>
            </w:tcBorders>
            <w:vAlign w:val="bottom"/>
          </w:tcPr>
          <w:p w14:paraId="41F48188"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G11</w:t>
            </w:r>
          </w:p>
        </w:tc>
        <w:tc>
          <w:tcPr>
            <w:tcW w:w="1411" w:type="dxa"/>
            <w:tcBorders>
              <w:bottom w:val="single" w:sz="4" w:space="0" w:color="auto"/>
            </w:tcBorders>
            <w:vAlign w:val="bottom"/>
          </w:tcPr>
          <w:p w14:paraId="5C1A0968"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tcBorders>
              <w:bottom w:val="single" w:sz="4" w:space="0" w:color="auto"/>
            </w:tcBorders>
            <w:vAlign w:val="bottom"/>
          </w:tcPr>
          <w:p w14:paraId="6DE7D42A" w14:textId="4A1B64FF"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tcBorders>
              <w:bottom w:val="single" w:sz="4" w:space="0" w:color="auto"/>
            </w:tcBorders>
            <w:shd w:val="clear" w:color="auto" w:fill="auto"/>
            <w:noWrap/>
            <w:vAlign w:val="bottom"/>
            <w:hideMark/>
          </w:tcPr>
          <w:p w14:paraId="71C332FC"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70" w:type="dxa"/>
            <w:tcBorders>
              <w:bottom w:val="single" w:sz="4" w:space="0" w:color="auto"/>
            </w:tcBorders>
            <w:shd w:val="clear" w:color="auto" w:fill="auto"/>
            <w:noWrap/>
            <w:vAlign w:val="bottom"/>
            <w:hideMark/>
          </w:tcPr>
          <w:p w14:paraId="6887E4C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1269" w:type="dxa"/>
            <w:tcBorders>
              <w:bottom w:val="single" w:sz="4" w:space="0" w:color="auto"/>
            </w:tcBorders>
            <w:shd w:val="clear" w:color="auto" w:fill="auto"/>
            <w:noWrap/>
            <w:vAlign w:val="bottom"/>
            <w:hideMark/>
          </w:tcPr>
          <w:p w14:paraId="405FC004" w14:textId="43495FFC"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0,575</w:t>
            </w:r>
          </w:p>
        </w:tc>
        <w:tc>
          <w:tcPr>
            <w:tcW w:w="903" w:type="dxa"/>
            <w:tcBorders>
              <w:bottom w:val="single" w:sz="4" w:space="0" w:color="auto"/>
            </w:tcBorders>
            <w:shd w:val="clear" w:color="auto" w:fill="auto"/>
            <w:noWrap/>
            <w:vAlign w:val="bottom"/>
            <w:hideMark/>
          </w:tcPr>
          <w:p w14:paraId="3456359E" w14:textId="6165BDC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262,5</w:t>
            </w:r>
          </w:p>
        </w:tc>
        <w:tc>
          <w:tcPr>
            <w:tcW w:w="1015" w:type="dxa"/>
            <w:tcBorders>
              <w:bottom w:val="single" w:sz="4" w:space="0" w:color="auto"/>
            </w:tcBorders>
            <w:shd w:val="clear" w:color="auto" w:fill="auto"/>
            <w:noWrap/>
            <w:vAlign w:val="bottom"/>
            <w:hideMark/>
          </w:tcPr>
          <w:p w14:paraId="6A53B1E8" w14:textId="1485C4B0"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0,07</w:t>
            </w:r>
          </w:p>
        </w:tc>
        <w:tc>
          <w:tcPr>
            <w:tcW w:w="938" w:type="dxa"/>
            <w:tcBorders>
              <w:bottom w:val="single" w:sz="4" w:space="0" w:color="auto"/>
            </w:tcBorders>
            <w:shd w:val="clear" w:color="auto" w:fill="auto"/>
            <w:noWrap/>
            <w:vAlign w:val="bottom"/>
            <w:hideMark/>
          </w:tcPr>
          <w:p w14:paraId="64FD8A59"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w:t>
            </w:r>
          </w:p>
        </w:tc>
        <w:tc>
          <w:tcPr>
            <w:tcW w:w="938" w:type="dxa"/>
            <w:tcBorders>
              <w:bottom w:val="single" w:sz="4" w:space="0" w:color="auto"/>
            </w:tcBorders>
            <w:shd w:val="clear" w:color="auto" w:fill="auto"/>
            <w:noWrap/>
            <w:vAlign w:val="bottom"/>
            <w:hideMark/>
          </w:tcPr>
          <w:p w14:paraId="6DB1705D" w14:textId="59E93E7F"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821,5</w:t>
            </w:r>
          </w:p>
        </w:tc>
      </w:tr>
      <w:tr w:rsidR="00DA68ED" w:rsidRPr="00A1696A" w14:paraId="693C658F" w14:textId="77777777" w:rsidTr="00DA68ED">
        <w:trPr>
          <w:trHeight w:val="268"/>
        </w:trPr>
        <w:tc>
          <w:tcPr>
            <w:tcW w:w="1265" w:type="dxa"/>
            <w:shd w:val="clear" w:color="000000" w:fill="FFFF99"/>
            <w:noWrap/>
            <w:vAlign w:val="bottom"/>
            <w:hideMark/>
          </w:tcPr>
          <w:p w14:paraId="23653F6F"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RE-27</w:t>
            </w:r>
          </w:p>
        </w:tc>
        <w:tc>
          <w:tcPr>
            <w:tcW w:w="1270" w:type="dxa"/>
            <w:shd w:val="clear" w:color="000000" w:fill="FFFF99"/>
            <w:vAlign w:val="bottom"/>
          </w:tcPr>
          <w:p w14:paraId="7E3F580B"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G12</w:t>
            </w:r>
          </w:p>
        </w:tc>
        <w:tc>
          <w:tcPr>
            <w:tcW w:w="1411" w:type="dxa"/>
            <w:shd w:val="clear" w:color="000000" w:fill="FFFF99"/>
            <w:vAlign w:val="bottom"/>
          </w:tcPr>
          <w:p w14:paraId="5F218C37" w14:textId="77777777"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w:t>
            </w:r>
          </w:p>
        </w:tc>
        <w:tc>
          <w:tcPr>
            <w:tcW w:w="1835" w:type="dxa"/>
            <w:shd w:val="clear" w:color="000000" w:fill="FFFF99"/>
            <w:vAlign w:val="bottom"/>
          </w:tcPr>
          <w:p w14:paraId="250CFB50" w14:textId="152DB053" w:rsidR="00DA68ED" w:rsidRPr="00A1696A" w:rsidRDefault="00DA68ED" w:rsidP="00DC18A7">
            <w:pPr>
              <w:spacing w:after="0" w:line="240" w:lineRule="auto"/>
              <w:jc w:val="center"/>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ГМЗ</w:t>
            </w:r>
          </w:p>
        </w:tc>
        <w:tc>
          <w:tcPr>
            <w:tcW w:w="1270" w:type="dxa"/>
            <w:shd w:val="clear" w:color="000000" w:fill="FFFF99"/>
            <w:noWrap/>
            <w:vAlign w:val="bottom"/>
            <w:hideMark/>
          </w:tcPr>
          <w:p w14:paraId="7E120406" w14:textId="3D6DFAFE"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0,04</w:t>
            </w:r>
          </w:p>
        </w:tc>
        <w:tc>
          <w:tcPr>
            <w:tcW w:w="1270" w:type="dxa"/>
            <w:shd w:val="clear" w:color="000000" w:fill="FFFF99"/>
            <w:noWrap/>
            <w:vAlign w:val="bottom"/>
            <w:hideMark/>
          </w:tcPr>
          <w:p w14:paraId="143163D3" w14:textId="7F7967B8"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1,065</w:t>
            </w:r>
          </w:p>
        </w:tc>
        <w:tc>
          <w:tcPr>
            <w:tcW w:w="1269" w:type="dxa"/>
            <w:shd w:val="clear" w:color="000000" w:fill="FFFF99"/>
            <w:noWrap/>
            <w:vAlign w:val="bottom"/>
            <w:hideMark/>
          </w:tcPr>
          <w:p w14:paraId="45CF630E" w14:textId="0EBBA6F4"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0,59</w:t>
            </w:r>
          </w:p>
        </w:tc>
        <w:tc>
          <w:tcPr>
            <w:tcW w:w="903" w:type="dxa"/>
            <w:shd w:val="clear" w:color="000000" w:fill="FFFF99"/>
            <w:noWrap/>
            <w:vAlign w:val="bottom"/>
            <w:hideMark/>
          </w:tcPr>
          <w:p w14:paraId="4017DBEA"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418</w:t>
            </w:r>
          </w:p>
        </w:tc>
        <w:tc>
          <w:tcPr>
            <w:tcW w:w="1015" w:type="dxa"/>
            <w:shd w:val="clear" w:color="000000" w:fill="FFFF99"/>
            <w:noWrap/>
            <w:vAlign w:val="bottom"/>
            <w:hideMark/>
          </w:tcPr>
          <w:p w14:paraId="6E5C72F3" w14:textId="4405F723"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1,035</w:t>
            </w:r>
          </w:p>
        </w:tc>
        <w:tc>
          <w:tcPr>
            <w:tcW w:w="938" w:type="dxa"/>
            <w:shd w:val="clear" w:color="000000" w:fill="FFFF99"/>
            <w:noWrap/>
            <w:vAlign w:val="bottom"/>
            <w:hideMark/>
          </w:tcPr>
          <w:p w14:paraId="46FE5F76"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103</w:t>
            </w:r>
          </w:p>
        </w:tc>
        <w:tc>
          <w:tcPr>
            <w:tcW w:w="938" w:type="dxa"/>
            <w:shd w:val="clear" w:color="000000" w:fill="FFFF99"/>
            <w:noWrap/>
            <w:vAlign w:val="bottom"/>
            <w:hideMark/>
          </w:tcPr>
          <w:p w14:paraId="27A11201" w14:textId="77777777" w:rsidR="00DA68ED" w:rsidRPr="00A1696A" w:rsidRDefault="00DA68ED" w:rsidP="00DC18A7">
            <w:pPr>
              <w:spacing w:after="0" w:line="240" w:lineRule="auto"/>
              <w:jc w:val="right"/>
              <w:rPr>
                <w:rFonts w:ascii="Times New Roman" w:eastAsia="Times New Roman" w:hAnsi="Times New Roman" w:cs="Times New Roman"/>
                <w:color w:val="000000"/>
                <w:lang w:eastAsia="bg-BG"/>
              </w:rPr>
            </w:pPr>
            <w:r w:rsidRPr="00A1696A">
              <w:rPr>
                <w:rFonts w:ascii="Times New Roman" w:eastAsia="Times New Roman" w:hAnsi="Times New Roman" w:cs="Times New Roman"/>
                <w:color w:val="000000"/>
                <w:lang w:eastAsia="bg-BG"/>
              </w:rPr>
              <w:t>57</w:t>
            </w:r>
          </w:p>
        </w:tc>
      </w:tr>
    </w:tbl>
    <w:p w14:paraId="3C168C10" w14:textId="17659AB1" w:rsidR="001F0BFE" w:rsidRPr="00A1696A" w:rsidRDefault="001F0BFE" w:rsidP="001F0BFE">
      <w:pPr>
        <w:pStyle w:val="Tekst"/>
        <w:rPr>
          <w:i/>
          <w:color w:val="000000"/>
          <w:sz w:val="16"/>
          <w:szCs w:val="16"/>
          <w:lang w:val="bg-BG"/>
        </w:rPr>
      </w:pPr>
    </w:p>
    <w:p w14:paraId="6A452FAD" w14:textId="2FEC4601" w:rsidR="00DC18A7" w:rsidRPr="00A1696A" w:rsidRDefault="00196062" w:rsidP="001D3ADD">
      <w:pPr>
        <w:pStyle w:val="Tekst"/>
        <w:numPr>
          <w:ilvl w:val="0"/>
          <w:numId w:val="10"/>
        </w:numPr>
        <w:rPr>
          <w:i/>
          <w:color w:val="000000"/>
          <w:sz w:val="16"/>
          <w:szCs w:val="16"/>
          <w:lang w:val="bg-BG"/>
        </w:rPr>
      </w:pPr>
      <w:r w:rsidRPr="00A1696A">
        <w:rPr>
          <w:noProof/>
          <w:color w:val="000000"/>
          <w:sz w:val="24"/>
          <w:szCs w:val="24"/>
          <w:lang w:val="bg-BG" w:eastAsia="bg-BG"/>
        </w:rPr>
        <mc:AlternateContent>
          <mc:Choice Requires="wps">
            <w:drawing>
              <wp:anchor distT="0" distB="0" distL="114300" distR="114300" simplePos="0" relativeHeight="251664384" behindDoc="0" locked="0" layoutInCell="1" allowOverlap="1" wp14:anchorId="52325DBE" wp14:editId="2187BE10">
                <wp:simplePos x="0" y="0"/>
                <wp:positionH relativeFrom="column">
                  <wp:posOffset>241300</wp:posOffset>
                </wp:positionH>
                <wp:positionV relativeFrom="paragraph">
                  <wp:posOffset>5200015</wp:posOffset>
                </wp:positionV>
                <wp:extent cx="243136" cy="84568"/>
                <wp:effectExtent l="0" t="0" r="24130" b="10795"/>
                <wp:wrapNone/>
                <wp:docPr id="3" name="Правоъгълник 3"/>
                <wp:cNvGraphicFramePr/>
                <a:graphic xmlns:a="http://schemas.openxmlformats.org/drawingml/2006/main">
                  <a:graphicData uri="http://schemas.microsoft.com/office/word/2010/wordprocessingShape">
                    <wps:wsp>
                      <wps:cNvSpPr/>
                      <wps:spPr>
                        <a:xfrm>
                          <a:off x="0" y="0"/>
                          <a:ext cx="243136" cy="84568"/>
                        </a:xfrm>
                        <a:prstGeom prst="rect">
                          <a:avLst/>
                        </a:prstGeom>
                        <a:solidFill>
                          <a:srgbClr val="FFFF99"/>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026543" id="Правоъгълник 3" o:spid="_x0000_s1026" style="position:absolute;margin-left:19pt;margin-top:409.45pt;width:19.15pt;height:6.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" fillcolor="#ff9" strokecolor="#404040 [2429]" strokeweight="1pt"/>
            </w:pict>
          </mc:Fallback>
        </mc:AlternateContent>
      </w:r>
      <w:r w:rsidR="00DC18A7" w:rsidRPr="00A1696A">
        <w:rPr>
          <w:i/>
          <w:color w:val="000000"/>
          <w:sz w:val="16"/>
          <w:szCs w:val="16"/>
          <w:lang w:val="bg-BG"/>
        </w:rPr>
        <w:t>TOC&gt;1%</w:t>
      </w:r>
      <w:r w:rsidR="00DC18A7" w:rsidRPr="00A1696A">
        <w:rPr>
          <w:i/>
          <w:color w:val="000000"/>
          <w:sz w:val="16"/>
          <w:szCs w:val="16"/>
          <w:lang w:val="bg-BG"/>
        </w:rPr>
        <w:tab/>
      </w:r>
      <w:r w:rsidR="00DC18A7" w:rsidRPr="00A1696A">
        <w:rPr>
          <w:i/>
          <w:color w:val="000000"/>
          <w:sz w:val="16"/>
          <w:szCs w:val="16"/>
          <w:lang w:val="bg-BG"/>
        </w:rPr>
        <w:tab/>
        <w:t>ГМЗ - глинесто-мергелна задруга</w:t>
      </w:r>
      <w:r w:rsidR="00DC18A7" w:rsidRPr="00A1696A">
        <w:rPr>
          <w:i/>
          <w:color w:val="000000"/>
          <w:sz w:val="16"/>
          <w:szCs w:val="16"/>
          <w:lang w:val="bg-BG"/>
        </w:rPr>
        <w:tab/>
      </w:r>
      <w:r w:rsidR="00DC18A7" w:rsidRPr="00A1696A">
        <w:rPr>
          <w:i/>
          <w:color w:val="000000"/>
          <w:sz w:val="16"/>
          <w:szCs w:val="16"/>
          <w:lang w:val="bg-BG"/>
        </w:rPr>
        <w:tab/>
      </w:r>
      <w:r w:rsidR="00DC18A7" w:rsidRPr="00A1696A">
        <w:rPr>
          <w:i/>
          <w:color w:val="000000"/>
          <w:sz w:val="16"/>
          <w:szCs w:val="16"/>
          <w:lang w:val="bg-BG"/>
        </w:rPr>
        <w:tab/>
        <w:t>ПМЗ-пирокластично-мергелна задруга</w:t>
      </w:r>
    </w:p>
    <w:p w14:paraId="7B42F15C" w14:textId="2228212D" w:rsidR="00DC18A7" w:rsidRPr="00A1696A" w:rsidRDefault="001F0BFE" w:rsidP="001D3ADD">
      <w:pPr>
        <w:pStyle w:val="tytultabeli"/>
        <w:numPr>
          <w:ilvl w:val="0"/>
          <w:numId w:val="10"/>
        </w:numPr>
        <w:rPr>
          <w:i/>
          <w:color w:val="000000"/>
          <w:sz w:val="16"/>
          <w:szCs w:val="16"/>
          <w:lang w:val="bg-BG"/>
        </w:rPr>
        <w:sectPr w:rsidR="00DC18A7" w:rsidRPr="00A1696A" w:rsidSect="000671CF">
          <w:pgSz w:w="16838" w:h="11906" w:orient="landscape"/>
          <w:pgMar w:top="1134" w:right="1021" w:bottom="1134" w:left="1134" w:header="709" w:footer="709" w:gutter="0"/>
          <w:cols w:space="708"/>
          <w:docGrid w:linePitch="360"/>
        </w:sectPr>
      </w:pPr>
      <w:r w:rsidRPr="00A1696A">
        <w:rPr>
          <w:noProof/>
          <w:color w:val="000000"/>
          <w:sz w:val="16"/>
          <w:szCs w:val="16"/>
          <w:lang w:val="bg-BG" w:eastAsia="bg-BG"/>
        </w:rPr>
        <mc:AlternateContent>
          <mc:Choice Requires="wps">
            <w:drawing>
              <wp:anchor distT="0" distB="0" distL="114300" distR="114300" simplePos="0" relativeHeight="251665408" behindDoc="0" locked="0" layoutInCell="1" allowOverlap="1" wp14:anchorId="36D5BBDB" wp14:editId="2066DF6B">
                <wp:simplePos x="0" y="0"/>
                <wp:positionH relativeFrom="column">
                  <wp:posOffset>238125</wp:posOffset>
                </wp:positionH>
                <wp:positionV relativeFrom="paragraph">
                  <wp:posOffset>50800</wp:posOffset>
                </wp:positionV>
                <wp:extent cx="247650" cy="95140"/>
                <wp:effectExtent l="0" t="0" r="19050" b="19685"/>
                <wp:wrapNone/>
                <wp:docPr id="4" name="Правоъгълник 4"/>
                <wp:cNvGraphicFramePr/>
                <a:graphic xmlns:a="http://schemas.openxmlformats.org/drawingml/2006/main">
                  <a:graphicData uri="http://schemas.microsoft.com/office/word/2010/wordprocessingShape">
                    <wps:wsp>
                      <wps:cNvSpPr/>
                      <wps:spPr>
                        <a:xfrm>
                          <a:off x="0" y="0"/>
                          <a:ext cx="247650" cy="95140"/>
                        </a:xfrm>
                        <a:prstGeom prst="rect">
                          <a:avLst/>
                        </a:prstGeom>
                        <a:solidFill>
                          <a:srgbClr val="FF9966"/>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E05102" id="Правоъгълник 4" o:spid="_x0000_s1026" style="position:absolute;margin-left:18.75pt;margin-top:4pt;width:19.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" fillcolor="#f96" strokecolor="#404040 [2429]" strokeweight="1pt"/>
            </w:pict>
          </mc:Fallback>
        </mc:AlternateContent>
      </w:r>
      <w:r w:rsidR="00DC18A7" w:rsidRPr="00A1696A">
        <w:rPr>
          <w:i/>
          <w:color w:val="000000"/>
          <w:sz w:val="16"/>
          <w:szCs w:val="16"/>
          <w:lang w:val="bg-BG"/>
        </w:rPr>
        <w:t>TOC&gt;2%</w:t>
      </w:r>
      <w:r w:rsidR="00DC18A7" w:rsidRPr="00A1696A">
        <w:rPr>
          <w:i/>
          <w:color w:val="000000"/>
          <w:sz w:val="16"/>
          <w:szCs w:val="16"/>
          <w:lang w:val="bg-BG"/>
        </w:rPr>
        <w:tab/>
      </w:r>
      <w:r w:rsidR="00DC18A7" w:rsidRPr="00A1696A">
        <w:rPr>
          <w:i/>
          <w:color w:val="000000"/>
          <w:sz w:val="16"/>
          <w:szCs w:val="16"/>
          <w:lang w:val="bg-BG"/>
        </w:rPr>
        <w:tab/>
        <w:t>ТВМЗ – теригенно-варовиково-мергелна задруга</w:t>
      </w:r>
      <w:r w:rsidR="00DC18A7" w:rsidRPr="00A1696A">
        <w:rPr>
          <w:i/>
          <w:color w:val="000000"/>
          <w:sz w:val="16"/>
          <w:szCs w:val="16"/>
          <w:lang w:val="bg-BG"/>
        </w:rPr>
        <w:tab/>
      </w:r>
      <w:r w:rsidR="00DC18A7" w:rsidRPr="00A1696A">
        <w:rPr>
          <w:i/>
          <w:color w:val="000000"/>
          <w:sz w:val="16"/>
          <w:szCs w:val="16"/>
          <w:lang w:val="bg-BG"/>
        </w:rPr>
        <w:tab/>
        <w:t>ВС – Вълчеполска свита</w:t>
      </w:r>
    </w:p>
    <w:p w14:paraId="3CD64E02" w14:textId="620CCC20" w:rsidR="00DB1B69" w:rsidRDefault="00513A69" w:rsidP="006B6EBF">
      <w:pPr>
        <w:spacing w:after="0" w:line="240" w:lineRule="auto"/>
        <w:ind w:firstLine="709"/>
        <w:jc w:val="both"/>
        <w:rPr>
          <w:rFonts w:ascii="Times New Roman" w:hAnsi="Times New Roman" w:cs="Times New Roman"/>
          <w:color w:val="000000"/>
          <w:sz w:val="24"/>
          <w:szCs w:val="24"/>
        </w:rPr>
      </w:pPr>
      <w:bookmarkStart w:id="90" w:name="_Hlk7801348"/>
      <w:r w:rsidRPr="00A1696A">
        <w:rPr>
          <w:rFonts w:ascii="Times New Roman" w:hAnsi="Times New Roman" w:cs="Times New Roman"/>
          <w:color w:val="000000"/>
          <w:sz w:val="24"/>
          <w:szCs w:val="24"/>
        </w:rPr>
        <w:lastRenderedPageBreak/>
        <w:t>За определяне на фациално-генетичния тип на ОВ</w:t>
      </w:r>
      <w:r w:rsidR="003C09A9" w:rsidRPr="00A1696A">
        <w:rPr>
          <w:rFonts w:ascii="Times New Roman" w:hAnsi="Times New Roman" w:cs="Times New Roman"/>
          <w:color w:val="000000"/>
          <w:sz w:val="24"/>
          <w:szCs w:val="24"/>
        </w:rPr>
        <w:t xml:space="preserve"> са използвани получените данни </w:t>
      </w:r>
      <w:r w:rsidR="00DB1B69" w:rsidRPr="00A1696A">
        <w:rPr>
          <w:rFonts w:ascii="Times New Roman" w:hAnsi="Times New Roman" w:cs="Times New Roman"/>
          <w:color w:val="000000"/>
          <w:sz w:val="24"/>
          <w:szCs w:val="24"/>
        </w:rPr>
        <w:t>з</w:t>
      </w:r>
      <w:r w:rsidR="003C09A9" w:rsidRPr="00A1696A">
        <w:rPr>
          <w:rFonts w:ascii="Times New Roman" w:hAnsi="Times New Roman" w:cs="Times New Roman"/>
          <w:color w:val="000000"/>
          <w:sz w:val="24"/>
          <w:szCs w:val="24"/>
        </w:rPr>
        <w:t xml:space="preserve">а </w:t>
      </w:r>
      <w:r w:rsidRPr="00A1696A">
        <w:rPr>
          <w:rFonts w:ascii="Times New Roman" w:hAnsi="Times New Roman" w:cs="Times New Roman"/>
          <w:color w:val="000000"/>
          <w:sz w:val="24"/>
          <w:szCs w:val="24"/>
        </w:rPr>
        <w:t xml:space="preserve"> </w:t>
      </w:r>
      <w:r w:rsidR="003C09A9" w:rsidRPr="00A1696A">
        <w:rPr>
          <w:rFonts w:ascii="Times New Roman" w:hAnsi="Times New Roman" w:cs="Times New Roman"/>
          <w:color w:val="000000"/>
          <w:sz w:val="24"/>
          <w:szCs w:val="24"/>
        </w:rPr>
        <w:t>водородния и кислородния индекс – HI (</w:t>
      </w:r>
      <w:r w:rsidR="003C09A9" w:rsidRPr="00A1696A">
        <w:rPr>
          <w:rFonts w:ascii="Times New Roman" w:hAnsi="Times New Roman" w:cs="Times New Roman"/>
          <w:color w:val="000000"/>
          <w:sz w:val="24"/>
          <w:szCs w:val="24"/>
          <w:u w:val="single"/>
        </w:rPr>
        <w:t>H</w:t>
      </w:r>
      <w:r w:rsidR="003C09A9" w:rsidRPr="00A1696A">
        <w:rPr>
          <w:rFonts w:ascii="Times New Roman" w:hAnsi="Times New Roman" w:cs="Times New Roman"/>
          <w:color w:val="000000"/>
          <w:sz w:val="24"/>
          <w:szCs w:val="24"/>
        </w:rPr>
        <w:t xml:space="preserve">ydrogen </w:t>
      </w:r>
      <w:r w:rsidR="003C09A9" w:rsidRPr="00A1696A">
        <w:rPr>
          <w:rFonts w:ascii="Times New Roman" w:hAnsi="Times New Roman" w:cs="Times New Roman"/>
          <w:color w:val="000000"/>
          <w:sz w:val="24"/>
          <w:szCs w:val="24"/>
          <w:u w:val="single"/>
        </w:rPr>
        <w:t>I</w:t>
      </w:r>
      <w:r w:rsidR="003C09A9" w:rsidRPr="00A1696A">
        <w:rPr>
          <w:rFonts w:ascii="Times New Roman" w:hAnsi="Times New Roman" w:cs="Times New Roman"/>
          <w:color w:val="000000"/>
          <w:sz w:val="24"/>
          <w:szCs w:val="24"/>
        </w:rPr>
        <w:t>ndex) и OI (</w:t>
      </w:r>
      <w:r w:rsidR="003C09A9" w:rsidRPr="00A1696A">
        <w:rPr>
          <w:rFonts w:ascii="Times New Roman" w:hAnsi="Times New Roman" w:cs="Times New Roman"/>
          <w:color w:val="000000"/>
          <w:sz w:val="24"/>
          <w:szCs w:val="24"/>
          <w:u w:val="single"/>
        </w:rPr>
        <w:t>O</w:t>
      </w:r>
      <w:r w:rsidR="003C09A9" w:rsidRPr="00A1696A">
        <w:rPr>
          <w:rFonts w:ascii="Times New Roman" w:hAnsi="Times New Roman" w:cs="Times New Roman"/>
          <w:color w:val="000000"/>
          <w:sz w:val="24"/>
          <w:szCs w:val="24"/>
        </w:rPr>
        <w:t xml:space="preserve">xygen </w:t>
      </w:r>
      <w:r w:rsidR="003C09A9" w:rsidRPr="00A1696A">
        <w:rPr>
          <w:rFonts w:ascii="Times New Roman" w:hAnsi="Times New Roman" w:cs="Times New Roman"/>
          <w:color w:val="000000"/>
          <w:sz w:val="24"/>
          <w:szCs w:val="24"/>
          <w:u w:val="single"/>
        </w:rPr>
        <w:t>I</w:t>
      </w:r>
      <w:r w:rsidR="003C09A9" w:rsidRPr="00A1696A">
        <w:rPr>
          <w:rFonts w:ascii="Times New Roman" w:hAnsi="Times New Roman" w:cs="Times New Roman"/>
          <w:color w:val="000000"/>
          <w:sz w:val="24"/>
          <w:szCs w:val="24"/>
        </w:rPr>
        <w:t>ndex), като стойностите са нанесени на т.н. псевдо-Ван Кревелен диаграма</w:t>
      </w:r>
      <w:r w:rsidR="003056D9" w:rsidRPr="00A1696A">
        <w:rPr>
          <w:rFonts w:ascii="Times New Roman" w:hAnsi="Times New Roman" w:cs="Times New Roman"/>
          <w:color w:val="000000"/>
          <w:sz w:val="24"/>
          <w:szCs w:val="24"/>
        </w:rPr>
        <w:t xml:space="preserve"> (1961)</w:t>
      </w:r>
      <w:r w:rsidR="003C09A9" w:rsidRPr="00A1696A">
        <w:rPr>
          <w:rFonts w:ascii="Times New Roman" w:hAnsi="Times New Roman" w:cs="Times New Roman"/>
          <w:color w:val="000000"/>
          <w:sz w:val="24"/>
          <w:szCs w:val="24"/>
        </w:rPr>
        <w:t xml:space="preserve">. </w:t>
      </w:r>
      <w:r w:rsidR="00DB1B69" w:rsidRPr="00A1696A">
        <w:rPr>
          <w:rFonts w:ascii="Times New Roman" w:hAnsi="Times New Roman" w:cs="Times New Roman"/>
          <w:color w:val="000000"/>
          <w:sz w:val="24"/>
          <w:szCs w:val="24"/>
        </w:rPr>
        <w:t>Голяма част от изследваните проби в наблюдавани</w:t>
      </w:r>
      <w:r w:rsidR="008D3800">
        <w:rPr>
          <w:rFonts w:ascii="Times New Roman" w:hAnsi="Times New Roman" w:cs="Times New Roman"/>
          <w:color w:val="000000"/>
          <w:sz w:val="24"/>
          <w:szCs w:val="24"/>
        </w:rPr>
        <w:t>те</w:t>
      </w:r>
      <w:r w:rsidR="00DB1B69" w:rsidRPr="00A1696A">
        <w:rPr>
          <w:rFonts w:ascii="Times New Roman" w:hAnsi="Times New Roman" w:cs="Times New Roman"/>
          <w:color w:val="000000"/>
          <w:sz w:val="24"/>
          <w:szCs w:val="24"/>
        </w:rPr>
        <w:t xml:space="preserve"> скални интервали показват, че ОВ е от III тип, т.</w:t>
      </w:r>
      <w:r w:rsidR="008D3800">
        <w:rPr>
          <w:rFonts w:ascii="Times New Roman" w:hAnsi="Times New Roman" w:cs="Times New Roman"/>
          <w:color w:val="000000"/>
          <w:sz w:val="24"/>
          <w:szCs w:val="24"/>
        </w:rPr>
        <w:t>е</w:t>
      </w:r>
      <w:r w:rsidR="00DB1B69" w:rsidRPr="00A1696A">
        <w:rPr>
          <w:rFonts w:ascii="Times New Roman" w:hAnsi="Times New Roman" w:cs="Times New Roman"/>
          <w:color w:val="000000"/>
          <w:sz w:val="24"/>
          <w:szCs w:val="24"/>
        </w:rPr>
        <w:t>. хумусно органично вещество (фиг. 2</w:t>
      </w:r>
      <w:r w:rsidR="008D3800">
        <w:rPr>
          <w:rFonts w:ascii="Times New Roman" w:hAnsi="Times New Roman" w:cs="Times New Roman"/>
          <w:color w:val="000000"/>
          <w:sz w:val="24"/>
          <w:szCs w:val="24"/>
        </w:rPr>
        <w:t>1</w:t>
      </w:r>
      <w:r w:rsidR="00DB1B69" w:rsidRPr="00A1696A">
        <w:rPr>
          <w:rFonts w:ascii="Times New Roman" w:hAnsi="Times New Roman" w:cs="Times New Roman"/>
          <w:color w:val="000000"/>
          <w:sz w:val="24"/>
          <w:szCs w:val="24"/>
        </w:rPr>
        <w:t>).</w:t>
      </w:r>
    </w:p>
    <w:p w14:paraId="1FFFC9DC" w14:textId="77777777" w:rsidR="008D3800" w:rsidRPr="00A1696A" w:rsidRDefault="008D3800" w:rsidP="006B6EBF">
      <w:pPr>
        <w:spacing w:after="0" w:line="240" w:lineRule="auto"/>
        <w:ind w:firstLine="709"/>
        <w:jc w:val="both"/>
        <w:rPr>
          <w:rFonts w:ascii="Times New Roman" w:hAnsi="Times New Roman" w:cs="Times New Roman"/>
          <w:color w:val="000000"/>
          <w:sz w:val="24"/>
          <w:szCs w:val="24"/>
        </w:rPr>
      </w:pPr>
    </w:p>
    <w:bookmarkEnd w:id="90"/>
    <w:p w14:paraId="5378C6AB" w14:textId="6600FB36" w:rsidR="00BF0F3F" w:rsidRPr="00A1696A" w:rsidRDefault="00DB1B69" w:rsidP="006B6EBF">
      <w:pPr>
        <w:pStyle w:val="Tekst"/>
        <w:ind w:firstLine="0"/>
        <w:jc w:val="center"/>
        <w:rPr>
          <w:color w:val="000000"/>
          <w:sz w:val="24"/>
          <w:szCs w:val="24"/>
          <w:lang w:val="bg-BG"/>
        </w:rPr>
      </w:pPr>
      <w:r w:rsidRPr="00A1696A">
        <w:rPr>
          <w:noProof/>
          <w:lang w:val="bg-BG" w:eastAsia="bg-BG"/>
        </w:rPr>
        <w:drawing>
          <wp:inline distT="0" distB="0" distL="0" distR="0" wp14:anchorId="4EB22B8C" wp14:editId="1E2FA92F">
            <wp:extent cx="4192101" cy="3169776"/>
            <wp:effectExtent l="19050" t="19050" r="18415" b="12065"/>
            <wp:docPr id="90119" name="Картина 9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3931" t="5165" r="11213" b="7981"/>
                    <a:stretch/>
                  </pic:blipFill>
                  <pic:spPr bwMode="auto">
                    <a:xfrm>
                      <a:off x="0" y="0"/>
                      <a:ext cx="4201289" cy="3176723"/>
                    </a:xfrm>
                    <a:prstGeom prst="rect">
                      <a:avLst/>
                    </a:prstGeom>
                    <a:noFill/>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069CE454" w14:textId="23A37EA9" w:rsidR="00513A69" w:rsidRPr="00A1696A" w:rsidRDefault="00513A69" w:rsidP="006B6EBF">
      <w:pPr>
        <w:pStyle w:val="Tekst"/>
        <w:ind w:firstLine="0"/>
        <w:jc w:val="center"/>
        <w:rPr>
          <w:i/>
          <w:color w:val="000000"/>
          <w:sz w:val="24"/>
          <w:szCs w:val="24"/>
          <w:lang w:val="bg-BG"/>
        </w:rPr>
      </w:pPr>
      <w:bookmarkStart w:id="91" w:name="_Hlk7801685"/>
      <w:r w:rsidRPr="00A1696A">
        <w:rPr>
          <w:i/>
          <w:color w:val="000000"/>
          <w:sz w:val="24"/>
          <w:szCs w:val="24"/>
          <w:lang w:val="bg-BG"/>
        </w:rPr>
        <w:t xml:space="preserve">Фиг. </w:t>
      </w:r>
      <w:r w:rsidR="00DB1B69" w:rsidRPr="00A1696A">
        <w:rPr>
          <w:i/>
          <w:color w:val="000000"/>
          <w:sz w:val="24"/>
          <w:szCs w:val="24"/>
          <w:lang w:val="bg-BG"/>
        </w:rPr>
        <w:t>2</w:t>
      </w:r>
      <w:r w:rsidR="008D3800">
        <w:rPr>
          <w:i/>
          <w:color w:val="000000"/>
          <w:sz w:val="24"/>
          <w:szCs w:val="24"/>
          <w:lang w:val="bg-BG"/>
        </w:rPr>
        <w:t>1</w:t>
      </w:r>
      <w:r w:rsidRPr="00A1696A">
        <w:rPr>
          <w:i/>
          <w:color w:val="000000"/>
          <w:sz w:val="24"/>
          <w:szCs w:val="24"/>
          <w:lang w:val="bg-BG"/>
        </w:rPr>
        <w:t>. Определяне на генетичния тип ОВ изразен чрез отношението HI/OI</w:t>
      </w:r>
    </w:p>
    <w:p w14:paraId="19BE2C3E" w14:textId="77777777" w:rsidR="00481384" w:rsidRPr="00A1696A" w:rsidRDefault="00481384" w:rsidP="006B6EBF">
      <w:pPr>
        <w:pStyle w:val="Tekst"/>
        <w:ind w:firstLine="0"/>
        <w:jc w:val="center"/>
        <w:rPr>
          <w:i/>
          <w:color w:val="000000"/>
          <w:sz w:val="24"/>
          <w:szCs w:val="24"/>
          <w:lang w:val="bg-BG"/>
        </w:rPr>
      </w:pPr>
    </w:p>
    <w:p w14:paraId="46C8F2EB" w14:textId="4062C372" w:rsidR="00513A69" w:rsidRPr="00A1696A" w:rsidRDefault="00C37D5F" w:rsidP="006B6EBF">
      <w:pPr>
        <w:spacing w:after="0" w:line="240" w:lineRule="auto"/>
        <w:ind w:firstLine="708"/>
        <w:jc w:val="both"/>
        <w:rPr>
          <w:rFonts w:ascii="Times New Roman" w:hAnsi="Times New Roman" w:cs="Times New Roman"/>
          <w:color w:val="000000"/>
          <w:sz w:val="24"/>
          <w:szCs w:val="24"/>
        </w:rPr>
      </w:pPr>
      <w:r w:rsidRPr="00A1696A">
        <w:rPr>
          <w:rFonts w:ascii="Times New Roman" w:hAnsi="Times New Roman" w:cs="Times New Roman"/>
          <w:color w:val="000000"/>
          <w:sz w:val="24"/>
          <w:szCs w:val="24"/>
        </w:rPr>
        <w:t xml:space="preserve">Въз основа на RockEval изследванията може да се направи </w:t>
      </w:r>
      <w:r w:rsidR="00513A69" w:rsidRPr="00A1696A">
        <w:rPr>
          <w:rFonts w:ascii="Times New Roman" w:hAnsi="Times New Roman" w:cs="Times New Roman"/>
          <w:color w:val="000000"/>
          <w:sz w:val="24"/>
          <w:szCs w:val="24"/>
        </w:rPr>
        <w:t>извод</w:t>
      </w:r>
      <w:r w:rsidRPr="00A1696A">
        <w:rPr>
          <w:rFonts w:ascii="Times New Roman" w:hAnsi="Times New Roman" w:cs="Times New Roman"/>
          <w:color w:val="000000"/>
          <w:sz w:val="24"/>
          <w:szCs w:val="24"/>
        </w:rPr>
        <w:t>а</w:t>
      </w:r>
      <w:r w:rsidR="00513A69" w:rsidRPr="00A1696A">
        <w:rPr>
          <w:rFonts w:ascii="Times New Roman" w:hAnsi="Times New Roman" w:cs="Times New Roman"/>
          <w:color w:val="000000"/>
          <w:sz w:val="24"/>
          <w:szCs w:val="24"/>
        </w:rPr>
        <w:t xml:space="preserve">, че глинесто-мергелната задруга, приета за аналог на </w:t>
      </w:r>
      <w:r w:rsidRPr="00A1696A">
        <w:rPr>
          <w:rFonts w:ascii="Times New Roman" w:hAnsi="Times New Roman" w:cs="Times New Roman"/>
          <w:color w:val="000000"/>
          <w:sz w:val="24"/>
          <w:szCs w:val="24"/>
        </w:rPr>
        <w:t xml:space="preserve">доказаната генерационна формация </w:t>
      </w:r>
      <w:r w:rsidR="00513A69" w:rsidRPr="00A1696A">
        <w:rPr>
          <w:rFonts w:ascii="Times New Roman" w:hAnsi="Times New Roman" w:cs="Times New Roman"/>
          <w:color w:val="000000"/>
          <w:sz w:val="24"/>
          <w:szCs w:val="24"/>
        </w:rPr>
        <w:t>Mezaredere от турската част на басейна</w:t>
      </w:r>
      <w:r w:rsidR="002E4C45" w:rsidRPr="00A1696A">
        <w:rPr>
          <w:rFonts w:ascii="Times New Roman" w:hAnsi="Times New Roman" w:cs="Times New Roman"/>
          <w:color w:val="000000"/>
          <w:sz w:val="24"/>
          <w:szCs w:val="24"/>
        </w:rPr>
        <w:t xml:space="preserve"> </w:t>
      </w:r>
      <w:r w:rsidRPr="00A1696A">
        <w:rPr>
          <w:rFonts w:ascii="Times New Roman" w:hAnsi="Times New Roman" w:cs="Times New Roman"/>
          <w:color w:val="000000"/>
          <w:sz w:val="24"/>
          <w:szCs w:val="24"/>
        </w:rPr>
        <w:t>(Hoşgörmez and Yalçın, 2005)</w:t>
      </w:r>
      <w:r w:rsidR="00513A69" w:rsidRPr="00A1696A">
        <w:rPr>
          <w:rFonts w:ascii="Times New Roman" w:hAnsi="Times New Roman" w:cs="Times New Roman"/>
          <w:color w:val="000000"/>
          <w:sz w:val="24"/>
          <w:szCs w:val="24"/>
        </w:rPr>
        <w:t xml:space="preserve">, притежава </w:t>
      </w:r>
      <w:r w:rsidR="00A93C2C" w:rsidRPr="00A1696A">
        <w:rPr>
          <w:rFonts w:ascii="Times New Roman" w:hAnsi="Times New Roman" w:cs="Times New Roman"/>
          <w:color w:val="000000"/>
          <w:sz w:val="24"/>
          <w:szCs w:val="24"/>
        </w:rPr>
        <w:t>задоволителен</w:t>
      </w:r>
      <w:r w:rsidR="00513A69" w:rsidRPr="00A1696A">
        <w:rPr>
          <w:rFonts w:ascii="Times New Roman" w:hAnsi="Times New Roman" w:cs="Times New Roman"/>
          <w:color w:val="000000"/>
          <w:sz w:val="24"/>
          <w:szCs w:val="24"/>
        </w:rPr>
        <w:t xml:space="preserve"> въглеводороден потенциал.</w:t>
      </w:r>
    </w:p>
    <w:p w14:paraId="18E32AEA" w14:textId="71A03EAC" w:rsidR="00513A69" w:rsidRPr="00DA6E8E" w:rsidRDefault="00513A69" w:rsidP="00DA6E8E">
      <w:pPr>
        <w:spacing w:after="0" w:line="240" w:lineRule="auto"/>
        <w:ind w:firstLine="709"/>
        <w:jc w:val="both"/>
        <w:rPr>
          <w:rFonts w:ascii="Times New Roman" w:hAnsi="Times New Roman" w:cs="Times New Roman"/>
          <w:b/>
          <w:i/>
          <w:color w:val="000000"/>
          <w:sz w:val="24"/>
          <w:szCs w:val="24"/>
        </w:rPr>
      </w:pPr>
      <w:r w:rsidRPr="00DA6E8E">
        <w:rPr>
          <w:rFonts w:ascii="Times New Roman" w:hAnsi="Times New Roman" w:cs="Times New Roman"/>
          <w:b/>
          <w:i/>
          <w:color w:val="000000"/>
          <w:sz w:val="24"/>
          <w:szCs w:val="24"/>
        </w:rPr>
        <w:t>4.</w:t>
      </w:r>
      <w:r w:rsidR="001846B3" w:rsidRPr="00DA6E8E">
        <w:rPr>
          <w:rFonts w:ascii="Times New Roman" w:hAnsi="Times New Roman" w:cs="Times New Roman"/>
          <w:b/>
          <w:i/>
          <w:color w:val="000000"/>
          <w:sz w:val="24"/>
          <w:szCs w:val="24"/>
        </w:rPr>
        <w:t>5</w:t>
      </w:r>
      <w:r w:rsidRPr="00DA6E8E">
        <w:rPr>
          <w:rFonts w:ascii="Times New Roman" w:hAnsi="Times New Roman" w:cs="Times New Roman"/>
          <w:b/>
          <w:i/>
          <w:color w:val="000000"/>
          <w:sz w:val="24"/>
          <w:szCs w:val="24"/>
        </w:rPr>
        <w:t>.2. Биомаркерен анализ за оценка на генерационния потенциал</w:t>
      </w:r>
    </w:p>
    <w:p w14:paraId="24F02DFC" w14:textId="552CF8C3" w:rsidR="00513A69" w:rsidRPr="00A1696A" w:rsidRDefault="00513A69" w:rsidP="006B6EBF">
      <w:pPr>
        <w:spacing w:after="0" w:line="240" w:lineRule="auto"/>
        <w:ind w:firstLine="708"/>
        <w:jc w:val="both"/>
        <w:rPr>
          <w:rFonts w:ascii="Times New Roman" w:hAnsi="Times New Roman" w:cs="Times New Roman"/>
          <w:sz w:val="24"/>
          <w:szCs w:val="24"/>
        </w:rPr>
      </w:pPr>
      <w:r w:rsidRPr="00A1696A">
        <w:rPr>
          <w:rFonts w:ascii="Times New Roman" w:hAnsi="Times New Roman" w:cs="Times New Roman"/>
          <w:sz w:val="24"/>
          <w:szCs w:val="24"/>
        </w:rPr>
        <w:t xml:space="preserve"> </w:t>
      </w:r>
      <w:r w:rsidR="00481384" w:rsidRPr="00A1696A">
        <w:rPr>
          <w:rFonts w:ascii="Times New Roman" w:hAnsi="Times New Roman" w:cs="Times New Roman"/>
          <w:sz w:val="24"/>
          <w:szCs w:val="24"/>
        </w:rPr>
        <w:t xml:space="preserve">Въз основа на получените резултати  от масспектралното изследване са охарактеризирани набелязаните потенциални нефто-газомайчини скали и съдържащото се в тях ОВ (Meracheva </w:t>
      </w:r>
      <w:r w:rsidR="00481384" w:rsidRPr="00A1696A">
        <w:rPr>
          <w:rFonts w:ascii="Times New Roman" w:hAnsi="Times New Roman" w:cs="Times New Roman"/>
          <w:i/>
          <w:sz w:val="24"/>
          <w:szCs w:val="24"/>
        </w:rPr>
        <w:t>et al.</w:t>
      </w:r>
      <w:r w:rsidR="00481384" w:rsidRPr="00A1696A">
        <w:rPr>
          <w:rFonts w:ascii="Times New Roman" w:hAnsi="Times New Roman" w:cs="Times New Roman"/>
          <w:sz w:val="24"/>
          <w:szCs w:val="24"/>
        </w:rPr>
        <w:t xml:space="preserve">, 2017), което послужи за оценка на генерационния потенциал на изследвания терциерен седиментен комплекс. </w:t>
      </w:r>
      <w:r w:rsidRPr="00A1696A">
        <w:rPr>
          <w:rFonts w:ascii="Times New Roman" w:hAnsi="Times New Roman" w:cs="Times New Roman"/>
          <w:sz w:val="24"/>
          <w:szCs w:val="24"/>
        </w:rPr>
        <w:t xml:space="preserve">В процеса на </w:t>
      </w:r>
      <w:r w:rsidR="003E2031" w:rsidRPr="00A1696A">
        <w:rPr>
          <w:rFonts w:ascii="Times New Roman" w:hAnsi="Times New Roman" w:cs="Times New Roman"/>
          <w:sz w:val="24"/>
          <w:szCs w:val="24"/>
        </w:rPr>
        <w:t xml:space="preserve">масспектралното </w:t>
      </w:r>
      <w:r w:rsidRPr="00A1696A">
        <w:rPr>
          <w:rFonts w:ascii="Times New Roman" w:hAnsi="Times New Roman" w:cs="Times New Roman"/>
          <w:sz w:val="24"/>
          <w:szCs w:val="24"/>
        </w:rPr>
        <w:t xml:space="preserve">изследване се доказа, че всички проби, за които са регистрирани стойности на </w:t>
      </w:r>
      <w:smartTag w:uri="urn:schemas-microsoft-com:office:smarttags" w:element="stockticker">
        <w:r w:rsidRPr="00A1696A">
          <w:rPr>
            <w:rFonts w:ascii="Times New Roman" w:hAnsi="Times New Roman" w:cs="Times New Roman"/>
            <w:sz w:val="24"/>
            <w:szCs w:val="24"/>
          </w:rPr>
          <w:t>TOC</w:t>
        </w:r>
      </w:smartTag>
      <w:r w:rsidRPr="00A1696A">
        <w:rPr>
          <w:rFonts w:ascii="Times New Roman" w:hAnsi="Times New Roman" w:cs="Times New Roman"/>
          <w:sz w:val="24"/>
          <w:szCs w:val="24"/>
        </w:rPr>
        <w:t xml:space="preserve"> &gt;1</w:t>
      </w:r>
      <w:r w:rsidR="003E3223" w:rsidRPr="00A1696A">
        <w:rPr>
          <w:rFonts w:ascii="Times New Roman" w:hAnsi="Times New Roman" w:cs="Times New Roman"/>
          <w:sz w:val="24"/>
          <w:szCs w:val="24"/>
        </w:rPr>
        <w:t>,</w:t>
      </w:r>
      <w:r w:rsidRPr="00A1696A">
        <w:rPr>
          <w:rFonts w:ascii="Times New Roman" w:hAnsi="Times New Roman" w:cs="Times New Roman"/>
          <w:sz w:val="24"/>
          <w:szCs w:val="24"/>
        </w:rPr>
        <w:t>0% и се определят като потенциално генериращи скали по RockEval</w:t>
      </w:r>
      <w:r w:rsidR="002E4C45" w:rsidRPr="00A1696A">
        <w:rPr>
          <w:rFonts w:ascii="Times New Roman" w:hAnsi="Times New Roman" w:cs="Times New Roman"/>
          <w:sz w:val="24"/>
          <w:szCs w:val="24"/>
        </w:rPr>
        <w:t xml:space="preserve"> (табл.1)</w:t>
      </w:r>
      <w:r w:rsidRPr="00A1696A">
        <w:rPr>
          <w:rFonts w:ascii="Times New Roman" w:hAnsi="Times New Roman" w:cs="Times New Roman"/>
          <w:sz w:val="24"/>
          <w:szCs w:val="24"/>
        </w:rPr>
        <w:t xml:space="preserve">, се характеризират с по-висок добив на битумоиди. </w:t>
      </w:r>
    </w:p>
    <w:p w14:paraId="077321C8" w14:textId="77777777" w:rsidR="00513A69" w:rsidRPr="00A1696A" w:rsidRDefault="00513A69" w:rsidP="001D3ADD">
      <w:pPr>
        <w:numPr>
          <w:ilvl w:val="0"/>
          <w:numId w:val="6"/>
        </w:numPr>
        <w:autoSpaceDE w:val="0"/>
        <w:autoSpaceDN w:val="0"/>
        <w:adjustRightInd w:val="0"/>
        <w:spacing w:after="0" w:line="240" w:lineRule="auto"/>
        <w:jc w:val="both"/>
        <w:rPr>
          <w:rFonts w:ascii="Times New Roman" w:hAnsi="Times New Roman" w:cs="Times New Roman"/>
          <w:b/>
          <w:sz w:val="24"/>
          <w:szCs w:val="24"/>
        </w:rPr>
      </w:pPr>
      <w:r w:rsidRPr="00A1696A">
        <w:rPr>
          <w:rFonts w:ascii="Times New Roman" w:hAnsi="Times New Roman" w:cs="Times New Roman"/>
          <w:b/>
          <w:sz w:val="24"/>
          <w:szCs w:val="24"/>
        </w:rPr>
        <w:t>Линейни алкани</w:t>
      </w:r>
    </w:p>
    <w:p w14:paraId="57E452D5" w14:textId="59F72A66" w:rsidR="00513A69" w:rsidRPr="00A1696A" w:rsidRDefault="00513A69" w:rsidP="00C1563D">
      <w:pPr>
        <w:spacing w:after="0" w:line="240" w:lineRule="auto"/>
        <w:ind w:firstLine="708"/>
        <w:jc w:val="both"/>
        <w:rPr>
          <w:rFonts w:ascii="Times New Roman" w:hAnsi="Times New Roman" w:cs="Times New Roman"/>
          <w:sz w:val="24"/>
          <w:szCs w:val="24"/>
        </w:rPr>
      </w:pPr>
      <w:r w:rsidRPr="00A1696A">
        <w:rPr>
          <w:rFonts w:ascii="Times New Roman" w:hAnsi="Times New Roman" w:cs="Times New Roman"/>
          <w:sz w:val="24"/>
          <w:szCs w:val="24"/>
        </w:rPr>
        <w:t>В изследваните проби масспектрално са доказани линейни въглеводороди  (</w:t>
      </w:r>
      <w:r w:rsidRPr="00A1696A">
        <w:rPr>
          <w:rFonts w:ascii="Times New Roman" w:hAnsi="Times New Roman" w:cs="Times New Roman"/>
          <w:i/>
          <w:sz w:val="24"/>
          <w:szCs w:val="24"/>
        </w:rPr>
        <w:t>n</w:t>
      </w:r>
      <w:r w:rsidRPr="00A1696A">
        <w:rPr>
          <w:rFonts w:ascii="Times New Roman" w:hAnsi="Times New Roman" w:cs="Times New Roman"/>
          <w:sz w:val="24"/>
          <w:szCs w:val="24"/>
        </w:rPr>
        <w:t xml:space="preserve">-алкани) с дължина на веригата </w:t>
      </w:r>
      <w:r w:rsidRPr="00A1696A">
        <w:rPr>
          <w:rFonts w:ascii="Times New Roman" w:hAnsi="Times New Roman" w:cs="Times New Roman"/>
          <w:i/>
          <w:sz w:val="24"/>
          <w:szCs w:val="24"/>
        </w:rPr>
        <w:t>n-</w:t>
      </w:r>
      <w:r w:rsidRPr="00A1696A">
        <w:rPr>
          <w:rFonts w:ascii="Times New Roman" w:hAnsi="Times New Roman" w:cs="Times New Roman"/>
          <w:sz w:val="24"/>
          <w:szCs w:val="24"/>
        </w:rPr>
        <w:t>С</w:t>
      </w:r>
      <w:r w:rsidRPr="00A1696A">
        <w:rPr>
          <w:rFonts w:ascii="Times New Roman" w:hAnsi="Times New Roman" w:cs="Times New Roman"/>
          <w:sz w:val="24"/>
          <w:szCs w:val="24"/>
          <w:vertAlign w:val="subscript"/>
        </w:rPr>
        <w:t>15</w:t>
      </w:r>
      <w:r w:rsidRPr="00A1696A">
        <w:rPr>
          <w:rFonts w:ascii="Times New Roman" w:hAnsi="Times New Roman" w:cs="Times New Roman"/>
          <w:sz w:val="24"/>
          <w:szCs w:val="24"/>
        </w:rPr>
        <w:t xml:space="preserve"> ÷ </w:t>
      </w:r>
      <w:r w:rsidRPr="00A1696A">
        <w:rPr>
          <w:rFonts w:ascii="Times New Roman" w:hAnsi="Times New Roman" w:cs="Times New Roman"/>
          <w:i/>
          <w:sz w:val="24"/>
          <w:szCs w:val="24"/>
        </w:rPr>
        <w:t>n-</w:t>
      </w:r>
      <w:r w:rsidRPr="00A1696A">
        <w:rPr>
          <w:rFonts w:ascii="Times New Roman" w:hAnsi="Times New Roman" w:cs="Times New Roman"/>
          <w:sz w:val="24"/>
          <w:szCs w:val="24"/>
        </w:rPr>
        <w:t>С</w:t>
      </w:r>
      <w:r w:rsidRPr="00A1696A">
        <w:rPr>
          <w:rFonts w:ascii="Times New Roman" w:hAnsi="Times New Roman" w:cs="Times New Roman"/>
          <w:sz w:val="24"/>
          <w:szCs w:val="24"/>
          <w:vertAlign w:val="subscript"/>
        </w:rPr>
        <w:t>34</w:t>
      </w:r>
      <w:r w:rsidRPr="00A1696A">
        <w:rPr>
          <w:rFonts w:ascii="Times New Roman" w:hAnsi="Times New Roman" w:cs="Times New Roman"/>
          <w:sz w:val="24"/>
          <w:szCs w:val="24"/>
        </w:rPr>
        <w:t xml:space="preserve">, като в повечето проби се наблюдава доминиране на дълговерижните хомолози </w:t>
      </w:r>
      <w:r w:rsidRPr="00A1696A">
        <w:rPr>
          <w:rFonts w:ascii="Times New Roman" w:hAnsi="Times New Roman" w:cs="Times New Roman"/>
          <w:i/>
          <w:sz w:val="24"/>
          <w:szCs w:val="24"/>
        </w:rPr>
        <w:t>n-</w:t>
      </w:r>
      <w:r w:rsidRPr="00A1696A">
        <w:rPr>
          <w:rFonts w:ascii="Times New Roman" w:hAnsi="Times New Roman" w:cs="Times New Roman"/>
          <w:sz w:val="24"/>
          <w:szCs w:val="24"/>
        </w:rPr>
        <w:t>С</w:t>
      </w:r>
      <w:r w:rsidRPr="00A1696A">
        <w:rPr>
          <w:rFonts w:ascii="Times New Roman" w:hAnsi="Times New Roman" w:cs="Times New Roman"/>
          <w:sz w:val="24"/>
          <w:szCs w:val="24"/>
          <w:vertAlign w:val="subscript"/>
        </w:rPr>
        <w:t>27</w:t>
      </w:r>
      <w:r w:rsidRPr="00A1696A">
        <w:rPr>
          <w:rFonts w:ascii="Times New Roman" w:hAnsi="Times New Roman" w:cs="Times New Roman"/>
          <w:sz w:val="24"/>
          <w:szCs w:val="24"/>
        </w:rPr>
        <w:t xml:space="preserve">, </w:t>
      </w:r>
      <w:r w:rsidRPr="00A1696A">
        <w:rPr>
          <w:rFonts w:ascii="Times New Roman" w:hAnsi="Times New Roman" w:cs="Times New Roman"/>
          <w:i/>
          <w:sz w:val="24"/>
          <w:szCs w:val="24"/>
        </w:rPr>
        <w:t>n-</w:t>
      </w:r>
      <w:r w:rsidRPr="00A1696A">
        <w:rPr>
          <w:rFonts w:ascii="Times New Roman" w:hAnsi="Times New Roman" w:cs="Times New Roman"/>
          <w:sz w:val="24"/>
          <w:szCs w:val="24"/>
        </w:rPr>
        <w:t>С</w:t>
      </w:r>
      <w:r w:rsidRPr="00A1696A">
        <w:rPr>
          <w:rFonts w:ascii="Times New Roman" w:hAnsi="Times New Roman" w:cs="Times New Roman"/>
          <w:sz w:val="24"/>
          <w:szCs w:val="24"/>
          <w:vertAlign w:val="subscript"/>
        </w:rPr>
        <w:t>29</w:t>
      </w:r>
      <w:r w:rsidRPr="00A1696A">
        <w:rPr>
          <w:rFonts w:ascii="Times New Roman" w:hAnsi="Times New Roman" w:cs="Times New Roman"/>
          <w:sz w:val="24"/>
          <w:szCs w:val="24"/>
        </w:rPr>
        <w:t xml:space="preserve"> и </w:t>
      </w:r>
      <w:r w:rsidRPr="00A1696A">
        <w:rPr>
          <w:rFonts w:ascii="Times New Roman" w:hAnsi="Times New Roman" w:cs="Times New Roman"/>
          <w:i/>
          <w:sz w:val="24"/>
          <w:szCs w:val="24"/>
        </w:rPr>
        <w:t>n-</w:t>
      </w:r>
      <w:r w:rsidRPr="00A1696A">
        <w:rPr>
          <w:rFonts w:ascii="Times New Roman" w:hAnsi="Times New Roman" w:cs="Times New Roman"/>
          <w:sz w:val="24"/>
          <w:szCs w:val="24"/>
        </w:rPr>
        <w:t>С</w:t>
      </w:r>
      <w:r w:rsidRPr="00A1696A">
        <w:rPr>
          <w:rFonts w:ascii="Times New Roman" w:hAnsi="Times New Roman" w:cs="Times New Roman"/>
          <w:sz w:val="24"/>
          <w:szCs w:val="24"/>
          <w:vertAlign w:val="subscript"/>
        </w:rPr>
        <w:t>31</w:t>
      </w:r>
      <w:r w:rsidRPr="00A1696A">
        <w:rPr>
          <w:rFonts w:ascii="Times New Roman" w:hAnsi="Times New Roman" w:cs="Times New Roman"/>
          <w:sz w:val="24"/>
          <w:szCs w:val="24"/>
        </w:rPr>
        <w:t xml:space="preserve"> (</w:t>
      </w:r>
      <w:r w:rsidR="001C3FB0" w:rsidRPr="00A1696A">
        <w:rPr>
          <w:rFonts w:ascii="Times New Roman" w:hAnsi="Times New Roman" w:cs="Times New Roman"/>
          <w:sz w:val="24"/>
          <w:szCs w:val="24"/>
        </w:rPr>
        <w:t>табл.2</w:t>
      </w:r>
      <w:r w:rsidRPr="00A1696A">
        <w:rPr>
          <w:rFonts w:ascii="Times New Roman" w:hAnsi="Times New Roman" w:cs="Times New Roman"/>
          <w:sz w:val="24"/>
          <w:szCs w:val="24"/>
        </w:rPr>
        <w:t>)</w:t>
      </w:r>
      <w:r w:rsidR="003B4B0C" w:rsidRPr="00A1696A">
        <w:rPr>
          <w:rFonts w:ascii="Times New Roman" w:hAnsi="Times New Roman" w:cs="Times New Roman"/>
          <w:sz w:val="24"/>
          <w:szCs w:val="24"/>
        </w:rPr>
        <w:t xml:space="preserve">. Това </w:t>
      </w:r>
      <w:r w:rsidRPr="00A1696A">
        <w:rPr>
          <w:rFonts w:ascii="Times New Roman" w:hAnsi="Times New Roman" w:cs="Times New Roman"/>
          <w:sz w:val="24"/>
          <w:szCs w:val="24"/>
        </w:rPr>
        <w:t>определя органичното вещество на продуциращите скали като хумусен тип ІІІ</w:t>
      </w:r>
      <w:r w:rsidR="002556A4" w:rsidRPr="00A1696A">
        <w:rPr>
          <w:rFonts w:ascii="Times New Roman" w:hAnsi="Times New Roman" w:cs="Times New Roman"/>
          <w:sz w:val="24"/>
          <w:szCs w:val="24"/>
        </w:rPr>
        <w:t xml:space="preserve"> ОВ</w:t>
      </w:r>
      <w:r w:rsidRPr="00A1696A">
        <w:rPr>
          <w:rFonts w:ascii="Times New Roman" w:hAnsi="Times New Roman" w:cs="Times New Roman"/>
          <w:sz w:val="24"/>
          <w:szCs w:val="24"/>
        </w:rPr>
        <w:t>. За някои от пробите (G1, G3, G4, G5 и G12) се наблюдава разлика в концентрациите на „свободен“ и „свързан“ битумоид, поради което са представени разпределенията и за двата битумоида.</w:t>
      </w:r>
      <w:r w:rsidR="00F104FE" w:rsidRPr="00A1696A">
        <w:rPr>
          <w:rFonts w:ascii="Times New Roman" w:hAnsi="Times New Roman" w:cs="Times New Roman"/>
          <w:sz w:val="24"/>
          <w:szCs w:val="24"/>
        </w:rPr>
        <w:t xml:space="preserve"> При „свързан” битумоид на проба G3 (RE-4) максимумът на разпределение е изместен към „средно” верижните алкани </w:t>
      </w:r>
      <w:r w:rsidR="00F104FE" w:rsidRPr="00A1696A">
        <w:rPr>
          <w:rFonts w:ascii="Times New Roman" w:hAnsi="Times New Roman" w:cs="Times New Roman"/>
          <w:i/>
          <w:sz w:val="24"/>
          <w:szCs w:val="24"/>
        </w:rPr>
        <w:t>n-C</w:t>
      </w:r>
      <w:r w:rsidR="00F104FE" w:rsidRPr="00A1696A">
        <w:rPr>
          <w:rFonts w:ascii="Times New Roman" w:hAnsi="Times New Roman" w:cs="Times New Roman"/>
          <w:sz w:val="24"/>
          <w:szCs w:val="24"/>
          <w:vertAlign w:val="subscript"/>
        </w:rPr>
        <w:t>21</w:t>
      </w:r>
      <w:r w:rsidR="00F104FE" w:rsidRPr="00A1696A">
        <w:rPr>
          <w:rFonts w:ascii="Times New Roman" w:hAnsi="Times New Roman" w:cs="Times New Roman"/>
          <w:sz w:val="24"/>
          <w:szCs w:val="24"/>
        </w:rPr>
        <w:t>-</w:t>
      </w:r>
      <w:r w:rsidR="00F104FE" w:rsidRPr="00A1696A">
        <w:rPr>
          <w:rFonts w:ascii="Times New Roman" w:hAnsi="Times New Roman" w:cs="Times New Roman"/>
          <w:i/>
          <w:sz w:val="24"/>
          <w:szCs w:val="24"/>
        </w:rPr>
        <w:t>n-C</w:t>
      </w:r>
      <w:r w:rsidR="00F104FE" w:rsidRPr="00A1696A">
        <w:rPr>
          <w:rFonts w:ascii="Times New Roman" w:hAnsi="Times New Roman" w:cs="Times New Roman"/>
          <w:sz w:val="24"/>
          <w:szCs w:val="24"/>
          <w:vertAlign w:val="subscript"/>
        </w:rPr>
        <w:t xml:space="preserve">25 </w:t>
      </w:r>
      <w:r w:rsidR="00F104FE" w:rsidRPr="00A1696A">
        <w:rPr>
          <w:rFonts w:ascii="Times New Roman" w:hAnsi="Times New Roman" w:cs="Times New Roman"/>
          <w:sz w:val="24"/>
          <w:szCs w:val="24"/>
        </w:rPr>
        <w:t xml:space="preserve">(табл.2), което предполага, че този тип ОВ може да е привнесено от бактериите/бентоса (Пеева, 2012) или </w:t>
      </w:r>
      <w:r w:rsidR="002E4C45" w:rsidRPr="00A1696A">
        <w:rPr>
          <w:rFonts w:ascii="Times New Roman" w:hAnsi="Times New Roman" w:cs="Times New Roman"/>
          <w:sz w:val="24"/>
          <w:szCs w:val="24"/>
        </w:rPr>
        <w:t xml:space="preserve">поради </w:t>
      </w:r>
      <w:r w:rsidR="00F104FE" w:rsidRPr="00A1696A">
        <w:rPr>
          <w:rFonts w:ascii="Times New Roman" w:hAnsi="Times New Roman" w:cs="Times New Roman"/>
          <w:sz w:val="24"/>
          <w:szCs w:val="24"/>
        </w:rPr>
        <w:t xml:space="preserve">присъствие на плаваща или потопена растителност в спокойните сладководни басейни (Ficken </w:t>
      </w:r>
      <w:r w:rsidR="00F104FE" w:rsidRPr="00A1696A">
        <w:rPr>
          <w:rFonts w:ascii="Times New Roman" w:hAnsi="Times New Roman" w:cs="Times New Roman"/>
          <w:i/>
          <w:sz w:val="24"/>
          <w:szCs w:val="24"/>
        </w:rPr>
        <w:t>et al.</w:t>
      </w:r>
      <w:r w:rsidR="00F104FE" w:rsidRPr="00A1696A">
        <w:rPr>
          <w:rFonts w:ascii="Times New Roman" w:hAnsi="Times New Roman" w:cs="Times New Roman"/>
          <w:sz w:val="24"/>
          <w:szCs w:val="24"/>
        </w:rPr>
        <w:t>, 2000).</w:t>
      </w:r>
      <w:r w:rsidRPr="00A1696A">
        <w:rPr>
          <w:rFonts w:ascii="Times New Roman" w:hAnsi="Times New Roman" w:cs="Times New Roman"/>
          <w:sz w:val="24"/>
          <w:szCs w:val="24"/>
        </w:rPr>
        <w:t xml:space="preserve"> </w:t>
      </w:r>
      <w:r w:rsidR="003B4B0C" w:rsidRPr="00A1696A">
        <w:rPr>
          <w:rFonts w:ascii="Times New Roman" w:hAnsi="Times New Roman" w:cs="Times New Roman"/>
          <w:sz w:val="24"/>
          <w:szCs w:val="24"/>
        </w:rPr>
        <w:t>Разпределението на алканите в проба G4 (RE-5) съществено се различава от по-горе описаните, тъй като късоверижните хомолози съставляват основната част на анализираната фракция</w:t>
      </w:r>
      <w:r w:rsidR="00F104FE" w:rsidRPr="00A1696A">
        <w:rPr>
          <w:rFonts w:ascii="Times New Roman" w:hAnsi="Times New Roman" w:cs="Times New Roman"/>
          <w:sz w:val="24"/>
          <w:szCs w:val="24"/>
        </w:rPr>
        <w:t xml:space="preserve"> (табл.2)</w:t>
      </w:r>
      <w:r w:rsidR="003B4B0C" w:rsidRPr="00A1696A">
        <w:rPr>
          <w:rFonts w:ascii="Times New Roman" w:hAnsi="Times New Roman" w:cs="Times New Roman"/>
          <w:sz w:val="24"/>
          <w:szCs w:val="24"/>
        </w:rPr>
        <w:t>.</w:t>
      </w:r>
      <w:r w:rsidR="00F104FE" w:rsidRPr="00A1696A">
        <w:rPr>
          <w:rFonts w:ascii="Times New Roman" w:hAnsi="Times New Roman" w:cs="Times New Roman"/>
          <w:sz w:val="24"/>
          <w:szCs w:val="24"/>
        </w:rPr>
        <w:t xml:space="preserve"> Този тип разпределение е указание за </w:t>
      </w:r>
      <w:r w:rsidR="00F104FE" w:rsidRPr="00A1696A">
        <w:rPr>
          <w:rFonts w:ascii="Times New Roman" w:hAnsi="Times New Roman" w:cs="Times New Roman"/>
          <w:sz w:val="24"/>
          <w:szCs w:val="24"/>
        </w:rPr>
        <w:lastRenderedPageBreak/>
        <w:t>привнос на сапропелов тип ОВ  от морска растителност.</w:t>
      </w:r>
      <w:r w:rsidR="00C1563D" w:rsidRPr="00A1696A">
        <w:rPr>
          <w:rFonts w:ascii="Times New Roman" w:hAnsi="Times New Roman" w:cs="Times New Roman"/>
          <w:sz w:val="24"/>
          <w:szCs w:val="24"/>
        </w:rPr>
        <w:t xml:space="preserve"> </w:t>
      </w:r>
      <w:r w:rsidR="00D96E63" w:rsidRPr="00A1696A">
        <w:rPr>
          <w:rFonts w:ascii="Times New Roman" w:hAnsi="Times New Roman" w:cs="Times New Roman"/>
          <w:sz w:val="24"/>
          <w:szCs w:val="24"/>
        </w:rPr>
        <w:t xml:space="preserve">Степента на зрялост на ОВ, която може да се отрази с разпределението на </w:t>
      </w:r>
      <w:r w:rsidR="00D96E63" w:rsidRPr="00A1696A">
        <w:rPr>
          <w:rFonts w:ascii="Times New Roman" w:hAnsi="Times New Roman" w:cs="Times New Roman"/>
          <w:i/>
          <w:sz w:val="24"/>
          <w:szCs w:val="24"/>
        </w:rPr>
        <w:t>n</w:t>
      </w:r>
      <w:r w:rsidR="00D96E63" w:rsidRPr="00A1696A">
        <w:rPr>
          <w:rFonts w:ascii="Times New Roman" w:hAnsi="Times New Roman" w:cs="Times New Roman"/>
          <w:sz w:val="24"/>
          <w:szCs w:val="24"/>
        </w:rPr>
        <w:t>-алканите, е определена посредтвом индексите ОЕР (</w:t>
      </w:r>
      <w:r w:rsidR="00D96E63" w:rsidRPr="00A1696A">
        <w:rPr>
          <w:rFonts w:ascii="Times New Roman" w:hAnsi="Times New Roman" w:cs="Times New Roman"/>
          <w:sz w:val="24"/>
          <w:szCs w:val="24"/>
          <w:u w:val="single"/>
        </w:rPr>
        <w:t>O</w:t>
      </w:r>
      <w:r w:rsidR="00D96E63" w:rsidRPr="00A1696A">
        <w:rPr>
          <w:rFonts w:ascii="Times New Roman" w:hAnsi="Times New Roman" w:cs="Times New Roman"/>
          <w:sz w:val="24"/>
          <w:szCs w:val="24"/>
        </w:rPr>
        <w:t>dd/</w:t>
      </w:r>
      <w:r w:rsidR="00D96E63" w:rsidRPr="00A1696A">
        <w:rPr>
          <w:rFonts w:ascii="Times New Roman" w:hAnsi="Times New Roman" w:cs="Times New Roman"/>
          <w:sz w:val="24"/>
          <w:szCs w:val="24"/>
          <w:u w:val="single"/>
        </w:rPr>
        <w:t>E</w:t>
      </w:r>
      <w:r w:rsidR="00D96E63" w:rsidRPr="00A1696A">
        <w:rPr>
          <w:rFonts w:ascii="Times New Roman" w:hAnsi="Times New Roman" w:cs="Times New Roman"/>
          <w:sz w:val="24"/>
          <w:szCs w:val="24"/>
        </w:rPr>
        <w:t xml:space="preserve">ven </w:t>
      </w:r>
      <w:r w:rsidR="00D96E63" w:rsidRPr="00A1696A">
        <w:rPr>
          <w:rFonts w:ascii="Times New Roman" w:hAnsi="Times New Roman" w:cs="Times New Roman"/>
          <w:sz w:val="24"/>
          <w:szCs w:val="24"/>
          <w:u w:val="single"/>
        </w:rPr>
        <w:t>P</w:t>
      </w:r>
      <w:r w:rsidR="00D96E63" w:rsidRPr="00A1696A">
        <w:rPr>
          <w:rFonts w:ascii="Times New Roman" w:hAnsi="Times New Roman" w:cs="Times New Roman"/>
          <w:sz w:val="24"/>
          <w:szCs w:val="24"/>
        </w:rPr>
        <w:t>redominance) и CPI (</w:t>
      </w:r>
      <w:r w:rsidR="00D96E63" w:rsidRPr="00A1696A">
        <w:rPr>
          <w:rFonts w:ascii="Times New Roman" w:hAnsi="Times New Roman" w:cs="Times New Roman"/>
          <w:sz w:val="24"/>
          <w:szCs w:val="24"/>
          <w:u w:val="single"/>
        </w:rPr>
        <w:t>C</w:t>
      </w:r>
      <w:r w:rsidR="00D96E63" w:rsidRPr="00A1696A">
        <w:rPr>
          <w:rFonts w:ascii="Times New Roman" w:hAnsi="Times New Roman" w:cs="Times New Roman"/>
          <w:sz w:val="24"/>
          <w:szCs w:val="24"/>
        </w:rPr>
        <w:t xml:space="preserve">arbon </w:t>
      </w:r>
      <w:r w:rsidR="00D96E63" w:rsidRPr="00A1696A">
        <w:rPr>
          <w:rFonts w:ascii="Times New Roman" w:hAnsi="Times New Roman" w:cs="Times New Roman"/>
          <w:sz w:val="24"/>
          <w:szCs w:val="24"/>
          <w:u w:val="single"/>
        </w:rPr>
        <w:t>P</w:t>
      </w:r>
      <w:r w:rsidR="00D96E63" w:rsidRPr="00A1696A">
        <w:rPr>
          <w:rFonts w:ascii="Times New Roman" w:hAnsi="Times New Roman" w:cs="Times New Roman"/>
          <w:sz w:val="24"/>
          <w:szCs w:val="24"/>
        </w:rPr>
        <w:t xml:space="preserve">reference </w:t>
      </w:r>
      <w:r w:rsidR="00D96E63" w:rsidRPr="00A1696A">
        <w:rPr>
          <w:rFonts w:ascii="Times New Roman" w:hAnsi="Times New Roman" w:cs="Times New Roman"/>
          <w:sz w:val="24"/>
          <w:szCs w:val="24"/>
          <w:u w:val="single"/>
        </w:rPr>
        <w:t>I</w:t>
      </w:r>
      <w:r w:rsidR="00D96E63" w:rsidRPr="00A1696A">
        <w:rPr>
          <w:rFonts w:ascii="Times New Roman" w:hAnsi="Times New Roman" w:cs="Times New Roman"/>
          <w:sz w:val="24"/>
          <w:szCs w:val="24"/>
        </w:rPr>
        <w:t xml:space="preserve">ndex). Стойностите, изчислени за изследваните образци са относително високи (табл. </w:t>
      </w:r>
      <w:r w:rsidR="00C1563D" w:rsidRPr="00A1696A">
        <w:rPr>
          <w:rFonts w:ascii="Times New Roman" w:hAnsi="Times New Roman" w:cs="Times New Roman"/>
          <w:sz w:val="24"/>
          <w:szCs w:val="24"/>
        </w:rPr>
        <w:t>2</w:t>
      </w:r>
      <w:r w:rsidR="00D96E63" w:rsidRPr="00A1696A">
        <w:rPr>
          <w:rFonts w:ascii="Times New Roman" w:hAnsi="Times New Roman" w:cs="Times New Roman"/>
          <w:sz w:val="24"/>
          <w:szCs w:val="24"/>
        </w:rPr>
        <w:t xml:space="preserve">), като намаляват с дълбочината. До известна степен това разпределение на </w:t>
      </w:r>
      <w:r w:rsidR="00D96E63" w:rsidRPr="00A1696A">
        <w:rPr>
          <w:rFonts w:ascii="Times New Roman" w:hAnsi="Times New Roman" w:cs="Times New Roman"/>
          <w:i/>
          <w:sz w:val="24"/>
          <w:szCs w:val="24"/>
        </w:rPr>
        <w:t>n</w:t>
      </w:r>
      <w:r w:rsidR="00D96E63" w:rsidRPr="00A1696A">
        <w:rPr>
          <w:rFonts w:ascii="Times New Roman" w:hAnsi="Times New Roman" w:cs="Times New Roman"/>
          <w:sz w:val="24"/>
          <w:szCs w:val="24"/>
        </w:rPr>
        <w:t>-алканите в изследваните образци може да определи ОВ като смес от незряло и ранно зряло.</w:t>
      </w:r>
    </w:p>
    <w:p w14:paraId="15694141" w14:textId="20C1DDD5" w:rsidR="00513A69" w:rsidRPr="00A1696A" w:rsidRDefault="00513A69" w:rsidP="006B6EBF">
      <w:pPr>
        <w:pStyle w:val="tytultabeli"/>
        <w:jc w:val="right"/>
        <w:rPr>
          <w:i/>
          <w:color w:val="000000"/>
          <w:sz w:val="24"/>
          <w:szCs w:val="24"/>
          <w:lang w:val="bg-BG"/>
        </w:rPr>
      </w:pPr>
      <w:r w:rsidRPr="00A1696A">
        <w:rPr>
          <w:i/>
          <w:color w:val="000000"/>
          <w:sz w:val="24"/>
          <w:szCs w:val="24"/>
          <w:lang w:val="bg-BG"/>
        </w:rPr>
        <w:t>Табл</w:t>
      </w:r>
      <w:r w:rsidR="00044013" w:rsidRPr="00A1696A">
        <w:rPr>
          <w:i/>
          <w:color w:val="000000"/>
          <w:sz w:val="24"/>
          <w:szCs w:val="24"/>
          <w:lang w:val="bg-BG"/>
        </w:rPr>
        <w:t>.</w:t>
      </w:r>
      <w:r w:rsidRPr="00A1696A">
        <w:rPr>
          <w:i/>
          <w:color w:val="000000"/>
          <w:sz w:val="24"/>
          <w:szCs w:val="24"/>
          <w:lang w:val="bg-BG"/>
        </w:rPr>
        <w:t xml:space="preserve"> </w:t>
      </w:r>
      <w:r w:rsidR="00C1563D" w:rsidRPr="00A1696A">
        <w:rPr>
          <w:i/>
          <w:color w:val="000000"/>
          <w:sz w:val="24"/>
          <w:szCs w:val="24"/>
          <w:lang w:val="bg-BG"/>
        </w:rPr>
        <w:t>2</w:t>
      </w:r>
      <w:r w:rsidRPr="00A1696A">
        <w:rPr>
          <w:i/>
          <w:color w:val="000000"/>
          <w:sz w:val="24"/>
          <w:szCs w:val="24"/>
          <w:lang w:val="bg-BG"/>
        </w:rPr>
        <w:t xml:space="preserve"> </w:t>
      </w:r>
    </w:p>
    <w:p w14:paraId="01F927F2" w14:textId="683F9A34" w:rsidR="00513A69" w:rsidRPr="00A1696A" w:rsidRDefault="00513A69" w:rsidP="006B6EBF">
      <w:pPr>
        <w:pStyle w:val="tytultabeli"/>
        <w:jc w:val="right"/>
        <w:rPr>
          <w:i/>
          <w:color w:val="000000"/>
          <w:sz w:val="24"/>
          <w:szCs w:val="24"/>
          <w:lang w:val="bg-BG"/>
        </w:rPr>
      </w:pPr>
      <w:r w:rsidRPr="00A1696A">
        <w:rPr>
          <w:i/>
          <w:color w:val="000000"/>
          <w:sz w:val="24"/>
          <w:szCs w:val="24"/>
          <w:lang w:val="bg-BG"/>
        </w:rPr>
        <w:t xml:space="preserve">Съдържание на n-алкани в </w:t>
      </w:r>
      <w:r w:rsidRPr="00A1696A">
        <w:rPr>
          <w:i/>
          <w:color w:val="000000"/>
          <w:sz w:val="24"/>
          <w:szCs w:val="24"/>
          <w:lang w:val="bg-BG"/>
        </w:rPr>
        <w:sym w:font="Symbol" w:char="F06D"/>
      </w:r>
      <w:r w:rsidRPr="00A1696A">
        <w:rPr>
          <w:i/>
          <w:color w:val="000000"/>
          <w:sz w:val="24"/>
          <w:szCs w:val="24"/>
          <w:lang w:val="bg-BG"/>
        </w:rPr>
        <w:t>g/g проба, регулярни изопреноиди µg/g C</w:t>
      </w:r>
      <w:r w:rsidRPr="00A1696A">
        <w:rPr>
          <w:i/>
          <w:color w:val="000000"/>
          <w:sz w:val="24"/>
          <w:szCs w:val="24"/>
          <w:vertAlign w:val="subscript"/>
          <w:lang w:val="bg-BG"/>
        </w:rPr>
        <w:t>орг</w:t>
      </w:r>
      <w:r w:rsidRPr="00A1696A">
        <w:rPr>
          <w:i/>
          <w:color w:val="000000"/>
          <w:sz w:val="24"/>
          <w:szCs w:val="24"/>
          <w:lang w:val="bg-BG"/>
        </w:rPr>
        <w:t xml:space="preserve"> и отношенията CPI, </w:t>
      </w:r>
      <w:bookmarkEnd w:id="91"/>
      <w:r w:rsidRPr="00A1696A">
        <w:rPr>
          <w:i/>
          <w:color w:val="000000"/>
          <w:sz w:val="24"/>
          <w:szCs w:val="24"/>
          <w:lang w:val="bg-BG"/>
        </w:rPr>
        <w:t>OEP</w:t>
      </w:r>
    </w:p>
    <w:tbl>
      <w:tblPr>
        <w:tblW w:w="10867" w:type="dxa"/>
        <w:tblInd w:w="-815" w:type="dxa"/>
        <w:tblCellMar>
          <w:left w:w="70" w:type="dxa"/>
          <w:right w:w="70" w:type="dxa"/>
        </w:tblCellMar>
        <w:tblLook w:val="04A0" w:firstRow="1" w:lastRow="0" w:firstColumn="1" w:lastColumn="0" w:noHBand="0" w:noVBand="1"/>
      </w:tblPr>
      <w:tblGrid>
        <w:gridCol w:w="398"/>
        <w:gridCol w:w="730"/>
        <w:gridCol w:w="398"/>
        <w:gridCol w:w="665"/>
        <w:gridCol w:w="630"/>
        <w:gridCol w:w="1098"/>
        <w:gridCol w:w="627"/>
        <w:gridCol w:w="804"/>
        <w:gridCol w:w="672"/>
        <w:gridCol w:w="784"/>
        <w:gridCol w:w="778"/>
        <w:gridCol w:w="784"/>
        <w:gridCol w:w="815"/>
        <w:gridCol w:w="618"/>
        <w:gridCol w:w="515"/>
        <w:gridCol w:w="551"/>
      </w:tblGrid>
      <w:tr w:rsidR="00AA6A25" w:rsidRPr="00A1696A" w14:paraId="4ECC173B" w14:textId="77777777" w:rsidTr="00D63B70">
        <w:trPr>
          <w:trHeight w:val="500"/>
        </w:trPr>
        <w:tc>
          <w:tcPr>
            <w:tcW w:w="398" w:type="dxa"/>
            <w:vMerge w:val="restart"/>
            <w:tcBorders>
              <w:top w:val="single" w:sz="4" w:space="0" w:color="auto"/>
              <w:left w:val="single" w:sz="4" w:space="0" w:color="auto"/>
              <w:bottom w:val="single" w:sz="4" w:space="0" w:color="000000"/>
              <w:right w:val="single" w:sz="4" w:space="0" w:color="auto"/>
            </w:tcBorders>
            <w:shd w:val="clear" w:color="000000" w:fill="FCD5B4"/>
            <w:noWrap/>
            <w:textDirection w:val="btLr"/>
            <w:vAlign w:val="center"/>
            <w:hideMark/>
          </w:tcPr>
          <w:p w14:paraId="397AF48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Лит.ед.</w:t>
            </w:r>
          </w:p>
        </w:tc>
        <w:tc>
          <w:tcPr>
            <w:tcW w:w="730" w:type="dxa"/>
            <w:vMerge w:val="restart"/>
            <w:tcBorders>
              <w:top w:val="single" w:sz="4" w:space="0" w:color="auto"/>
              <w:left w:val="single" w:sz="4" w:space="0" w:color="auto"/>
              <w:bottom w:val="single" w:sz="4" w:space="0" w:color="000000"/>
              <w:right w:val="single" w:sz="4" w:space="0" w:color="auto"/>
            </w:tcBorders>
            <w:shd w:val="clear" w:color="000000" w:fill="FCD5B4"/>
            <w:noWrap/>
            <w:textDirection w:val="btLr"/>
            <w:vAlign w:val="center"/>
            <w:hideMark/>
          </w:tcPr>
          <w:p w14:paraId="3D031A6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Дълб., m</w:t>
            </w:r>
          </w:p>
        </w:tc>
        <w:tc>
          <w:tcPr>
            <w:tcW w:w="1693" w:type="dxa"/>
            <w:gridSpan w:val="3"/>
            <w:vMerge w:val="restart"/>
            <w:tcBorders>
              <w:top w:val="single" w:sz="4" w:space="0" w:color="auto"/>
              <w:left w:val="single" w:sz="4" w:space="0" w:color="auto"/>
              <w:bottom w:val="single" w:sz="4" w:space="0" w:color="000000"/>
              <w:right w:val="single" w:sz="4" w:space="0" w:color="000000"/>
            </w:tcBorders>
            <w:shd w:val="clear" w:color="000000" w:fill="FCD5B4"/>
            <w:noWrap/>
            <w:vAlign w:val="center"/>
            <w:hideMark/>
          </w:tcPr>
          <w:p w14:paraId="3B18F94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Образец</w:t>
            </w:r>
          </w:p>
        </w:tc>
        <w:tc>
          <w:tcPr>
            <w:tcW w:w="1098"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4820B99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xml:space="preserve">Σ </w:t>
            </w:r>
            <w:r w:rsidRPr="00A1696A">
              <w:rPr>
                <w:rFonts w:ascii="Times New Roman" w:eastAsia="Times New Roman" w:hAnsi="Times New Roman" w:cs="Times New Roman"/>
                <w:i/>
                <w:iCs/>
                <w:color w:val="000000"/>
                <w:sz w:val="20"/>
                <w:szCs w:val="20"/>
                <w:lang w:eastAsia="bg-BG"/>
              </w:rPr>
              <w:t>n</w:t>
            </w:r>
            <w:r w:rsidRPr="00A1696A">
              <w:rPr>
                <w:rFonts w:ascii="Times New Roman" w:eastAsia="Times New Roman" w:hAnsi="Times New Roman" w:cs="Times New Roman"/>
                <w:color w:val="000000"/>
                <w:sz w:val="20"/>
                <w:szCs w:val="20"/>
                <w:lang w:eastAsia="bg-BG"/>
              </w:rPr>
              <w:t>-алкани,</w:t>
            </w:r>
            <w:r w:rsidRPr="00A1696A">
              <w:rPr>
                <w:rFonts w:ascii="Times New Roman" w:eastAsia="Times New Roman" w:hAnsi="Times New Roman" w:cs="Times New Roman"/>
                <w:color w:val="000000"/>
                <w:sz w:val="20"/>
                <w:szCs w:val="20"/>
                <w:lang w:eastAsia="bg-BG"/>
              </w:rPr>
              <w:br/>
              <w:t xml:space="preserve"> µg/g</w:t>
            </w:r>
          </w:p>
        </w:tc>
        <w:tc>
          <w:tcPr>
            <w:tcW w:w="2103" w:type="dxa"/>
            <w:gridSpan w:val="3"/>
            <w:tcBorders>
              <w:top w:val="single" w:sz="4" w:space="0" w:color="auto"/>
              <w:left w:val="nil"/>
              <w:bottom w:val="single" w:sz="4" w:space="0" w:color="auto"/>
              <w:right w:val="single" w:sz="4" w:space="0" w:color="000000"/>
            </w:tcBorders>
            <w:shd w:val="clear" w:color="000000" w:fill="FCD5B4"/>
            <w:vAlign w:val="center"/>
            <w:hideMark/>
          </w:tcPr>
          <w:p w14:paraId="2A7BCB2A" w14:textId="59E95038"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xml:space="preserve">Разпределение на </w:t>
            </w:r>
            <w:r w:rsidRPr="00A1696A">
              <w:rPr>
                <w:rFonts w:ascii="Times New Roman" w:eastAsia="Times New Roman" w:hAnsi="Times New Roman" w:cs="Times New Roman"/>
                <w:i/>
                <w:iCs/>
                <w:color w:val="000000"/>
                <w:sz w:val="20"/>
                <w:szCs w:val="20"/>
                <w:lang w:eastAsia="bg-BG"/>
              </w:rPr>
              <w:t>n</w:t>
            </w:r>
            <w:r w:rsidRPr="00A1696A">
              <w:rPr>
                <w:rFonts w:ascii="Times New Roman" w:eastAsia="Times New Roman" w:hAnsi="Times New Roman" w:cs="Times New Roman"/>
                <w:color w:val="000000"/>
                <w:sz w:val="20"/>
                <w:szCs w:val="20"/>
                <w:lang w:eastAsia="bg-BG"/>
              </w:rPr>
              <w:t xml:space="preserve">-алкани, </w:t>
            </w:r>
            <w:r w:rsidR="00AA7D97" w:rsidRPr="00A1696A">
              <w:rPr>
                <w:rFonts w:ascii="Times New Roman" w:eastAsia="Times New Roman" w:hAnsi="Times New Roman" w:cs="Times New Roman"/>
                <w:color w:val="000000"/>
                <w:sz w:val="20"/>
                <w:szCs w:val="20"/>
                <w:lang w:eastAsia="bg-BG"/>
              </w:rPr>
              <w:t>%</w:t>
            </w:r>
          </w:p>
        </w:tc>
        <w:tc>
          <w:tcPr>
            <w:tcW w:w="784"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6A2DDBC7" w14:textId="651FBACF"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Pr,</w:t>
            </w:r>
            <w:r w:rsidRPr="00A1696A">
              <w:rPr>
                <w:rFonts w:ascii="Times New Roman" w:eastAsia="Times New Roman" w:hAnsi="Times New Roman" w:cs="Times New Roman"/>
                <w:color w:val="000000"/>
                <w:sz w:val="20"/>
                <w:szCs w:val="20"/>
                <w:lang w:eastAsia="bg-BG"/>
              </w:rPr>
              <w:br/>
              <w:t>µg/g C</w:t>
            </w:r>
            <w:r w:rsidRPr="00A1696A">
              <w:rPr>
                <w:rFonts w:ascii="Times New Roman" w:eastAsia="Times New Roman" w:hAnsi="Times New Roman" w:cs="Times New Roman"/>
                <w:color w:val="000000"/>
                <w:sz w:val="20"/>
                <w:szCs w:val="20"/>
                <w:vertAlign w:val="subscript"/>
                <w:lang w:eastAsia="bg-BG"/>
              </w:rPr>
              <w:t>орг</w:t>
            </w:r>
          </w:p>
        </w:tc>
        <w:tc>
          <w:tcPr>
            <w:tcW w:w="778"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7C55531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Pr/</w:t>
            </w:r>
            <w:r w:rsidRPr="00A1696A">
              <w:rPr>
                <w:rFonts w:ascii="Times New Roman" w:eastAsia="Times New Roman" w:hAnsi="Times New Roman" w:cs="Times New Roman"/>
                <w:i/>
                <w:iCs/>
                <w:color w:val="000000"/>
                <w:sz w:val="20"/>
                <w:szCs w:val="20"/>
                <w:lang w:eastAsia="bg-BG"/>
              </w:rPr>
              <w:t>n</w:t>
            </w:r>
            <w:r w:rsidRPr="00A1696A">
              <w:rPr>
                <w:rFonts w:ascii="Times New Roman" w:eastAsia="Times New Roman" w:hAnsi="Times New Roman" w:cs="Times New Roman"/>
                <w:color w:val="000000"/>
                <w:sz w:val="20"/>
                <w:szCs w:val="20"/>
                <w:lang w:eastAsia="bg-BG"/>
              </w:rPr>
              <w:t>C</w:t>
            </w:r>
            <w:r w:rsidRPr="00A1696A">
              <w:rPr>
                <w:rFonts w:ascii="Times New Roman" w:eastAsia="Times New Roman" w:hAnsi="Times New Roman" w:cs="Times New Roman"/>
                <w:color w:val="000000"/>
                <w:sz w:val="20"/>
                <w:szCs w:val="20"/>
                <w:vertAlign w:val="subscript"/>
                <w:lang w:eastAsia="bg-BG"/>
              </w:rPr>
              <w:t>17</w:t>
            </w:r>
          </w:p>
        </w:tc>
        <w:tc>
          <w:tcPr>
            <w:tcW w:w="784"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70622FA3" w14:textId="0971BC11" w:rsidR="00AA6A25" w:rsidRPr="00A1696A" w:rsidRDefault="00AA6A25" w:rsidP="006B6EBF">
            <w:pPr>
              <w:spacing w:after="0" w:line="240" w:lineRule="auto"/>
              <w:jc w:val="center"/>
              <w:rPr>
                <w:rFonts w:ascii="Times New Roman" w:eastAsia="Times New Roman" w:hAnsi="Times New Roman" w:cs="Times New Roman"/>
                <w:color w:val="000000"/>
                <w:sz w:val="20"/>
                <w:szCs w:val="20"/>
                <w:vertAlign w:val="subscript"/>
                <w:lang w:eastAsia="bg-BG"/>
              </w:rPr>
            </w:pPr>
            <w:r w:rsidRPr="00A1696A">
              <w:rPr>
                <w:rFonts w:ascii="Times New Roman" w:eastAsia="Times New Roman" w:hAnsi="Times New Roman" w:cs="Times New Roman"/>
                <w:color w:val="000000"/>
                <w:sz w:val="20"/>
                <w:szCs w:val="20"/>
                <w:lang w:eastAsia="bg-BG"/>
              </w:rPr>
              <w:t>Ph,</w:t>
            </w:r>
            <w:r w:rsidRPr="00A1696A">
              <w:rPr>
                <w:rFonts w:ascii="Times New Roman" w:eastAsia="Times New Roman" w:hAnsi="Times New Roman" w:cs="Times New Roman"/>
                <w:color w:val="000000"/>
                <w:sz w:val="20"/>
                <w:szCs w:val="20"/>
                <w:lang w:eastAsia="bg-BG"/>
              </w:rPr>
              <w:br/>
              <w:t>µg/g C</w:t>
            </w:r>
            <w:r w:rsidRPr="00A1696A">
              <w:rPr>
                <w:rFonts w:ascii="Times New Roman" w:eastAsia="Times New Roman" w:hAnsi="Times New Roman" w:cs="Times New Roman"/>
                <w:color w:val="000000"/>
                <w:sz w:val="20"/>
                <w:szCs w:val="20"/>
                <w:vertAlign w:val="subscript"/>
                <w:lang w:eastAsia="bg-BG"/>
              </w:rPr>
              <w:t>орг</w:t>
            </w:r>
          </w:p>
        </w:tc>
        <w:tc>
          <w:tcPr>
            <w:tcW w:w="815"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01CA71B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Ph/</w:t>
            </w:r>
            <w:r w:rsidRPr="00A1696A">
              <w:rPr>
                <w:rFonts w:ascii="Times New Roman" w:eastAsia="Times New Roman" w:hAnsi="Times New Roman" w:cs="Times New Roman"/>
                <w:i/>
                <w:iCs/>
                <w:color w:val="000000"/>
                <w:sz w:val="20"/>
                <w:szCs w:val="20"/>
                <w:lang w:eastAsia="bg-BG"/>
              </w:rPr>
              <w:t>n</w:t>
            </w:r>
            <w:r w:rsidRPr="00A1696A">
              <w:rPr>
                <w:rFonts w:ascii="Times New Roman" w:eastAsia="Times New Roman" w:hAnsi="Times New Roman" w:cs="Times New Roman"/>
                <w:color w:val="000000"/>
                <w:sz w:val="20"/>
                <w:szCs w:val="20"/>
                <w:lang w:eastAsia="bg-BG"/>
              </w:rPr>
              <w:t>C</w:t>
            </w:r>
            <w:r w:rsidRPr="00A1696A">
              <w:rPr>
                <w:rFonts w:ascii="Times New Roman" w:eastAsia="Times New Roman" w:hAnsi="Times New Roman" w:cs="Times New Roman"/>
                <w:color w:val="000000"/>
                <w:sz w:val="20"/>
                <w:szCs w:val="20"/>
                <w:vertAlign w:val="subscript"/>
                <w:lang w:eastAsia="bg-BG"/>
              </w:rPr>
              <w:t>18</w:t>
            </w:r>
          </w:p>
        </w:tc>
        <w:tc>
          <w:tcPr>
            <w:tcW w:w="618"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4E79F3F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Pr/Ph</w:t>
            </w:r>
          </w:p>
        </w:tc>
        <w:tc>
          <w:tcPr>
            <w:tcW w:w="515" w:type="dxa"/>
            <w:vMerge w:val="restart"/>
            <w:tcBorders>
              <w:top w:val="single" w:sz="4" w:space="0" w:color="auto"/>
              <w:left w:val="single" w:sz="4" w:space="0" w:color="auto"/>
              <w:bottom w:val="single" w:sz="4" w:space="0" w:color="000000"/>
              <w:right w:val="single" w:sz="4" w:space="0" w:color="auto"/>
            </w:tcBorders>
            <w:shd w:val="clear" w:color="000000" w:fill="FCD5B4"/>
            <w:noWrap/>
            <w:vAlign w:val="center"/>
            <w:hideMark/>
          </w:tcPr>
          <w:p w14:paraId="37912D3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CPI</w:t>
            </w:r>
          </w:p>
        </w:tc>
        <w:tc>
          <w:tcPr>
            <w:tcW w:w="545" w:type="dxa"/>
            <w:vMerge w:val="restart"/>
            <w:tcBorders>
              <w:top w:val="single" w:sz="4" w:space="0" w:color="auto"/>
              <w:left w:val="single" w:sz="4" w:space="0" w:color="auto"/>
              <w:bottom w:val="single" w:sz="4" w:space="0" w:color="000000"/>
              <w:right w:val="single" w:sz="4" w:space="0" w:color="auto"/>
            </w:tcBorders>
            <w:shd w:val="clear" w:color="000000" w:fill="FCD5B4"/>
            <w:noWrap/>
            <w:vAlign w:val="center"/>
            <w:hideMark/>
          </w:tcPr>
          <w:p w14:paraId="577F6ED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OEP</w:t>
            </w:r>
          </w:p>
        </w:tc>
      </w:tr>
      <w:tr w:rsidR="00AA6A25" w:rsidRPr="00A1696A" w14:paraId="0F451A47" w14:textId="77777777" w:rsidTr="00D63B70">
        <w:trPr>
          <w:trHeight w:val="500"/>
        </w:trPr>
        <w:tc>
          <w:tcPr>
            <w:tcW w:w="398" w:type="dxa"/>
            <w:vMerge/>
            <w:tcBorders>
              <w:top w:val="single" w:sz="4" w:space="0" w:color="auto"/>
              <w:left w:val="single" w:sz="4" w:space="0" w:color="auto"/>
              <w:bottom w:val="single" w:sz="4" w:space="0" w:color="000000"/>
              <w:right w:val="single" w:sz="4" w:space="0" w:color="auto"/>
            </w:tcBorders>
            <w:vAlign w:val="center"/>
            <w:hideMark/>
          </w:tcPr>
          <w:p w14:paraId="06A40635"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30" w:type="dxa"/>
            <w:vMerge/>
            <w:tcBorders>
              <w:top w:val="single" w:sz="4" w:space="0" w:color="auto"/>
              <w:left w:val="single" w:sz="4" w:space="0" w:color="auto"/>
              <w:bottom w:val="single" w:sz="4" w:space="0" w:color="000000"/>
              <w:right w:val="single" w:sz="4" w:space="0" w:color="auto"/>
            </w:tcBorders>
            <w:vAlign w:val="center"/>
            <w:hideMark/>
          </w:tcPr>
          <w:p w14:paraId="5D8ED593"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1693" w:type="dxa"/>
            <w:gridSpan w:val="3"/>
            <w:vMerge/>
            <w:tcBorders>
              <w:top w:val="single" w:sz="4" w:space="0" w:color="auto"/>
              <w:left w:val="single" w:sz="4" w:space="0" w:color="auto"/>
              <w:bottom w:val="single" w:sz="4" w:space="0" w:color="000000"/>
              <w:right w:val="single" w:sz="4" w:space="0" w:color="000000"/>
            </w:tcBorders>
            <w:vAlign w:val="center"/>
            <w:hideMark/>
          </w:tcPr>
          <w:p w14:paraId="4BA45CB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1098" w:type="dxa"/>
            <w:vMerge/>
            <w:tcBorders>
              <w:top w:val="single" w:sz="4" w:space="0" w:color="auto"/>
              <w:left w:val="single" w:sz="4" w:space="0" w:color="auto"/>
              <w:bottom w:val="single" w:sz="4" w:space="0" w:color="000000"/>
              <w:right w:val="single" w:sz="4" w:space="0" w:color="auto"/>
            </w:tcBorders>
            <w:vAlign w:val="center"/>
            <w:hideMark/>
          </w:tcPr>
          <w:p w14:paraId="7B84C88A"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627" w:type="dxa"/>
            <w:tcBorders>
              <w:top w:val="nil"/>
              <w:left w:val="nil"/>
              <w:bottom w:val="nil"/>
              <w:right w:val="single" w:sz="4" w:space="0" w:color="auto"/>
            </w:tcBorders>
            <w:shd w:val="clear" w:color="000000" w:fill="FCD5B4"/>
            <w:vAlign w:val="center"/>
            <w:hideMark/>
          </w:tcPr>
          <w:p w14:paraId="300E58F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къси</w:t>
            </w:r>
          </w:p>
        </w:tc>
        <w:tc>
          <w:tcPr>
            <w:tcW w:w="804" w:type="dxa"/>
            <w:tcBorders>
              <w:top w:val="nil"/>
              <w:left w:val="nil"/>
              <w:bottom w:val="nil"/>
              <w:right w:val="single" w:sz="4" w:space="0" w:color="auto"/>
            </w:tcBorders>
            <w:shd w:val="clear" w:color="000000" w:fill="FCD5B4"/>
            <w:vAlign w:val="center"/>
            <w:hideMark/>
          </w:tcPr>
          <w:p w14:paraId="31778E8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средни</w:t>
            </w:r>
          </w:p>
        </w:tc>
        <w:tc>
          <w:tcPr>
            <w:tcW w:w="671" w:type="dxa"/>
            <w:tcBorders>
              <w:top w:val="nil"/>
              <w:left w:val="nil"/>
              <w:bottom w:val="nil"/>
              <w:right w:val="single" w:sz="4" w:space="0" w:color="auto"/>
            </w:tcBorders>
            <w:shd w:val="clear" w:color="000000" w:fill="FCD5B4"/>
            <w:vAlign w:val="center"/>
            <w:hideMark/>
          </w:tcPr>
          <w:p w14:paraId="52A40E5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дълги</w:t>
            </w:r>
          </w:p>
        </w:tc>
        <w:tc>
          <w:tcPr>
            <w:tcW w:w="784" w:type="dxa"/>
            <w:vMerge/>
            <w:tcBorders>
              <w:top w:val="single" w:sz="4" w:space="0" w:color="auto"/>
              <w:left w:val="single" w:sz="4" w:space="0" w:color="auto"/>
              <w:bottom w:val="single" w:sz="4" w:space="0" w:color="000000"/>
              <w:right w:val="single" w:sz="4" w:space="0" w:color="auto"/>
            </w:tcBorders>
            <w:vAlign w:val="center"/>
            <w:hideMark/>
          </w:tcPr>
          <w:p w14:paraId="7AC5E628"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78" w:type="dxa"/>
            <w:vMerge/>
            <w:tcBorders>
              <w:top w:val="single" w:sz="4" w:space="0" w:color="auto"/>
              <w:left w:val="single" w:sz="4" w:space="0" w:color="auto"/>
              <w:bottom w:val="single" w:sz="4" w:space="0" w:color="000000"/>
              <w:right w:val="single" w:sz="4" w:space="0" w:color="auto"/>
            </w:tcBorders>
            <w:vAlign w:val="center"/>
            <w:hideMark/>
          </w:tcPr>
          <w:p w14:paraId="151B773B"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84" w:type="dxa"/>
            <w:vMerge/>
            <w:tcBorders>
              <w:top w:val="single" w:sz="4" w:space="0" w:color="auto"/>
              <w:left w:val="single" w:sz="4" w:space="0" w:color="auto"/>
              <w:bottom w:val="single" w:sz="4" w:space="0" w:color="000000"/>
              <w:right w:val="single" w:sz="4" w:space="0" w:color="auto"/>
            </w:tcBorders>
            <w:vAlign w:val="center"/>
            <w:hideMark/>
          </w:tcPr>
          <w:p w14:paraId="59B9DF16"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815" w:type="dxa"/>
            <w:vMerge/>
            <w:tcBorders>
              <w:top w:val="single" w:sz="4" w:space="0" w:color="auto"/>
              <w:left w:val="single" w:sz="4" w:space="0" w:color="auto"/>
              <w:bottom w:val="single" w:sz="4" w:space="0" w:color="000000"/>
              <w:right w:val="single" w:sz="4" w:space="0" w:color="auto"/>
            </w:tcBorders>
            <w:vAlign w:val="center"/>
            <w:hideMark/>
          </w:tcPr>
          <w:p w14:paraId="4AB021D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618" w:type="dxa"/>
            <w:vMerge/>
            <w:tcBorders>
              <w:top w:val="single" w:sz="4" w:space="0" w:color="auto"/>
              <w:left w:val="single" w:sz="4" w:space="0" w:color="auto"/>
              <w:bottom w:val="single" w:sz="4" w:space="0" w:color="000000"/>
              <w:right w:val="single" w:sz="4" w:space="0" w:color="auto"/>
            </w:tcBorders>
            <w:vAlign w:val="center"/>
            <w:hideMark/>
          </w:tcPr>
          <w:p w14:paraId="620FF114"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515" w:type="dxa"/>
            <w:vMerge/>
            <w:tcBorders>
              <w:top w:val="single" w:sz="4" w:space="0" w:color="auto"/>
              <w:left w:val="single" w:sz="4" w:space="0" w:color="auto"/>
              <w:bottom w:val="single" w:sz="4" w:space="0" w:color="000000"/>
              <w:right w:val="single" w:sz="4" w:space="0" w:color="auto"/>
            </w:tcBorders>
            <w:vAlign w:val="center"/>
            <w:hideMark/>
          </w:tcPr>
          <w:p w14:paraId="18A06548"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545" w:type="dxa"/>
            <w:vMerge/>
            <w:tcBorders>
              <w:top w:val="single" w:sz="4" w:space="0" w:color="auto"/>
              <w:left w:val="single" w:sz="4" w:space="0" w:color="auto"/>
              <w:bottom w:val="single" w:sz="4" w:space="0" w:color="000000"/>
              <w:right w:val="single" w:sz="4" w:space="0" w:color="auto"/>
            </w:tcBorders>
            <w:vAlign w:val="center"/>
            <w:hideMark/>
          </w:tcPr>
          <w:p w14:paraId="5C5A4CE7"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r>
      <w:tr w:rsidR="00AA6A25" w:rsidRPr="00A1696A" w14:paraId="545346AE" w14:textId="77777777" w:rsidTr="00D63B70">
        <w:trPr>
          <w:trHeight w:val="250"/>
        </w:trPr>
        <w:tc>
          <w:tcPr>
            <w:tcW w:w="10867" w:type="dxa"/>
            <w:gridSpan w:val="16"/>
            <w:tcBorders>
              <w:top w:val="single" w:sz="4" w:space="0" w:color="auto"/>
              <w:left w:val="single" w:sz="4" w:space="0" w:color="auto"/>
              <w:bottom w:val="single" w:sz="4" w:space="0" w:color="auto"/>
              <w:right w:val="single" w:sz="4" w:space="0" w:color="000000"/>
            </w:tcBorders>
            <w:shd w:val="clear" w:color="000000" w:fill="FCD5B4"/>
            <w:noWrap/>
            <w:vAlign w:val="bottom"/>
            <w:hideMark/>
          </w:tcPr>
          <w:p w14:paraId="690DDFE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"свободен" битумоид</w:t>
            </w:r>
          </w:p>
        </w:tc>
      </w:tr>
      <w:tr w:rsidR="001753E5" w:rsidRPr="00A1696A" w14:paraId="3011FB4E" w14:textId="77777777" w:rsidTr="00D63B70">
        <w:trPr>
          <w:trHeight w:val="298"/>
        </w:trPr>
        <w:tc>
          <w:tcPr>
            <w:tcW w:w="398" w:type="dxa"/>
            <w:vMerge w:val="restart"/>
            <w:tcBorders>
              <w:top w:val="nil"/>
              <w:left w:val="single" w:sz="4" w:space="0" w:color="auto"/>
              <w:bottom w:val="single" w:sz="4" w:space="0" w:color="000000"/>
              <w:right w:val="single" w:sz="4" w:space="0" w:color="auto"/>
            </w:tcBorders>
            <w:shd w:val="clear" w:color="000000" w:fill="FCD5B4"/>
            <w:noWrap/>
            <w:textDirection w:val="btLr"/>
            <w:vAlign w:val="center"/>
            <w:hideMark/>
          </w:tcPr>
          <w:p w14:paraId="19CB700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730" w:type="dxa"/>
            <w:tcBorders>
              <w:top w:val="nil"/>
              <w:left w:val="nil"/>
              <w:bottom w:val="single" w:sz="4" w:space="0" w:color="auto"/>
              <w:right w:val="single" w:sz="4" w:space="0" w:color="auto"/>
            </w:tcBorders>
            <w:shd w:val="clear" w:color="000000" w:fill="FCD5B4"/>
            <w:noWrap/>
            <w:vAlign w:val="center"/>
            <w:hideMark/>
          </w:tcPr>
          <w:p w14:paraId="2C95AF2F"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266,5</w:t>
            </w:r>
          </w:p>
        </w:tc>
        <w:tc>
          <w:tcPr>
            <w:tcW w:w="398" w:type="dxa"/>
            <w:vMerge w:val="restart"/>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056E7478" w14:textId="77777777" w:rsidR="00AA6A25" w:rsidRPr="00A1696A" w:rsidRDefault="00AA6A25" w:rsidP="006B6EBF">
            <w:pPr>
              <w:spacing w:after="0" w:line="240" w:lineRule="auto"/>
              <w:jc w:val="center"/>
              <w:rPr>
                <w:rFonts w:ascii="Times New Roman" w:eastAsia="Times New Roman" w:hAnsi="Times New Roman" w:cs="Times New Roman"/>
                <w:bCs/>
                <w:color w:val="000000"/>
                <w:sz w:val="20"/>
                <w:szCs w:val="20"/>
                <w:lang w:eastAsia="bg-BG"/>
              </w:rPr>
            </w:pPr>
            <w:r w:rsidRPr="00A1696A">
              <w:rPr>
                <w:rFonts w:ascii="Times New Roman" w:eastAsia="Times New Roman" w:hAnsi="Times New Roman" w:cs="Times New Roman"/>
                <w:bCs/>
                <w:color w:val="000000"/>
                <w:sz w:val="20"/>
                <w:szCs w:val="20"/>
                <w:lang w:eastAsia="bg-BG"/>
              </w:rPr>
              <w:t>Сондажна ядка</w:t>
            </w:r>
          </w:p>
        </w:tc>
        <w:tc>
          <w:tcPr>
            <w:tcW w:w="665" w:type="dxa"/>
            <w:tcBorders>
              <w:top w:val="nil"/>
              <w:left w:val="nil"/>
              <w:bottom w:val="single" w:sz="4" w:space="0" w:color="auto"/>
              <w:right w:val="single" w:sz="4" w:space="0" w:color="auto"/>
            </w:tcBorders>
            <w:shd w:val="clear" w:color="000000" w:fill="FCD5B4"/>
            <w:noWrap/>
            <w:vAlign w:val="center"/>
            <w:hideMark/>
          </w:tcPr>
          <w:p w14:paraId="7976E3A0"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w:t>
            </w:r>
          </w:p>
        </w:tc>
        <w:tc>
          <w:tcPr>
            <w:tcW w:w="629" w:type="dxa"/>
            <w:tcBorders>
              <w:top w:val="nil"/>
              <w:left w:val="nil"/>
              <w:bottom w:val="single" w:sz="4" w:space="0" w:color="auto"/>
              <w:right w:val="single" w:sz="4" w:space="0" w:color="auto"/>
            </w:tcBorders>
            <w:shd w:val="clear" w:color="000000" w:fill="FCD5B4"/>
            <w:noWrap/>
            <w:vAlign w:val="center"/>
            <w:hideMark/>
          </w:tcPr>
          <w:p w14:paraId="61076EA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w:t>
            </w:r>
          </w:p>
        </w:tc>
        <w:tc>
          <w:tcPr>
            <w:tcW w:w="1098" w:type="dxa"/>
            <w:tcBorders>
              <w:top w:val="nil"/>
              <w:left w:val="nil"/>
              <w:bottom w:val="single" w:sz="4" w:space="0" w:color="auto"/>
              <w:right w:val="single" w:sz="4" w:space="0" w:color="auto"/>
            </w:tcBorders>
            <w:shd w:val="clear" w:color="auto" w:fill="auto"/>
            <w:noWrap/>
            <w:vAlign w:val="bottom"/>
            <w:hideMark/>
          </w:tcPr>
          <w:p w14:paraId="752BF9E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7,50</w:t>
            </w:r>
          </w:p>
        </w:tc>
        <w:tc>
          <w:tcPr>
            <w:tcW w:w="627" w:type="dxa"/>
            <w:tcBorders>
              <w:top w:val="nil"/>
              <w:left w:val="nil"/>
              <w:bottom w:val="single" w:sz="4" w:space="0" w:color="auto"/>
              <w:right w:val="single" w:sz="4" w:space="0" w:color="auto"/>
            </w:tcBorders>
            <w:shd w:val="clear" w:color="auto" w:fill="auto"/>
            <w:noWrap/>
            <w:vAlign w:val="bottom"/>
            <w:hideMark/>
          </w:tcPr>
          <w:p w14:paraId="331F87A3" w14:textId="56128FF1"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9,7</w:t>
            </w:r>
          </w:p>
        </w:tc>
        <w:tc>
          <w:tcPr>
            <w:tcW w:w="804" w:type="dxa"/>
            <w:tcBorders>
              <w:top w:val="nil"/>
              <w:left w:val="nil"/>
              <w:bottom w:val="single" w:sz="4" w:space="0" w:color="auto"/>
              <w:right w:val="single" w:sz="4" w:space="0" w:color="auto"/>
            </w:tcBorders>
            <w:shd w:val="clear" w:color="auto" w:fill="auto"/>
            <w:noWrap/>
            <w:vAlign w:val="bottom"/>
            <w:hideMark/>
          </w:tcPr>
          <w:p w14:paraId="5BA334FB" w14:textId="68B9793F"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28,5</w:t>
            </w:r>
          </w:p>
        </w:tc>
        <w:tc>
          <w:tcPr>
            <w:tcW w:w="671" w:type="dxa"/>
            <w:tcBorders>
              <w:top w:val="nil"/>
              <w:left w:val="nil"/>
              <w:bottom w:val="single" w:sz="4" w:space="0" w:color="auto"/>
              <w:right w:val="single" w:sz="4" w:space="0" w:color="auto"/>
            </w:tcBorders>
            <w:shd w:val="clear" w:color="auto" w:fill="auto"/>
            <w:noWrap/>
            <w:vAlign w:val="bottom"/>
            <w:hideMark/>
          </w:tcPr>
          <w:p w14:paraId="1F3466F0" w14:textId="27E3F612"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61,7</w:t>
            </w:r>
          </w:p>
        </w:tc>
        <w:tc>
          <w:tcPr>
            <w:tcW w:w="784" w:type="dxa"/>
            <w:tcBorders>
              <w:top w:val="nil"/>
              <w:left w:val="nil"/>
              <w:bottom w:val="single" w:sz="4" w:space="0" w:color="auto"/>
              <w:right w:val="single" w:sz="4" w:space="0" w:color="auto"/>
            </w:tcBorders>
            <w:shd w:val="clear" w:color="auto" w:fill="auto"/>
            <w:noWrap/>
            <w:vAlign w:val="bottom"/>
            <w:hideMark/>
          </w:tcPr>
          <w:p w14:paraId="385DD24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11,55</w:t>
            </w:r>
          </w:p>
        </w:tc>
        <w:tc>
          <w:tcPr>
            <w:tcW w:w="778" w:type="dxa"/>
            <w:tcBorders>
              <w:top w:val="nil"/>
              <w:left w:val="nil"/>
              <w:bottom w:val="single" w:sz="4" w:space="0" w:color="auto"/>
              <w:right w:val="single" w:sz="4" w:space="0" w:color="auto"/>
            </w:tcBorders>
            <w:shd w:val="clear" w:color="auto" w:fill="auto"/>
            <w:noWrap/>
            <w:vAlign w:val="bottom"/>
            <w:hideMark/>
          </w:tcPr>
          <w:p w14:paraId="0259373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2,83</w:t>
            </w:r>
          </w:p>
        </w:tc>
        <w:tc>
          <w:tcPr>
            <w:tcW w:w="784" w:type="dxa"/>
            <w:tcBorders>
              <w:top w:val="nil"/>
              <w:left w:val="nil"/>
              <w:bottom w:val="single" w:sz="4" w:space="0" w:color="auto"/>
              <w:right w:val="single" w:sz="4" w:space="0" w:color="auto"/>
            </w:tcBorders>
            <w:shd w:val="clear" w:color="auto" w:fill="auto"/>
            <w:noWrap/>
            <w:vAlign w:val="bottom"/>
            <w:hideMark/>
          </w:tcPr>
          <w:p w14:paraId="33A782F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12,47</w:t>
            </w:r>
          </w:p>
        </w:tc>
        <w:tc>
          <w:tcPr>
            <w:tcW w:w="815" w:type="dxa"/>
            <w:tcBorders>
              <w:top w:val="nil"/>
              <w:left w:val="nil"/>
              <w:bottom w:val="single" w:sz="4" w:space="0" w:color="auto"/>
              <w:right w:val="single" w:sz="4" w:space="0" w:color="auto"/>
            </w:tcBorders>
            <w:shd w:val="clear" w:color="auto" w:fill="auto"/>
            <w:noWrap/>
            <w:vAlign w:val="bottom"/>
            <w:hideMark/>
          </w:tcPr>
          <w:p w14:paraId="3C57CC4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3,01</w:t>
            </w:r>
          </w:p>
        </w:tc>
        <w:tc>
          <w:tcPr>
            <w:tcW w:w="618" w:type="dxa"/>
            <w:tcBorders>
              <w:top w:val="nil"/>
              <w:left w:val="nil"/>
              <w:bottom w:val="single" w:sz="4" w:space="0" w:color="auto"/>
              <w:right w:val="single" w:sz="4" w:space="0" w:color="auto"/>
            </w:tcBorders>
            <w:shd w:val="clear" w:color="auto" w:fill="auto"/>
            <w:noWrap/>
            <w:vAlign w:val="bottom"/>
            <w:hideMark/>
          </w:tcPr>
          <w:p w14:paraId="0F4446B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0,93</w:t>
            </w:r>
          </w:p>
        </w:tc>
        <w:tc>
          <w:tcPr>
            <w:tcW w:w="515" w:type="dxa"/>
            <w:tcBorders>
              <w:top w:val="nil"/>
              <w:left w:val="nil"/>
              <w:bottom w:val="single" w:sz="4" w:space="0" w:color="auto"/>
              <w:right w:val="single" w:sz="4" w:space="0" w:color="auto"/>
            </w:tcBorders>
            <w:shd w:val="clear" w:color="auto" w:fill="auto"/>
            <w:noWrap/>
            <w:vAlign w:val="bottom"/>
            <w:hideMark/>
          </w:tcPr>
          <w:p w14:paraId="49589CB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4,59</w:t>
            </w:r>
          </w:p>
        </w:tc>
        <w:tc>
          <w:tcPr>
            <w:tcW w:w="545" w:type="dxa"/>
            <w:tcBorders>
              <w:top w:val="nil"/>
              <w:left w:val="nil"/>
              <w:bottom w:val="single" w:sz="4" w:space="0" w:color="auto"/>
              <w:right w:val="single" w:sz="4" w:space="0" w:color="auto"/>
            </w:tcBorders>
            <w:shd w:val="clear" w:color="auto" w:fill="auto"/>
            <w:noWrap/>
            <w:vAlign w:val="bottom"/>
            <w:hideMark/>
          </w:tcPr>
          <w:p w14:paraId="677FE21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3,40</w:t>
            </w:r>
          </w:p>
        </w:tc>
      </w:tr>
      <w:tr w:rsidR="001753E5" w:rsidRPr="00A1696A" w14:paraId="133F98ED" w14:textId="77777777" w:rsidTr="00D63B70">
        <w:trPr>
          <w:trHeight w:val="298"/>
        </w:trPr>
        <w:tc>
          <w:tcPr>
            <w:tcW w:w="398" w:type="dxa"/>
            <w:vMerge/>
            <w:tcBorders>
              <w:top w:val="nil"/>
              <w:left w:val="single" w:sz="4" w:space="0" w:color="auto"/>
              <w:bottom w:val="single" w:sz="4" w:space="0" w:color="000000"/>
              <w:right w:val="single" w:sz="4" w:space="0" w:color="auto"/>
            </w:tcBorders>
            <w:vAlign w:val="center"/>
            <w:hideMark/>
          </w:tcPr>
          <w:p w14:paraId="3CE29C7A"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30" w:type="dxa"/>
            <w:tcBorders>
              <w:top w:val="nil"/>
              <w:left w:val="nil"/>
              <w:bottom w:val="single" w:sz="4" w:space="0" w:color="auto"/>
              <w:right w:val="single" w:sz="4" w:space="0" w:color="auto"/>
            </w:tcBorders>
            <w:shd w:val="clear" w:color="000000" w:fill="FCD5B4"/>
            <w:noWrap/>
            <w:vAlign w:val="center"/>
            <w:hideMark/>
          </w:tcPr>
          <w:p w14:paraId="5C99D68D"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443,3</w:t>
            </w:r>
          </w:p>
        </w:tc>
        <w:tc>
          <w:tcPr>
            <w:tcW w:w="398" w:type="dxa"/>
            <w:vMerge/>
            <w:tcBorders>
              <w:top w:val="nil"/>
              <w:left w:val="single" w:sz="4" w:space="0" w:color="auto"/>
              <w:bottom w:val="single" w:sz="4" w:space="0" w:color="auto"/>
              <w:right w:val="single" w:sz="4" w:space="0" w:color="auto"/>
            </w:tcBorders>
            <w:vAlign w:val="center"/>
            <w:hideMark/>
          </w:tcPr>
          <w:p w14:paraId="14C8BE16"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743103D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G3</w:t>
            </w:r>
          </w:p>
        </w:tc>
        <w:tc>
          <w:tcPr>
            <w:tcW w:w="629" w:type="dxa"/>
            <w:tcBorders>
              <w:top w:val="nil"/>
              <w:left w:val="nil"/>
              <w:bottom w:val="single" w:sz="4" w:space="0" w:color="auto"/>
              <w:right w:val="single" w:sz="4" w:space="0" w:color="auto"/>
            </w:tcBorders>
            <w:shd w:val="clear" w:color="000000" w:fill="FCD5B4"/>
            <w:noWrap/>
            <w:vAlign w:val="center"/>
            <w:hideMark/>
          </w:tcPr>
          <w:p w14:paraId="176C611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RE4</w:t>
            </w:r>
          </w:p>
        </w:tc>
        <w:tc>
          <w:tcPr>
            <w:tcW w:w="1098" w:type="dxa"/>
            <w:tcBorders>
              <w:top w:val="nil"/>
              <w:left w:val="nil"/>
              <w:bottom w:val="single" w:sz="4" w:space="0" w:color="auto"/>
              <w:right w:val="single" w:sz="4" w:space="0" w:color="auto"/>
            </w:tcBorders>
            <w:shd w:val="clear" w:color="auto" w:fill="auto"/>
            <w:noWrap/>
            <w:vAlign w:val="bottom"/>
            <w:hideMark/>
          </w:tcPr>
          <w:p w14:paraId="33D6568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3,98</w:t>
            </w:r>
          </w:p>
        </w:tc>
        <w:tc>
          <w:tcPr>
            <w:tcW w:w="627" w:type="dxa"/>
            <w:tcBorders>
              <w:top w:val="nil"/>
              <w:left w:val="nil"/>
              <w:bottom w:val="single" w:sz="4" w:space="0" w:color="auto"/>
              <w:right w:val="single" w:sz="4" w:space="0" w:color="auto"/>
            </w:tcBorders>
            <w:shd w:val="clear" w:color="auto" w:fill="auto"/>
            <w:noWrap/>
            <w:vAlign w:val="bottom"/>
            <w:hideMark/>
          </w:tcPr>
          <w:p w14:paraId="40C1327C" w14:textId="2128E226"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15,3</w:t>
            </w:r>
          </w:p>
        </w:tc>
        <w:tc>
          <w:tcPr>
            <w:tcW w:w="804" w:type="dxa"/>
            <w:tcBorders>
              <w:top w:val="nil"/>
              <w:left w:val="nil"/>
              <w:bottom w:val="single" w:sz="4" w:space="0" w:color="auto"/>
              <w:right w:val="single" w:sz="4" w:space="0" w:color="auto"/>
            </w:tcBorders>
            <w:shd w:val="clear" w:color="auto" w:fill="auto"/>
            <w:noWrap/>
            <w:vAlign w:val="bottom"/>
            <w:hideMark/>
          </w:tcPr>
          <w:p w14:paraId="4EBA8B8C" w14:textId="2E6D5BC0"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23,7</w:t>
            </w:r>
          </w:p>
        </w:tc>
        <w:tc>
          <w:tcPr>
            <w:tcW w:w="671" w:type="dxa"/>
            <w:tcBorders>
              <w:top w:val="nil"/>
              <w:left w:val="nil"/>
              <w:bottom w:val="single" w:sz="4" w:space="0" w:color="auto"/>
              <w:right w:val="single" w:sz="4" w:space="0" w:color="auto"/>
            </w:tcBorders>
            <w:shd w:val="clear" w:color="auto" w:fill="auto"/>
            <w:noWrap/>
            <w:vAlign w:val="bottom"/>
            <w:hideMark/>
          </w:tcPr>
          <w:p w14:paraId="65886528" w14:textId="6F63CF8D"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61,0</w:t>
            </w:r>
          </w:p>
        </w:tc>
        <w:tc>
          <w:tcPr>
            <w:tcW w:w="784" w:type="dxa"/>
            <w:tcBorders>
              <w:top w:val="nil"/>
              <w:left w:val="nil"/>
              <w:bottom w:val="single" w:sz="4" w:space="0" w:color="auto"/>
              <w:right w:val="single" w:sz="4" w:space="0" w:color="auto"/>
            </w:tcBorders>
            <w:shd w:val="clear" w:color="auto" w:fill="auto"/>
            <w:noWrap/>
            <w:vAlign w:val="bottom"/>
            <w:hideMark/>
          </w:tcPr>
          <w:p w14:paraId="3C9D8D9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3,91</w:t>
            </w:r>
          </w:p>
        </w:tc>
        <w:tc>
          <w:tcPr>
            <w:tcW w:w="778" w:type="dxa"/>
            <w:tcBorders>
              <w:top w:val="nil"/>
              <w:left w:val="nil"/>
              <w:bottom w:val="single" w:sz="4" w:space="0" w:color="auto"/>
              <w:right w:val="single" w:sz="4" w:space="0" w:color="auto"/>
            </w:tcBorders>
            <w:shd w:val="clear" w:color="auto" w:fill="auto"/>
            <w:noWrap/>
            <w:vAlign w:val="bottom"/>
            <w:hideMark/>
          </w:tcPr>
          <w:p w14:paraId="034CCBF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1,26</w:t>
            </w:r>
          </w:p>
        </w:tc>
        <w:tc>
          <w:tcPr>
            <w:tcW w:w="784" w:type="dxa"/>
            <w:tcBorders>
              <w:top w:val="nil"/>
              <w:left w:val="nil"/>
              <w:bottom w:val="single" w:sz="4" w:space="0" w:color="auto"/>
              <w:right w:val="single" w:sz="4" w:space="0" w:color="auto"/>
            </w:tcBorders>
            <w:shd w:val="clear" w:color="auto" w:fill="auto"/>
            <w:noWrap/>
            <w:vAlign w:val="bottom"/>
            <w:hideMark/>
          </w:tcPr>
          <w:p w14:paraId="3438B55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3,25</w:t>
            </w:r>
          </w:p>
        </w:tc>
        <w:tc>
          <w:tcPr>
            <w:tcW w:w="815" w:type="dxa"/>
            <w:tcBorders>
              <w:top w:val="nil"/>
              <w:left w:val="nil"/>
              <w:bottom w:val="single" w:sz="4" w:space="0" w:color="auto"/>
              <w:right w:val="single" w:sz="4" w:space="0" w:color="auto"/>
            </w:tcBorders>
            <w:shd w:val="clear" w:color="auto" w:fill="auto"/>
            <w:noWrap/>
            <w:vAlign w:val="bottom"/>
            <w:hideMark/>
          </w:tcPr>
          <w:p w14:paraId="7E91ADC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1,44</w:t>
            </w:r>
          </w:p>
        </w:tc>
        <w:tc>
          <w:tcPr>
            <w:tcW w:w="618" w:type="dxa"/>
            <w:tcBorders>
              <w:top w:val="nil"/>
              <w:left w:val="nil"/>
              <w:bottom w:val="single" w:sz="4" w:space="0" w:color="auto"/>
              <w:right w:val="single" w:sz="4" w:space="0" w:color="auto"/>
            </w:tcBorders>
            <w:shd w:val="clear" w:color="auto" w:fill="auto"/>
            <w:noWrap/>
            <w:vAlign w:val="bottom"/>
            <w:hideMark/>
          </w:tcPr>
          <w:p w14:paraId="35C5E1E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1,20</w:t>
            </w:r>
          </w:p>
        </w:tc>
        <w:tc>
          <w:tcPr>
            <w:tcW w:w="515" w:type="dxa"/>
            <w:tcBorders>
              <w:top w:val="nil"/>
              <w:left w:val="nil"/>
              <w:bottom w:val="single" w:sz="4" w:space="0" w:color="auto"/>
              <w:right w:val="single" w:sz="4" w:space="0" w:color="auto"/>
            </w:tcBorders>
            <w:shd w:val="clear" w:color="auto" w:fill="auto"/>
            <w:noWrap/>
            <w:vAlign w:val="bottom"/>
            <w:hideMark/>
          </w:tcPr>
          <w:p w14:paraId="0379012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2,31</w:t>
            </w:r>
          </w:p>
        </w:tc>
        <w:tc>
          <w:tcPr>
            <w:tcW w:w="545" w:type="dxa"/>
            <w:tcBorders>
              <w:top w:val="nil"/>
              <w:left w:val="nil"/>
              <w:bottom w:val="single" w:sz="4" w:space="0" w:color="auto"/>
              <w:right w:val="single" w:sz="4" w:space="0" w:color="auto"/>
            </w:tcBorders>
            <w:shd w:val="clear" w:color="auto" w:fill="auto"/>
            <w:noWrap/>
            <w:vAlign w:val="bottom"/>
            <w:hideMark/>
          </w:tcPr>
          <w:p w14:paraId="542E675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1,96</w:t>
            </w:r>
          </w:p>
        </w:tc>
      </w:tr>
      <w:tr w:rsidR="001753E5" w:rsidRPr="00A1696A" w14:paraId="2141132F" w14:textId="77777777" w:rsidTr="00D63B70">
        <w:trPr>
          <w:trHeight w:val="250"/>
        </w:trPr>
        <w:tc>
          <w:tcPr>
            <w:tcW w:w="398" w:type="dxa"/>
            <w:vMerge/>
            <w:tcBorders>
              <w:top w:val="nil"/>
              <w:left w:val="single" w:sz="4" w:space="0" w:color="auto"/>
              <w:bottom w:val="single" w:sz="4" w:space="0" w:color="000000"/>
              <w:right w:val="single" w:sz="4" w:space="0" w:color="auto"/>
            </w:tcBorders>
            <w:vAlign w:val="center"/>
            <w:hideMark/>
          </w:tcPr>
          <w:p w14:paraId="09DA7C8A"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30" w:type="dxa"/>
            <w:tcBorders>
              <w:top w:val="nil"/>
              <w:left w:val="nil"/>
              <w:bottom w:val="single" w:sz="4" w:space="0" w:color="auto"/>
              <w:right w:val="single" w:sz="4" w:space="0" w:color="auto"/>
            </w:tcBorders>
            <w:shd w:val="clear" w:color="000000" w:fill="FCD5B4"/>
            <w:noWrap/>
            <w:vAlign w:val="center"/>
            <w:hideMark/>
          </w:tcPr>
          <w:p w14:paraId="1DE875B4"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495,6</w:t>
            </w:r>
          </w:p>
        </w:tc>
        <w:tc>
          <w:tcPr>
            <w:tcW w:w="398" w:type="dxa"/>
            <w:vMerge/>
            <w:tcBorders>
              <w:top w:val="nil"/>
              <w:left w:val="single" w:sz="4" w:space="0" w:color="auto"/>
              <w:bottom w:val="single" w:sz="4" w:space="0" w:color="auto"/>
              <w:right w:val="single" w:sz="4" w:space="0" w:color="auto"/>
            </w:tcBorders>
            <w:vAlign w:val="center"/>
            <w:hideMark/>
          </w:tcPr>
          <w:p w14:paraId="79F83D60"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4357748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G4</w:t>
            </w:r>
          </w:p>
        </w:tc>
        <w:tc>
          <w:tcPr>
            <w:tcW w:w="629" w:type="dxa"/>
            <w:tcBorders>
              <w:top w:val="nil"/>
              <w:left w:val="nil"/>
              <w:bottom w:val="single" w:sz="4" w:space="0" w:color="auto"/>
              <w:right w:val="single" w:sz="4" w:space="0" w:color="auto"/>
            </w:tcBorders>
            <w:shd w:val="clear" w:color="000000" w:fill="FCD5B4"/>
            <w:noWrap/>
            <w:vAlign w:val="center"/>
            <w:hideMark/>
          </w:tcPr>
          <w:p w14:paraId="0D1F15A0"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RE5</w:t>
            </w:r>
          </w:p>
        </w:tc>
        <w:tc>
          <w:tcPr>
            <w:tcW w:w="1098" w:type="dxa"/>
            <w:tcBorders>
              <w:top w:val="nil"/>
              <w:left w:val="nil"/>
              <w:bottom w:val="single" w:sz="4" w:space="0" w:color="auto"/>
              <w:right w:val="single" w:sz="4" w:space="0" w:color="auto"/>
            </w:tcBorders>
            <w:shd w:val="clear" w:color="auto" w:fill="auto"/>
            <w:noWrap/>
            <w:vAlign w:val="bottom"/>
            <w:hideMark/>
          </w:tcPr>
          <w:p w14:paraId="7C8D4AC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4,02</w:t>
            </w:r>
          </w:p>
        </w:tc>
        <w:tc>
          <w:tcPr>
            <w:tcW w:w="627" w:type="dxa"/>
            <w:tcBorders>
              <w:top w:val="nil"/>
              <w:left w:val="nil"/>
              <w:bottom w:val="single" w:sz="4" w:space="0" w:color="auto"/>
              <w:right w:val="single" w:sz="4" w:space="0" w:color="auto"/>
            </w:tcBorders>
            <w:shd w:val="clear" w:color="auto" w:fill="auto"/>
            <w:noWrap/>
            <w:vAlign w:val="bottom"/>
            <w:hideMark/>
          </w:tcPr>
          <w:p w14:paraId="537AA236" w14:textId="38789E3A"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53,5</w:t>
            </w:r>
          </w:p>
        </w:tc>
        <w:tc>
          <w:tcPr>
            <w:tcW w:w="804" w:type="dxa"/>
            <w:tcBorders>
              <w:top w:val="nil"/>
              <w:left w:val="nil"/>
              <w:bottom w:val="single" w:sz="4" w:space="0" w:color="auto"/>
              <w:right w:val="single" w:sz="4" w:space="0" w:color="auto"/>
            </w:tcBorders>
            <w:shd w:val="clear" w:color="auto" w:fill="auto"/>
            <w:noWrap/>
            <w:vAlign w:val="bottom"/>
            <w:hideMark/>
          </w:tcPr>
          <w:p w14:paraId="22ADDD71" w14:textId="3465A3E0"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32,0</w:t>
            </w:r>
          </w:p>
        </w:tc>
        <w:tc>
          <w:tcPr>
            <w:tcW w:w="671" w:type="dxa"/>
            <w:tcBorders>
              <w:top w:val="nil"/>
              <w:left w:val="nil"/>
              <w:bottom w:val="single" w:sz="4" w:space="0" w:color="auto"/>
              <w:right w:val="single" w:sz="4" w:space="0" w:color="auto"/>
            </w:tcBorders>
            <w:shd w:val="clear" w:color="auto" w:fill="auto"/>
            <w:noWrap/>
            <w:vAlign w:val="bottom"/>
            <w:hideMark/>
          </w:tcPr>
          <w:p w14:paraId="0314FA24" w14:textId="631E4B35"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14,5</w:t>
            </w:r>
          </w:p>
        </w:tc>
        <w:tc>
          <w:tcPr>
            <w:tcW w:w="784" w:type="dxa"/>
            <w:tcBorders>
              <w:top w:val="nil"/>
              <w:left w:val="nil"/>
              <w:bottom w:val="single" w:sz="4" w:space="0" w:color="auto"/>
              <w:right w:val="single" w:sz="4" w:space="0" w:color="auto"/>
            </w:tcBorders>
            <w:shd w:val="clear" w:color="auto" w:fill="auto"/>
            <w:noWrap/>
            <w:vAlign w:val="bottom"/>
            <w:hideMark/>
          </w:tcPr>
          <w:p w14:paraId="56CCF27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31</w:t>
            </w:r>
          </w:p>
        </w:tc>
        <w:tc>
          <w:tcPr>
            <w:tcW w:w="778" w:type="dxa"/>
            <w:tcBorders>
              <w:top w:val="nil"/>
              <w:left w:val="nil"/>
              <w:bottom w:val="single" w:sz="4" w:space="0" w:color="auto"/>
              <w:right w:val="single" w:sz="4" w:space="0" w:color="auto"/>
            </w:tcBorders>
            <w:shd w:val="clear" w:color="auto" w:fill="auto"/>
            <w:noWrap/>
            <w:vAlign w:val="bottom"/>
            <w:hideMark/>
          </w:tcPr>
          <w:p w14:paraId="0F7FCD8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2,81</w:t>
            </w:r>
          </w:p>
        </w:tc>
        <w:tc>
          <w:tcPr>
            <w:tcW w:w="784" w:type="dxa"/>
            <w:tcBorders>
              <w:top w:val="nil"/>
              <w:left w:val="nil"/>
              <w:bottom w:val="single" w:sz="4" w:space="0" w:color="auto"/>
              <w:right w:val="single" w:sz="4" w:space="0" w:color="auto"/>
            </w:tcBorders>
            <w:shd w:val="clear" w:color="auto" w:fill="auto"/>
            <w:noWrap/>
            <w:vAlign w:val="bottom"/>
            <w:hideMark/>
          </w:tcPr>
          <w:p w14:paraId="34FD7BC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37,8</w:t>
            </w:r>
          </w:p>
        </w:tc>
        <w:tc>
          <w:tcPr>
            <w:tcW w:w="815" w:type="dxa"/>
            <w:tcBorders>
              <w:top w:val="nil"/>
              <w:left w:val="nil"/>
              <w:bottom w:val="single" w:sz="4" w:space="0" w:color="auto"/>
              <w:right w:val="single" w:sz="4" w:space="0" w:color="auto"/>
            </w:tcBorders>
            <w:shd w:val="clear" w:color="auto" w:fill="auto"/>
            <w:noWrap/>
            <w:vAlign w:val="bottom"/>
            <w:hideMark/>
          </w:tcPr>
          <w:p w14:paraId="7B826E2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2,72</w:t>
            </w:r>
          </w:p>
        </w:tc>
        <w:tc>
          <w:tcPr>
            <w:tcW w:w="618" w:type="dxa"/>
            <w:tcBorders>
              <w:top w:val="nil"/>
              <w:left w:val="nil"/>
              <w:bottom w:val="single" w:sz="4" w:space="0" w:color="auto"/>
              <w:right w:val="single" w:sz="4" w:space="0" w:color="auto"/>
            </w:tcBorders>
            <w:shd w:val="clear" w:color="auto" w:fill="auto"/>
            <w:noWrap/>
            <w:vAlign w:val="bottom"/>
            <w:hideMark/>
          </w:tcPr>
          <w:p w14:paraId="55C9182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0,82</w:t>
            </w:r>
          </w:p>
        </w:tc>
        <w:tc>
          <w:tcPr>
            <w:tcW w:w="515" w:type="dxa"/>
            <w:tcBorders>
              <w:top w:val="nil"/>
              <w:left w:val="nil"/>
              <w:bottom w:val="single" w:sz="4" w:space="0" w:color="auto"/>
              <w:right w:val="single" w:sz="4" w:space="0" w:color="auto"/>
            </w:tcBorders>
            <w:shd w:val="clear" w:color="auto" w:fill="auto"/>
            <w:noWrap/>
            <w:vAlign w:val="bottom"/>
            <w:hideMark/>
          </w:tcPr>
          <w:p w14:paraId="1EB144C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2,28</w:t>
            </w:r>
          </w:p>
        </w:tc>
        <w:tc>
          <w:tcPr>
            <w:tcW w:w="545" w:type="dxa"/>
            <w:tcBorders>
              <w:top w:val="nil"/>
              <w:left w:val="nil"/>
              <w:bottom w:val="single" w:sz="4" w:space="0" w:color="auto"/>
              <w:right w:val="single" w:sz="4" w:space="0" w:color="auto"/>
            </w:tcBorders>
            <w:shd w:val="clear" w:color="auto" w:fill="auto"/>
            <w:noWrap/>
            <w:vAlign w:val="bottom"/>
            <w:hideMark/>
          </w:tcPr>
          <w:p w14:paraId="11A926C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1,38</w:t>
            </w:r>
          </w:p>
        </w:tc>
      </w:tr>
      <w:tr w:rsidR="001753E5" w:rsidRPr="00A1696A" w14:paraId="306C01DB" w14:textId="77777777" w:rsidTr="00D63B70">
        <w:trPr>
          <w:trHeight w:val="250"/>
        </w:trPr>
        <w:tc>
          <w:tcPr>
            <w:tcW w:w="398" w:type="dxa"/>
            <w:vMerge/>
            <w:tcBorders>
              <w:top w:val="nil"/>
              <w:left w:val="single" w:sz="4" w:space="0" w:color="auto"/>
              <w:bottom w:val="single" w:sz="4" w:space="0" w:color="000000"/>
              <w:right w:val="single" w:sz="4" w:space="0" w:color="auto"/>
            </w:tcBorders>
            <w:vAlign w:val="center"/>
            <w:hideMark/>
          </w:tcPr>
          <w:p w14:paraId="5889ADB7"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30" w:type="dxa"/>
            <w:tcBorders>
              <w:top w:val="nil"/>
              <w:left w:val="nil"/>
              <w:bottom w:val="single" w:sz="4" w:space="0" w:color="auto"/>
              <w:right w:val="single" w:sz="4" w:space="0" w:color="auto"/>
            </w:tcBorders>
            <w:shd w:val="clear" w:color="000000" w:fill="FCD5B4"/>
            <w:noWrap/>
            <w:vAlign w:val="center"/>
            <w:hideMark/>
          </w:tcPr>
          <w:p w14:paraId="34DA35CD"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553,0</w:t>
            </w:r>
          </w:p>
        </w:tc>
        <w:tc>
          <w:tcPr>
            <w:tcW w:w="398" w:type="dxa"/>
            <w:vMerge/>
            <w:tcBorders>
              <w:top w:val="nil"/>
              <w:left w:val="single" w:sz="4" w:space="0" w:color="auto"/>
              <w:bottom w:val="single" w:sz="4" w:space="0" w:color="auto"/>
              <w:right w:val="single" w:sz="4" w:space="0" w:color="auto"/>
            </w:tcBorders>
            <w:vAlign w:val="center"/>
            <w:hideMark/>
          </w:tcPr>
          <w:p w14:paraId="324EB7AA"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10E8C575"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G5</w:t>
            </w:r>
          </w:p>
        </w:tc>
        <w:tc>
          <w:tcPr>
            <w:tcW w:w="629" w:type="dxa"/>
            <w:tcBorders>
              <w:top w:val="nil"/>
              <w:left w:val="nil"/>
              <w:bottom w:val="single" w:sz="4" w:space="0" w:color="auto"/>
              <w:right w:val="single" w:sz="4" w:space="0" w:color="auto"/>
            </w:tcBorders>
            <w:shd w:val="clear" w:color="000000" w:fill="FCD5B4"/>
            <w:noWrap/>
            <w:vAlign w:val="center"/>
            <w:hideMark/>
          </w:tcPr>
          <w:p w14:paraId="4CEBE508"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RE6</w:t>
            </w:r>
          </w:p>
        </w:tc>
        <w:tc>
          <w:tcPr>
            <w:tcW w:w="1098" w:type="dxa"/>
            <w:tcBorders>
              <w:top w:val="nil"/>
              <w:left w:val="nil"/>
              <w:bottom w:val="single" w:sz="4" w:space="0" w:color="auto"/>
              <w:right w:val="single" w:sz="4" w:space="0" w:color="auto"/>
            </w:tcBorders>
            <w:shd w:val="clear" w:color="auto" w:fill="auto"/>
            <w:noWrap/>
            <w:vAlign w:val="bottom"/>
            <w:hideMark/>
          </w:tcPr>
          <w:p w14:paraId="10BE415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22,48</w:t>
            </w:r>
          </w:p>
        </w:tc>
        <w:tc>
          <w:tcPr>
            <w:tcW w:w="627" w:type="dxa"/>
            <w:tcBorders>
              <w:top w:val="nil"/>
              <w:left w:val="nil"/>
              <w:bottom w:val="single" w:sz="4" w:space="0" w:color="auto"/>
              <w:right w:val="single" w:sz="4" w:space="0" w:color="auto"/>
            </w:tcBorders>
            <w:shd w:val="clear" w:color="auto" w:fill="auto"/>
            <w:noWrap/>
            <w:vAlign w:val="bottom"/>
            <w:hideMark/>
          </w:tcPr>
          <w:p w14:paraId="6DDD93D9" w14:textId="065AE96C"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16,7</w:t>
            </w:r>
          </w:p>
        </w:tc>
        <w:tc>
          <w:tcPr>
            <w:tcW w:w="804" w:type="dxa"/>
            <w:tcBorders>
              <w:top w:val="nil"/>
              <w:left w:val="nil"/>
              <w:bottom w:val="single" w:sz="4" w:space="0" w:color="auto"/>
              <w:right w:val="single" w:sz="4" w:space="0" w:color="auto"/>
            </w:tcBorders>
            <w:shd w:val="clear" w:color="auto" w:fill="auto"/>
            <w:noWrap/>
            <w:vAlign w:val="bottom"/>
            <w:hideMark/>
          </w:tcPr>
          <w:p w14:paraId="687DE597" w14:textId="3A4C9B06"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22,3</w:t>
            </w:r>
          </w:p>
        </w:tc>
        <w:tc>
          <w:tcPr>
            <w:tcW w:w="671" w:type="dxa"/>
            <w:tcBorders>
              <w:top w:val="nil"/>
              <w:left w:val="nil"/>
              <w:bottom w:val="single" w:sz="4" w:space="0" w:color="auto"/>
              <w:right w:val="single" w:sz="4" w:space="0" w:color="auto"/>
            </w:tcBorders>
            <w:shd w:val="clear" w:color="auto" w:fill="auto"/>
            <w:noWrap/>
            <w:vAlign w:val="bottom"/>
            <w:hideMark/>
          </w:tcPr>
          <w:p w14:paraId="40DDB223" w14:textId="1C381B2E"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61,0</w:t>
            </w:r>
          </w:p>
        </w:tc>
        <w:tc>
          <w:tcPr>
            <w:tcW w:w="784" w:type="dxa"/>
            <w:tcBorders>
              <w:top w:val="nil"/>
              <w:left w:val="nil"/>
              <w:bottom w:val="single" w:sz="4" w:space="0" w:color="auto"/>
              <w:right w:val="single" w:sz="4" w:space="0" w:color="auto"/>
            </w:tcBorders>
            <w:shd w:val="clear" w:color="auto" w:fill="auto"/>
            <w:noWrap/>
            <w:vAlign w:val="bottom"/>
            <w:hideMark/>
          </w:tcPr>
          <w:p w14:paraId="1407D23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80,18</w:t>
            </w:r>
          </w:p>
        </w:tc>
        <w:tc>
          <w:tcPr>
            <w:tcW w:w="778" w:type="dxa"/>
            <w:tcBorders>
              <w:top w:val="nil"/>
              <w:left w:val="nil"/>
              <w:bottom w:val="single" w:sz="4" w:space="0" w:color="auto"/>
              <w:right w:val="single" w:sz="4" w:space="0" w:color="auto"/>
            </w:tcBorders>
            <w:shd w:val="clear" w:color="auto" w:fill="auto"/>
            <w:noWrap/>
            <w:vAlign w:val="bottom"/>
            <w:hideMark/>
          </w:tcPr>
          <w:p w14:paraId="0B18583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3,02</w:t>
            </w:r>
          </w:p>
        </w:tc>
        <w:tc>
          <w:tcPr>
            <w:tcW w:w="784" w:type="dxa"/>
            <w:tcBorders>
              <w:top w:val="nil"/>
              <w:left w:val="nil"/>
              <w:bottom w:val="single" w:sz="4" w:space="0" w:color="auto"/>
              <w:right w:val="single" w:sz="4" w:space="0" w:color="auto"/>
            </w:tcBorders>
            <w:shd w:val="clear" w:color="auto" w:fill="auto"/>
            <w:noWrap/>
            <w:vAlign w:val="bottom"/>
            <w:hideMark/>
          </w:tcPr>
          <w:p w14:paraId="3FFD978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81,25</w:t>
            </w:r>
          </w:p>
        </w:tc>
        <w:tc>
          <w:tcPr>
            <w:tcW w:w="815" w:type="dxa"/>
            <w:tcBorders>
              <w:top w:val="nil"/>
              <w:left w:val="nil"/>
              <w:bottom w:val="single" w:sz="4" w:space="0" w:color="auto"/>
              <w:right w:val="single" w:sz="4" w:space="0" w:color="auto"/>
            </w:tcBorders>
            <w:shd w:val="clear" w:color="auto" w:fill="auto"/>
            <w:noWrap/>
            <w:vAlign w:val="bottom"/>
            <w:hideMark/>
          </w:tcPr>
          <w:p w14:paraId="7EAA72C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3,42</w:t>
            </w:r>
          </w:p>
        </w:tc>
        <w:tc>
          <w:tcPr>
            <w:tcW w:w="618" w:type="dxa"/>
            <w:tcBorders>
              <w:top w:val="nil"/>
              <w:left w:val="nil"/>
              <w:bottom w:val="single" w:sz="4" w:space="0" w:color="auto"/>
              <w:right w:val="single" w:sz="4" w:space="0" w:color="auto"/>
            </w:tcBorders>
            <w:shd w:val="clear" w:color="auto" w:fill="auto"/>
            <w:noWrap/>
            <w:vAlign w:val="bottom"/>
            <w:hideMark/>
          </w:tcPr>
          <w:p w14:paraId="6C011AB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0,99</w:t>
            </w:r>
          </w:p>
        </w:tc>
        <w:tc>
          <w:tcPr>
            <w:tcW w:w="515" w:type="dxa"/>
            <w:tcBorders>
              <w:top w:val="nil"/>
              <w:left w:val="nil"/>
              <w:bottom w:val="single" w:sz="4" w:space="0" w:color="auto"/>
              <w:right w:val="single" w:sz="4" w:space="0" w:color="auto"/>
            </w:tcBorders>
            <w:shd w:val="clear" w:color="auto" w:fill="auto"/>
            <w:noWrap/>
            <w:vAlign w:val="bottom"/>
            <w:hideMark/>
          </w:tcPr>
          <w:p w14:paraId="016BF9E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1,57</w:t>
            </w:r>
          </w:p>
        </w:tc>
        <w:tc>
          <w:tcPr>
            <w:tcW w:w="545" w:type="dxa"/>
            <w:tcBorders>
              <w:top w:val="nil"/>
              <w:left w:val="nil"/>
              <w:bottom w:val="single" w:sz="4" w:space="0" w:color="auto"/>
              <w:right w:val="single" w:sz="4" w:space="0" w:color="auto"/>
            </w:tcBorders>
            <w:shd w:val="clear" w:color="auto" w:fill="auto"/>
            <w:noWrap/>
            <w:vAlign w:val="bottom"/>
            <w:hideMark/>
          </w:tcPr>
          <w:p w14:paraId="265F487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1,50</w:t>
            </w:r>
          </w:p>
        </w:tc>
      </w:tr>
      <w:tr w:rsidR="001753E5" w:rsidRPr="00A1696A" w14:paraId="70B8C6B4" w14:textId="77777777" w:rsidTr="00D63B70">
        <w:trPr>
          <w:trHeight w:val="587"/>
        </w:trPr>
        <w:tc>
          <w:tcPr>
            <w:tcW w:w="398" w:type="dxa"/>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3A9000D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ТВМЗ</w:t>
            </w:r>
          </w:p>
        </w:tc>
        <w:tc>
          <w:tcPr>
            <w:tcW w:w="730" w:type="dxa"/>
            <w:tcBorders>
              <w:top w:val="nil"/>
              <w:left w:val="nil"/>
              <w:bottom w:val="single" w:sz="4" w:space="0" w:color="auto"/>
              <w:right w:val="single" w:sz="4" w:space="0" w:color="auto"/>
            </w:tcBorders>
            <w:shd w:val="clear" w:color="000000" w:fill="FCD5B4"/>
            <w:noWrap/>
            <w:vAlign w:val="center"/>
            <w:hideMark/>
          </w:tcPr>
          <w:p w14:paraId="417E1FB9"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816,8</w:t>
            </w:r>
          </w:p>
        </w:tc>
        <w:tc>
          <w:tcPr>
            <w:tcW w:w="398" w:type="dxa"/>
            <w:vMerge/>
            <w:tcBorders>
              <w:top w:val="nil"/>
              <w:left w:val="single" w:sz="4" w:space="0" w:color="auto"/>
              <w:bottom w:val="single" w:sz="4" w:space="0" w:color="auto"/>
              <w:right w:val="single" w:sz="4" w:space="0" w:color="auto"/>
            </w:tcBorders>
            <w:vAlign w:val="center"/>
            <w:hideMark/>
          </w:tcPr>
          <w:p w14:paraId="1E93E0EA"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2A282948"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G6</w:t>
            </w:r>
          </w:p>
        </w:tc>
        <w:tc>
          <w:tcPr>
            <w:tcW w:w="629" w:type="dxa"/>
            <w:tcBorders>
              <w:top w:val="nil"/>
              <w:left w:val="nil"/>
              <w:bottom w:val="single" w:sz="4" w:space="0" w:color="auto"/>
              <w:right w:val="single" w:sz="4" w:space="0" w:color="auto"/>
            </w:tcBorders>
            <w:shd w:val="clear" w:color="000000" w:fill="FCD5B4"/>
            <w:noWrap/>
            <w:vAlign w:val="center"/>
            <w:hideMark/>
          </w:tcPr>
          <w:p w14:paraId="61C4727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RE9</w:t>
            </w:r>
          </w:p>
        </w:tc>
        <w:tc>
          <w:tcPr>
            <w:tcW w:w="1098" w:type="dxa"/>
            <w:tcBorders>
              <w:top w:val="nil"/>
              <w:left w:val="nil"/>
              <w:bottom w:val="single" w:sz="4" w:space="0" w:color="auto"/>
              <w:right w:val="single" w:sz="4" w:space="0" w:color="auto"/>
            </w:tcBorders>
            <w:shd w:val="clear" w:color="auto" w:fill="auto"/>
            <w:noWrap/>
            <w:vAlign w:val="bottom"/>
            <w:hideMark/>
          </w:tcPr>
          <w:p w14:paraId="4867373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2,06</w:t>
            </w:r>
          </w:p>
        </w:tc>
        <w:tc>
          <w:tcPr>
            <w:tcW w:w="627" w:type="dxa"/>
            <w:tcBorders>
              <w:top w:val="nil"/>
              <w:left w:val="nil"/>
              <w:bottom w:val="single" w:sz="4" w:space="0" w:color="auto"/>
              <w:right w:val="single" w:sz="4" w:space="0" w:color="auto"/>
            </w:tcBorders>
            <w:shd w:val="clear" w:color="auto" w:fill="auto"/>
            <w:noWrap/>
            <w:vAlign w:val="bottom"/>
            <w:hideMark/>
          </w:tcPr>
          <w:p w14:paraId="3ABEDF00" w14:textId="425BC7F3" w:rsidR="00AA6A25" w:rsidRPr="00A1696A" w:rsidRDefault="00AA7D97"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17,8</w:t>
            </w:r>
            <w:r w:rsidR="00AA6A25" w:rsidRPr="00A1696A">
              <w:rPr>
                <w:rFonts w:ascii="Times New Roman" w:eastAsia="Times New Roman" w:hAnsi="Times New Roman" w:cs="Times New Roman"/>
                <w:color w:val="000000"/>
                <w:sz w:val="20"/>
                <w:szCs w:val="20"/>
                <w:lang w:eastAsia="bg-BG"/>
              </w:rPr>
              <w:t> </w:t>
            </w:r>
          </w:p>
        </w:tc>
        <w:tc>
          <w:tcPr>
            <w:tcW w:w="804" w:type="dxa"/>
            <w:tcBorders>
              <w:top w:val="nil"/>
              <w:left w:val="nil"/>
              <w:bottom w:val="single" w:sz="4" w:space="0" w:color="auto"/>
              <w:right w:val="single" w:sz="4" w:space="0" w:color="auto"/>
            </w:tcBorders>
            <w:shd w:val="clear" w:color="auto" w:fill="auto"/>
            <w:noWrap/>
            <w:vAlign w:val="bottom"/>
            <w:hideMark/>
          </w:tcPr>
          <w:p w14:paraId="477DD38C" w14:textId="185CFCD2"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r w:rsidR="00AA7D97" w:rsidRPr="00A1696A">
              <w:rPr>
                <w:rFonts w:ascii="Times New Roman" w:eastAsia="Times New Roman" w:hAnsi="Times New Roman" w:cs="Times New Roman"/>
                <w:color w:val="000000"/>
                <w:sz w:val="20"/>
                <w:szCs w:val="20"/>
                <w:lang w:eastAsia="bg-BG"/>
              </w:rPr>
              <w:t>39,0</w:t>
            </w:r>
          </w:p>
        </w:tc>
        <w:tc>
          <w:tcPr>
            <w:tcW w:w="671" w:type="dxa"/>
            <w:tcBorders>
              <w:top w:val="nil"/>
              <w:left w:val="nil"/>
              <w:bottom w:val="single" w:sz="4" w:space="0" w:color="auto"/>
              <w:right w:val="single" w:sz="4" w:space="0" w:color="auto"/>
            </w:tcBorders>
            <w:shd w:val="clear" w:color="auto" w:fill="auto"/>
            <w:noWrap/>
            <w:vAlign w:val="bottom"/>
            <w:hideMark/>
          </w:tcPr>
          <w:p w14:paraId="412985D0" w14:textId="0BDC2AA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r w:rsidR="00AA7D97" w:rsidRPr="00A1696A">
              <w:rPr>
                <w:rFonts w:ascii="Times New Roman" w:eastAsia="Times New Roman" w:hAnsi="Times New Roman" w:cs="Times New Roman"/>
                <w:color w:val="000000"/>
                <w:sz w:val="20"/>
                <w:szCs w:val="20"/>
                <w:lang w:eastAsia="bg-BG"/>
              </w:rPr>
              <w:t>43,</w:t>
            </w:r>
            <w:r w:rsidR="001753E5" w:rsidRPr="00A1696A">
              <w:rPr>
                <w:rFonts w:ascii="Times New Roman" w:eastAsia="Times New Roman" w:hAnsi="Times New Roman" w:cs="Times New Roman"/>
                <w:color w:val="000000"/>
                <w:sz w:val="20"/>
                <w:szCs w:val="20"/>
                <w:lang w:eastAsia="bg-BG"/>
              </w:rPr>
              <w:t>2</w:t>
            </w:r>
          </w:p>
        </w:tc>
        <w:tc>
          <w:tcPr>
            <w:tcW w:w="784" w:type="dxa"/>
            <w:tcBorders>
              <w:top w:val="nil"/>
              <w:left w:val="nil"/>
              <w:bottom w:val="single" w:sz="4" w:space="0" w:color="auto"/>
              <w:right w:val="single" w:sz="4" w:space="0" w:color="auto"/>
            </w:tcBorders>
            <w:shd w:val="clear" w:color="auto" w:fill="auto"/>
            <w:noWrap/>
            <w:vAlign w:val="bottom"/>
            <w:hideMark/>
          </w:tcPr>
          <w:p w14:paraId="70FF623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17,26</w:t>
            </w:r>
          </w:p>
        </w:tc>
        <w:tc>
          <w:tcPr>
            <w:tcW w:w="778" w:type="dxa"/>
            <w:tcBorders>
              <w:top w:val="nil"/>
              <w:left w:val="nil"/>
              <w:bottom w:val="single" w:sz="4" w:space="0" w:color="auto"/>
              <w:right w:val="single" w:sz="4" w:space="0" w:color="auto"/>
            </w:tcBorders>
            <w:shd w:val="clear" w:color="auto" w:fill="auto"/>
            <w:noWrap/>
            <w:vAlign w:val="bottom"/>
            <w:hideMark/>
          </w:tcPr>
          <w:p w14:paraId="1068AAA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0,92</w:t>
            </w:r>
          </w:p>
        </w:tc>
        <w:tc>
          <w:tcPr>
            <w:tcW w:w="784" w:type="dxa"/>
            <w:tcBorders>
              <w:top w:val="nil"/>
              <w:left w:val="nil"/>
              <w:bottom w:val="single" w:sz="4" w:space="0" w:color="auto"/>
              <w:right w:val="single" w:sz="4" w:space="0" w:color="auto"/>
            </w:tcBorders>
            <w:shd w:val="clear" w:color="auto" w:fill="auto"/>
            <w:noWrap/>
            <w:vAlign w:val="bottom"/>
            <w:hideMark/>
          </w:tcPr>
          <w:p w14:paraId="1A67C97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12,25</w:t>
            </w:r>
          </w:p>
        </w:tc>
        <w:tc>
          <w:tcPr>
            <w:tcW w:w="815" w:type="dxa"/>
            <w:tcBorders>
              <w:top w:val="nil"/>
              <w:left w:val="nil"/>
              <w:bottom w:val="single" w:sz="4" w:space="0" w:color="auto"/>
              <w:right w:val="single" w:sz="4" w:space="0" w:color="auto"/>
            </w:tcBorders>
            <w:shd w:val="clear" w:color="auto" w:fill="auto"/>
            <w:noWrap/>
            <w:vAlign w:val="bottom"/>
            <w:hideMark/>
          </w:tcPr>
          <w:p w14:paraId="1AA8E3A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1,00</w:t>
            </w:r>
          </w:p>
        </w:tc>
        <w:tc>
          <w:tcPr>
            <w:tcW w:w="618" w:type="dxa"/>
            <w:tcBorders>
              <w:top w:val="nil"/>
              <w:left w:val="nil"/>
              <w:bottom w:val="single" w:sz="4" w:space="0" w:color="auto"/>
              <w:right w:val="single" w:sz="4" w:space="0" w:color="auto"/>
            </w:tcBorders>
            <w:shd w:val="clear" w:color="auto" w:fill="auto"/>
            <w:noWrap/>
            <w:vAlign w:val="bottom"/>
            <w:hideMark/>
          </w:tcPr>
          <w:p w14:paraId="5C32361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1,41</w:t>
            </w:r>
          </w:p>
        </w:tc>
        <w:tc>
          <w:tcPr>
            <w:tcW w:w="515" w:type="dxa"/>
            <w:tcBorders>
              <w:top w:val="nil"/>
              <w:left w:val="nil"/>
              <w:bottom w:val="single" w:sz="4" w:space="0" w:color="auto"/>
              <w:right w:val="single" w:sz="4" w:space="0" w:color="auto"/>
            </w:tcBorders>
            <w:shd w:val="clear" w:color="auto" w:fill="auto"/>
            <w:noWrap/>
            <w:vAlign w:val="bottom"/>
            <w:hideMark/>
          </w:tcPr>
          <w:p w14:paraId="0D51E19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1,16</w:t>
            </w:r>
          </w:p>
        </w:tc>
        <w:tc>
          <w:tcPr>
            <w:tcW w:w="545" w:type="dxa"/>
            <w:tcBorders>
              <w:top w:val="nil"/>
              <w:left w:val="nil"/>
              <w:bottom w:val="single" w:sz="4" w:space="0" w:color="auto"/>
              <w:right w:val="single" w:sz="4" w:space="0" w:color="auto"/>
            </w:tcBorders>
            <w:shd w:val="clear" w:color="auto" w:fill="auto"/>
            <w:noWrap/>
            <w:vAlign w:val="bottom"/>
            <w:hideMark/>
          </w:tcPr>
          <w:p w14:paraId="1947C0B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1,13</w:t>
            </w:r>
          </w:p>
        </w:tc>
      </w:tr>
      <w:tr w:rsidR="001753E5" w:rsidRPr="00A1696A" w14:paraId="61E2C5DE" w14:textId="77777777" w:rsidTr="00D63B70">
        <w:trPr>
          <w:trHeight w:val="289"/>
        </w:trPr>
        <w:tc>
          <w:tcPr>
            <w:tcW w:w="398" w:type="dxa"/>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7BABD74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Ю</w:t>
            </w:r>
          </w:p>
        </w:tc>
        <w:tc>
          <w:tcPr>
            <w:tcW w:w="730" w:type="dxa"/>
            <w:tcBorders>
              <w:top w:val="nil"/>
              <w:left w:val="nil"/>
              <w:bottom w:val="single" w:sz="4" w:space="0" w:color="auto"/>
              <w:right w:val="single" w:sz="4" w:space="0" w:color="auto"/>
            </w:tcBorders>
            <w:shd w:val="clear" w:color="000000" w:fill="FCD5B4"/>
            <w:noWrap/>
            <w:vAlign w:val="center"/>
            <w:hideMark/>
          </w:tcPr>
          <w:p w14:paraId="0A6DE02A" w14:textId="77777777" w:rsidR="00AA6A25" w:rsidRPr="00A1696A" w:rsidRDefault="00AA6A25" w:rsidP="006B6EBF">
            <w:pPr>
              <w:spacing w:after="0" w:line="240" w:lineRule="auto"/>
              <w:jc w:val="right"/>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1685,3</w:t>
            </w:r>
          </w:p>
        </w:tc>
        <w:tc>
          <w:tcPr>
            <w:tcW w:w="398" w:type="dxa"/>
            <w:vMerge/>
            <w:tcBorders>
              <w:top w:val="nil"/>
              <w:left w:val="single" w:sz="4" w:space="0" w:color="auto"/>
              <w:bottom w:val="single" w:sz="4" w:space="0" w:color="auto"/>
              <w:right w:val="single" w:sz="4" w:space="0" w:color="auto"/>
            </w:tcBorders>
            <w:vAlign w:val="center"/>
            <w:hideMark/>
          </w:tcPr>
          <w:p w14:paraId="343D4F00"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nil"/>
              <w:right w:val="single" w:sz="4" w:space="0" w:color="auto"/>
            </w:tcBorders>
            <w:shd w:val="clear" w:color="000000" w:fill="FCD5B4"/>
            <w:noWrap/>
            <w:vAlign w:val="center"/>
            <w:hideMark/>
          </w:tcPr>
          <w:p w14:paraId="2F0C7F2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G7</w:t>
            </w:r>
          </w:p>
        </w:tc>
        <w:tc>
          <w:tcPr>
            <w:tcW w:w="629" w:type="dxa"/>
            <w:tcBorders>
              <w:top w:val="nil"/>
              <w:left w:val="nil"/>
              <w:bottom w:val="nil"/>
              <w:right w:val="single" w:sz="4" w:space="0" w:color="auto"/>
            </w:tcBorders>
            <w:shd w:val="clear" w:color="000000" w:fill="FCD5B4"/>
            <w:noWrap/>
            <w:vAlign w:val="center"/>
            <w:hideMark/>
          </w:tcPr>
          <w:p w14:paraId="0D75DD73"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RE11</w:t>
            </w:r>
          </w:p>
        </w:tc>
        <w:tc>
          <w:tcPr>
            <w:tcW w:w="1098" w:type="dxa"/>
            <w:tcBorders>
              <w:top w:val="nil"/>
              <w:left w:val="nil"/>
              <w:bottom w:val="nil"/>
              <w:right w:val="single" w:sz="4" w:space="0" w:color="auto"/>
            </w:tcBorders>
            <w:shd w:val="clear" w:color="auto" w:fill="auto"/>
            <w:noWrap/>
            <w:vAlign w:val="bottom"/>
            <w:hideMark/>
          </w:tcPr>
          <w:p w14:paraId="7DBD2AB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2,17</w:t>
            </w:r>
          </w:p>
        </w:tc>
        <w:tc>
          <w:tcPr>
            <w:tcW w:w="627" w:type="dxa"/>
            <w:tcBorders>
              <w:top w:val="nil"/>
              <w:left w:val="nil"/>
              <w:bottom w:val="nil"/>
              <w:right w:val="single" w:sz="4" w:space="0" w:color="auto"/>
            </w:tcBorders>
            <w:shd w:val="clear" w:color="auto" w:fill="auto"/>
            <w:noWrap/>
            <w:vAlign w:val="bottom"/>
            <w:hideMark/>
          </w:tcPr>
          <w:p w14:paraId="5D1B9EB1" w14:textId="04439ECB" w:rsidR="00AA6A25" w:rsidRPr="00A1696A" w:rsidRDefault="001753E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17,7</w:t>
            </w:r>
          </w:p>
        </w:tc>
        <w:tc>
          <w:tcPr>
            <w:tcW w:w="804" w:type="dxa"/>
            <w:tcBorders>
              <w:top w:val="nil"/>
              <w:left w:val="nil"/>
              <w:bottom w:val="nil"/>
              <w:right w:val="single" w:sz="4" w:space="0" w:color="auto"/>
            </w:tcBorders>
            <w:shd w:val="clear" w:color="auto" w:fill="auto"/>
            <w:noWrap/>
            <w:vAlign w:val="bottom"/>
            <w:hideMark/>
          </w:tcPr>
          <w:p w14:paraId="07A3D6C7" w14:textId="444FDD26" w:rsidR="00AA6A25" w:rsidRPr="00A1696A" w:rsidRDefault="00AA6A25" w:rsidP="001753E5">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r w:rsidR="001753E5" w:rsidRPr="00A1696A">
              <w:rPr>
                <w:rFonts w:ascii="Times New Roman" w:eastAsia="Times New Roman" w:hAnsi="Times New Roman" w:cs="Times New Roman"/>
                <w:color w:val="000000"/>
                <w:sz w:val="20"/>
                <w:szCs w:val="20"/>
                <w:lang w:eastAsia="bg-BG"/>
              </w:rPr>
              <w:t>45,8</w:t>
            </w:r>
          </w:p>
        </w:tc>
        <w:tc>
          <w:tcPr>
            <w:tcW w:w="671" w:type="dxa"/>
            <w:tcBorders>
              <w:top w:val="nil"/>
              <w:left w:val="nil"/>
              <w:bottom w:val="nil"/>
              <w:right w:val="single" w:sz="4" w:space="0" w:color="auto"/>
            </w:tcBorders>
            <w:shd w:val="clear" w:color="auto" w:fill="auto"/>
            <w:noWrap/>
            <w:vAlign w:val="bottom"/>
            <w:hideMark/>
          </w:tcPr>
          <w:p w14:paraId="3373480A" w14:textId="40D07418" w:rsidR="00AA6A25" w:rsidRPr="00A1696A" w:rsidRDefault="001753E5" w:rsidP="001753E5">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36,5</w:t>
            </w:r>
            <w:r w:rsidR="00AA6A25" w:rsidRPr="00A1696A">
              <w:rPr>
                <w:rFonts w:ascii="Times New Roman" w:eastAsia="Times New Roman" w:hAnsi="Times New Roman" w:cs="Times New Roman"/>
                <w:color w:val="000000"/>
                <w:sz w:val="20"/>
                <w:szCs w:val="20"/>
                <w:lang w:eastAsia="bg-BG"/>
              </w:rPr>
              <w:t> </w:t>
            </w:r>
          </w:p>
        </w:tc>
        <w:tc>
          <w:tcPr>
            <w:tcW w:w="784" w:type="dxa"/>
            <w:tcBorders>
              <w:top w:val="nil"/>
              <w:left w:val="nil"/>
              <w:bottom w:val="nil"/>
              <w:right w:val="single" w:sz="4" w:space="0" w:color="auto"/>
            </w:tcBorders>
            <w:shd w:val="clear" w:color="auto" w:fill="auto"/>
            <w:noWrap/>
            <w:vAlign w:val="bottom"/>
            <w:hideMark/>
          </w:tcPr>
          <w:p w14:paraId="689F86D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1,04</w:t>
            </w:r>
          </w:p>
        </w:tc>
        <w:tc>
          <w:tcPr>
            <w:tcW w:w="778" w:type="dxa"/>
            <w:tcBorders>
              <w:top w:val="nil"/>
              <w:left w:val="nil"/>
              <w:bottom w:val="nil"/>
              <w:right w:val="single" w:sz="4" w:space="0" w:color="auto"/>
            </w:tcBorders>
            <w:shd w:val="clear" w:color="auto" w:fill="auto"/>
            <w:noWrap/>
            <w:vAlign w:val="bottom"/>
            <w:hideMark/>
          </w:tcPr>
          <w:p w14:paraId="4B05C75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0,64</w:t>
            </w:r>
          </w:p>
        </w:tc>
        <w:tc>
          <w:tcPr>
            <w:tcW w:w="784" w:type="dxa"/>
            <w:tcBorders>
              <w:top w:val="nil"/>
              <w:left w:val="nil"/>
              <w:bottom w:val="nil"/>
              <w:right w:val="single" w:sz="4" w:space="0" w:color="auto"/>
            </w:tcBorders>
            <w:shd w:val="clear" w:color="auto" w:fill="auto"/>
            <w:noWrap/>
            <w:vAlign w:val="bottom"/>
            <w:hideMark/>
          </w:tcPr>
          <w:p w14:paraId="37BC520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0,60</w:t>
            </w:r>
          </w:p>
        </w:tc>
        <w:tc>
          <w:tcPr>
            <w:tcW w:w="815" w:type="dxa"/>
            <w:tcBorders>
              <w:top w:val="nil"/>
              <w:left w:val="nil"/>
              <w:bottom w:val="nil"/>
              <w:right w:val="single" w:sz="4" w:space="0" w:color="auto"/>
            </w:tcBorders>
            <w:shd w:val="clear" w:color="auto" w:fill="auto"/>
            <w:noWrap/>
            <w:vAlign w:val="bottom"/>
            <w:hideMark/>
          </w:tcPr>
          <w:p w14:paraId="4EA2D99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0,91</w:t>
            </w:r>
          </w:p>
        </w:tc>
        <w:tc>
          <w:tcPr>
            <w:tcW w:w="618" w:type="dxa"/>
            <w:tcBorders>
              <w:top w:val="nil"/>
              <w:left w:val="nil"/>
              <w:bottom w:val="nil"/>
              <w:right w:val="single" w:sz="4" w:space="0" w:color="auto"/>
            </w:tcBorders>
            <w:shd w:val="clear" w:color="auto" w:fill="auto"/>
            <w:noWrap/>
            <w:vAlign w:val="bottom"/>
            <w:hideMark/>
          </w:tcPr>
          <w:p w14:paraId="5881440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1,73</w:t>
            </w:r>
          </w:p>
        </w:tc>
        <w:tc>
          <w:tcPr>
            <w:tcW w:w="515" w:type="dxa"/>
            <w:tcBorders>
              <w:top w:val="nil"/>
              <w:left w:val="nil"/>
              <w:bottom w:val="nil"/>
              <w:right w:val="single" w:sz="4" w:space="0" w:color="auto"/>
            </w:tcBorders>
            <w:shd w:val="clear" w:color="auto" w:fill="auto"/>
            <w:noWrap/>
            <w:vAlign w:val="bottom"/>
            <w:hideMark/>
          </w:tcPr>
          <w:p w14:paraId="721C7F4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1,11</w:t>
            </w:r>
          </w:p>
        </w:tc>
        <w:tc>
          <w:tcPr>
            <w:tcW w:w="545" w:type="dxa"/>
            <w:tcBorders>
              <w:top w:val="nil"/>
              <w:left w:val="nil"/>
              <w:bottom w:val="nil"/>
              <w:right w:val="single" w:sz="4" w:space="0" w:color="auto"/>
            </w:tcBorders>
            <w:shd w:val="clear" w:color="auto" w:fill="auto"/>
            <w:noWrap/>
            <w:vAlign w:val="bottom"/>
            <w:hideMark/>
          </w:tcPr>
          <w:p w14:paraId="4A4C082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1,11</w:t>
            </w:r>
          </w:p>
        </w:tc>
      </w:tr>
      <w:tr w:rsidR="001753E5" w:rsidRPr="00A1696A" w14:paraId="23B8F8CD" w14:textId="77777777" w:rsidTr="00D63B70">
        <w:trPr>
          <w:trHeight w:val="640"/>
        </w:trPr>
        <w:tc>
          <w:tcPr>
            <w:tcW w:w="398" w:type="dxa"/>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53CDCAD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ТВМЗ</w:t>
            </w:r>
          </w:p>
        </w:tc>
        <w:tc>
          <w:tcPr>
            <w:tcW w:w="730" w:type="dxa"/>
            <w:tcBorders>
              <w:top w:val="nil"/>
              <w:left w:val="nil"/>
              <w:bottom w:val="single" w:sz="4" w:space="0" w:color="auto"/>
              <w:right w:val="single" w:sz="4" w:space="0" w:color="auto"/>
            </w:tcBorders>
            <w:shd w:val="clear" w:color="000000" w:fill="FCD5B4"/>
            <w:noWrap/>
            <w:vAlign w:val="center"/>
            <w:hideMark/>
          </w:tcPr>
          <w:p w14:paraId="18EB50E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98"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168A991D" w14:textId="77777777" w:rsidR="00AA6A25" w:rsidRPr="00A1696A" w:rsidRDefault="00AA6A25" w:rsidP="006B6EBF">
            <w:pPr>
              <w:spacing w:after="0" w:line="240" w:lineRule="auto"/>
              <w:jc w:val="center"/>
              <w:rPr>
                <w:rFonts w:ascii="Times New Roman" w:eastAsia="Times New Roman" w:hAnsi="Times New Roman" w:cs="Times New Roman"/>
                <w:bCs/>
                <w:color w:val="000000"/>
                <w:sz w:val="20"/>
                <w:szCs w:val="20"/>
                <w:lang w:eastAsia="bg-BG"/>
              </w:rPr>
            </w:pPr>
            <w:r w:rsidRPr="00A1696A">
              <w:rPr>
                <w:rFonts w:ascii="Times New Roman" w:eastAsia="Times New Roman" w:hAnsi="Times New Roman" w:cs="Times New Roman"/>
                <w:bCs/>
                <w:color w:val="000000"/>
                <w:sz w:val="20"/>
                <w:szCs w:val="20"/>
                <w:lang w:eastAsia="bg-BG"/>
              </w:rPr>
              <w:t>Разкритие</w:t>
            </w:r>
          </w:p>
        </w:tc>
        <w:tc>
          <w:tcPr>
            <w:tcW w:w="665" w:type="dxa"/>
            <w:tcBorders>
              <w:top w:val="single" w:sz="4" w:space="0" w:color="auto"/>
              <w:left w:val="nil"/>
              <w:bottom w:val="single" w:sz="4" w:space="0" w:color="auto"/>
              <w:right w:val="single" w:sz="4" w:space="0" w:color="auto"/>
            </w:tcBorders>
            <w:shd w:val="clear" w:color="000000" w:fill="FCD5B4"/>
            <w:noWrap/>
            <w:vAlign w:val="center"/>
            <w:hideMark/>
          </w:tcPr>
          <w:p w14:paraId="5E20AB0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G9</w:t>
            </w:r>
          </w:p>
        </w:tc>
        <w:tc>
          <w:tcPr>
            <w:tcW w:w="629" w:type="dxa"/>
            <w:tcBorders>
              <w:top w:val="single" w:sz="4" w:space="0" w:color="auto"/>
              <w:left w:val="nil"/>
              <w:bottom w:val="single" w:sz="4" w:space="0" w:color="auto"/>
              <w:right w:val="single" w:sz="4" w:space="0" w:color="auto"/>
            </w:tcBorders>
            <w:shd w:val="clear" w:color="000000" w:fill="FCD5B4"/>
            <w:noWrap/>
            <w:vAlign w:val="center"/>
            <w:hideMark/>
          </w:tcPr>
          <w:p w14:paraId="264EF06F"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RE21</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14:paraId="3D6A9C9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1,96</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14:paraId="3E05B3D4" w14:textId="2C789271" w:rsidR="00AA6A25" w:rsidRPr="00A1696A" w:rsidRDefault="001753E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11,0</w:t>
            </w:r>
            <w:r w:rsidR="00AA6A25" w:rsidRPr="00A1696A">
              <w:rPr>
                <w:rFonts w:ascii="Times New Roman" w:eastAsia="Times New Roman" w:hAnsi="Times New Roman" w:cs="Times New Roman"/>
                <w:color w:val="000000"/>
                <w:sz w:val="20"/>
                <w:szCs w:val="20"/>
                <w:lang w:eastAsia="bg-BG"/>
              </w:rPr>
              <w:t> </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7BD0B297" w14:textId="1672F51E" w:rsidR="00AA6A25" w:rsidRPr="00A1696A" w:rsidRDefault="001753E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35,6</w:t>
            </w:r>
            <w:r w:rsidR="00AA6A25" w:rsidRPr="00A1696A">
              <w:rPr>
                <w:rFonts w:ascii="Times New Roman" w:eastAsia="Times New Roman" w:hAnsi="Times New Roman" w:cs="Times New Roman"/>
                <w:color w:val="000000"/>
                <w:sz w:val="20"/>
                <w:szCs w:val="20"/>
                <w:lang w:eastAsia="bg-BG"/>
              </w:rPr>
              <w:t> </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14:paraId="10603E40" w14:textId="7E922C40" w:rsidR="00AA6A25" w:rsidRPr="00A1696A" w:rsidRDefault="001753E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53,4</w:t>
            </w:r>
            <w:r w:rsidR="00AA6A25" w:rsidRPr="00A1696A">
              <w:rPr>
                <w:rFonts w:ascii="Times New Roman" w:eastAsia="Times New Roman" w:hAnsi="Times New Roman" w:cs="Times New Roman"/>
                <w:color w:val="000000"/>
                <w:sz w:val="20"/>
                <w:szCs w:val="20"/>
                <w:lang w:eastAsia="bg-BG"/>
              </w:rPr>
              <w:t> </w:t>
            </w:r>
          </w:p>
        </w:tc>
        <w:tc>
          <w:tcPr>
            <w:tcW w:w="784" w:type="dxa"/>
            <w:tcBorders>
              <w:top w:val="single" w:sz="4" w:space="0" w:color="auto"/>
              <w:left w:val="nil"/>
              <w:bottom w:val="single" w:sz="4" w:space="0" w:color="auto"/>
              <w:right w:val="single" w:sz="4" w:space="0" w:color="auto"/>
            </w:tcBorders>
            <w:shd w:val="clear" w:color="auto" w:fill="auto"/>
            <w:noWrap/>
            <w:vAlign w:val="bottom"/>
            <w:hideMark/>
          </w:tcPr>
          <w:p w14:paraId="5740C63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0,97</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14:paraId="6B01D35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0,60</w:t>
            </w:r>
          </w:p>
        </w:tc>
        <w:tc>
          <w:tcPr>
            <w:tcW w:w="784" w:type="dxa"/>
            <w:tcBorders>
              <w:top w:val="single" w:sz="4" w:space="0" w:color="auto"/>
              <w:left w:val="nil"/>
              <w:bottom w:val="single" w:sz="4" w:space="0" w:color="auto"/>
              <w:right w:val="single" w:sz="4" w:space="0" w:color="auto"/>
            </w:tcBorders>
            <w:shd w:val="clear" w:color="auto" w:fill="auto"/>
            <w:noWrap/>
            <w:vAlign w:val="bottom"/>
            <w:hideMark/>
          </w:tcPr>
          <w:p w14:paraId="4015D83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0,70</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14:paraId="2114C2E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0,72</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14:paraId="3486A4C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1,39</w:t>
            </w:r>
          </w:p>
        </w:tc>
        <w:tc>
          <w:tcPr>
            <w:tcW w:w="515" w:type="dxa"/>
            <w:tcBorders>
              <w:top w:val="single" w:sz="4" w:space="0" w:color="auto"/>
              <w:left w:val="nil"/>
              <w:bottom w:val="single" w:sz="4" w:space="0" w:color="auto"/>
              <w:right w:val="single" w:sz="4" w:space="0" w:color="auto"/>
            </w:tcBorders>
            <w:shd w:val="clear" w:color="auto" w:fill="auto"/>
            <w:noWrap/>
            <w:vAlign w:val="bottom"/>
            <w:hideMark/>
          </w:tcPr>
          <w:p w14:paraId="2C6B9C3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1,13</w:t>
            </w:r>
          </w:p>
        </w:tc>
        <w:tc>
          <w:tcPr>
            <w:tcW w:w="545" w:type="dxa"/>
            <w:tcBorders>
              <w:top w:val="single" w:sz="4" w:space="0" w:color="auto"/>
              <w:left w:val="nil"/>
              <w:bottom w:val="single" w:sz="4" w:space="0" w:color="auto"/>
              <w:right w:val="single" w:sz="4" w:space="0" w:color="auto"/>
            </w:tcBorders>
            <w:shd w:val="clear" w:color="auto" w:fill="auto"/>
            <w:noWrap/>
            <w:vAlign w:val="bottom"/>
            <w:hideMark/>
          </w:tcPr>
          <w:p w14:paraId="3753C4F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1,10</w:t>
            </w:r>
          </w:p>
        </w:tc>
      </w:tr>
      <w:tr w:rsidR="001753E5" w:rsidRPr="00A1696A" w14:paraId="49352CC0" w14:textId="77777777" w:rsidTr="00D63B70">
        <w:trPr>
          <w:trHeight w:val="254"/>
        </w:trPr>
        <w:tc>
          <w:tcPr>
            <w:tcW w:w="398" w:type="dxa"/>
            <w:vMerge w:val="restart"/>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0A2D909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730" w:type="dxa"/>
            <w:tcBorders>
              <w:top w:val="nil"/>
              <w:left w:val="nil"/>
              <w:bottom w:val="single" w:sz="4" w:space="0" w:color="auto"/>
              <w:right w:val="single" w:sz="4" w:space="0" w:color="auto"/>
            </w:tcBorders>
            <w:shd w:val="clear" w:color="000000" w:fill="FCD5B4"/>
            <w:noWrap/>
            <w:vAlign w:val="center"/>
            <w:hideMark/>
          </w:tcPr>
          <w:p w14:paraId="11119D1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98" w:type="dxa"/>
            <w:vMerge/>
            <w:tcBorders>
              <w:top w:val="single" w:sz="4" w:space="0" w:color="auto"/>
              <w:left w:val="single" w:sz="4" w:space="0" w:color="auto"/>
              <w:bottom w:val="single" w:sz="4" w:space="0" w:color="auto"/>
              <w:right w:val="single" w:sz="4" w:space="0" w:color="auto"/>
            </w:tcBorders>
            <w:vAlign w:val="center"/>
            <w:hideMark/>
          </w:tcPr>
          <w:p w14:paraId="6BC47530"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6AD0999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G11</w:t>
            </w:r>
          </w:p>
        </w:tc>
        <w:tc>
          <w:tcPr>
            <w:tcW w:w="629" w:type="dxa"/>
            <w:tcBorders>
              <w:top w:val="nil"/>
              <w:left w:val="nil"/>
              <w:bottom w:val="single" w:sz="4" w:space="0" w:color="auto"/>
              <w:right w:val="single" w:sz="4" w:space="0" w:color="auto"/>
            </w:tcBorders>
            <w:shd w:val="clear" w:color="000000" w:fill="FCD5B4"/>
            <w:noWrap/>
            <w:vAlign w:val="center"/>
            <w:hideMark/>
          </w:tcPr>
          <w:p w14:paraId="5FA1FA85"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RE26</w:t>
            </w:r>
          </w:p>
        </w:tc>
        <w:tc>
          <w:tcPr>
            <w:tcW w:w="1098" w:type="dxa"/>
            <w:tcBorders>
              <w:top w:val="nil"/>
              <w:left w:val="nil"/>
              <w:bottom w:val="single" w:sz="4" w:space="0" w:color="auto"/>
              <w:right w:val="single" w:sz="4" w:space="0" w:color="auto"/>
            </w:tcBorders>
            <w:shd w:val="clear" w:color="auto" w:fill="auto"/>
            <w:noWrap/>
            <w:vAlign w:val="bottom"/>
            <w:hideMark/>
          </w:tcPr>
          <w:p w14:paraId="64149C1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2,35</w:t>
            </w:r>
          </w:p>
        </w:tc>
        <w:tc>
          <w:tcPr>
            <w:tcW w:w="627" w:type="dxa"/>
            <w:tcBorders>
              <w:top w:val="nil"/>
              <w:left w:val="nil"/>
              <w:bottom w:val="single" w:sz="4" w:space="0" w:color="auto"/>
              <w:right w:val="single" w:sz="4" w:space="0" w:color="auto"/>
            </w:tcBorders>
            <w:shd w:val="clear" w:color="auto" w:fill="auto"/>
            <w:noWrap/>
            <w:vAlign w:val="bottom"/>
            <w:hideMark/>
          </w:tcPr>
          <w:p w14:paraId="05B57ED8" w14:textId="34496479"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r w:rsidR="001753E5" w:rsidRPr="00A1696A">
              <w:rPr>
                <w:rFonts w:ascii="Times New Roman" w:eastAsia="Times New Roman" w:hAnsi="Times New Roman" w:cs="Times New Roman"/>
                <w:color w:val="000000"/>
                <w:sz w:val="20"/>
                <w:szCs w:val="20"/>
                <w:lang w:eastAsia="bg-BG"/>
              </w:rPr>
              <w:t>10,0</w:t>
            </w:r>
          </w:p>
        </w:tc>
        <w:tc>
          <w:tcPr>
            <w:tcW w:w="804" w:type="dxa"/>
            <w:tcBorders>
              <w:top w:val="nil"/>
              <w:left w:val="nil"/>
              <w:bottom w:val="single" w:sz="4" w:space="0" w:color="auto"/>
              <w:right w:val="single" w:sz="4" w:space="0" w:color="auto"/>
            </w:tcBorders>
            <w:shd w:val="clear" w:color="auto" w:fill="auto"/>
            <w:noWrap/>
            <w:vAlign w:val="bottom"/>
            <w:hideMark/>
          </w:tcPr>
          <w:p w14:paraId="1ECFDF71" w14:textId="1832459C"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r w:rsidR="001753E5" w:rsidRPr="00A1696A">
              <w:rPr>
                <w:rFonts w:ascii="Times New Roman" w:eastAsia="Times New Roman" w:hAnsi="Times New Roman" w:cs="Times New Roman"/>
                <w:color w:val="000000"/>
                <w:sz w:val="20"/>
                <w:szCs w:val="20"/>
                <w:lang w:eastAsia="bg-BG"/>
              </w:rPr>
              <w:t>31,3</w:t>
            </w:r>
          </w:p>
        </w:tc>
        <w:tc>
          <w:tcPr>
            <w:tcW w:w="671" w:type="dxa"/>
            <w:tcBorders>
              <w:top w:val="nil"/>
              <w:left w:val="nil"/>
              <w:bottom w:val="single" w:sz="4" w:space="0" w:color="auto"/>
              <w:right w:val="single" w:sz="4" w:space="0" w:color="auto"/>
            </w:tcBorders>
            <w:shd w:val="clear" w:color="auto" w:fill="auto"/>
            <w:noWrap/>
            <w:vAlign w:val="bottom"/>
            <w:hideMark/>
          </w:tcPr>
          <w:p w14:paraId="27BBA3A8" w14:textId="307B16E5" w:rsidR="00AA6A25" w:rsidRPr="00A1696A" w:rsidRDefault="001753E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58,7</w:t>
            </w:r>
            <w:r w:rsidR="00AA6A25" w:rsidRPr="00A1696A">
              <w:rPr>
                <w:rFonts w:ascii="Times New Roman" w:eastAsia="Times New Roman" w:hAnsi="Times New Roman" w:cs="Times New Roman"/>
                <w:color w:val="000000"/>
                <w:sz w:val="20"/>
                <w:szCs w:val="20"/>
                <w:lang w:eastAsia="bg-BG"/>
              </w:rPr>
              <w:t> </w:t>
            </w:r>
          </w:p>
        </w:tc>
        <w:tc>
          <w:tcPr>
            <w:tcW w:w="784" w:type="dxa"/>
            <w:tcBorders>
              <w:top w:val="nil"/>
              <w:left w:val="nil"/>
              <w:bottom w:val="single" w:sz="4" w:space="0" w:color="auto"/>
              <w:right w:val="single" w:sz="4" w:space="0" w:color="auto"/>
            </w:tcBorders>
            <w:shd w:val="clear" w:color="auto" w:fill="auto"/>
            <w:noWrap/>
            <w:vAlign w:val="bottom"/>
            <w:hideMark/>
          </w:tcPr>
          <w:p w14:paraId="648220F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0,74</w:t>
            </w:r>
          </w:p>
        </w:tc>
        <w:tc>
          <w:tcPr>
            <w:tcW w:w="778" w:type="dxa"/>
            <w:tcBorders>
              <w:top w:val="nil"/>
              <w:left w:val="nil"/>
              <w:bottom w:val="single" w:sz="4" w:space="0" w:color="auto"/>
              <w:right w:val="single" w:sz="4" w:space="0" w:color="auto"/>
            </w:tcBorders>
            <w:shd w:val="clear" w:color="auto" w:fill="auto"/>
            <w:noWrap/>
            <w:vAlign w:val="bottom"/>
            <w:hideMark/>
          </w:tcPr>
          <w:p w14:paraId="6F36D79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0,78</w:t>
            </w:r>
          </w:p>
        </w:tc>
        <w:tc>
          <w:tcPr>
            <w:tcW w:w="784" w:type="dxa"/>
            <w:tcBorders>
              <w:top w:val="nil"/>
              <w:left w:val="nil"/>
              <w:bottom w:val="single" w:sz="4" w:space="0" w:color="auto"/>
              <w:right w:val="single" w:sz="4" w:space="0" w:color="auto"/>
            </w:tcBorders>
            <w:shd w:val="clear" w:color="auto" w:fill="auto"/>
            <w:noWrap/>
            <w:vAlign w:val="bottom"/>
            <w:hideMark/>
          </w:tcPr>
          <w:p w14:paraId="25FA1A2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0,40</w:t>
            </w:r>
          </w:p>
        </w:tc>
        <w:tc>
          <w:tcPr>
            <w:tcW w:w="815" w:type="dxa"/>
            <w:tcBorders>
              <w:top w:val="nil"/>
              <w:left w:val="nil"/>
              <w:bottom w:val="single" w:sz="4" w:space="0" w:color="auto"/>
              <w:right w:val="single" w:sz="4" w:space="0" w:color="auto"/>
            </w:tcBorders>
            <w:shd w:val="clear" w:color="auto" w:fill="auto"/>
            <w:noWrap/>
            <w:vAlign w:val="bottom"/>
            <w:hideMark/>
          </w:tcPr>
          <w:p w14:paraId="06CABAC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1,10</w:t>
            </w:r>
          </w:p>
        </w:tc>
        <w:tc>
          <w:tcPr>
            <w:tcW w:w="618" w:type="dxa"/>
            <w:tcBorders>
              <w:top w:val="nil"/>
              <w:left w:val="nil"/>
              <w:bottom w:val="single" w:sz="4" w:space="0" w:color="auto"/>
              <w:right w:val="single" w:sz="4" w:space="0" w:color="auto"/>
            </w:tcBorders>
            <w:shd w:val="clear" w:color="auto" w:fill="auto"/>
            <w:noWrap/>
            <w:vAlign w:val="bottom"/>
            <w:hideMark/>
          </w:tcPr>
          <w:p w14:paraId="2A6BAE3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1,85</w:t>
            </w:r>
          </w:p>
        </w:tc>
        <w:tc>
          <w:tcPr>
            <w:tcW w:w="515" w:type="dxa"/>
            <w:tcBorders>
              <w:top w:val="nil"/>
              <w:left w:val="nil"/>
              <w:bottom w:val="single" w:sz="4" w:space="0" w:color="auto"/>
              <w:right w:val="single" w:sz="4" w:space="0" w:color="auto"/>
            </w:tcBorders>
            <w:shd w:val="clear" w:color="auto" w:fill="auto"/>
            <w:noWrap/>
            <w:vAlign w:val="bottom"/>
            <w:hideMark/>
          </w:tcPr>
          <w:p w14:paraId="0006887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1,43</w:t>
            </w:r>
          </w:p>
        </w:tc>
        <w:tc>
          <w:tcPr>
            <w:tcW w:w="545" w:type="dxa"/>
            <w:tcBorders>
              <w:top w:val="nil"/>
              <w:left w:val="nil"/>
              <w:bottom w:val="single" w:sz="4" w:space="0" w:color="auto"/>
              <w:right w:val="single" w:sz="4" w:space="0" w:color="auto"/>
            </w:tcBorders>
            <w:shd w:val="clear" w:color="auto" w:fill="auto"/>
            <w:noWrap/>
            <w:vAlign w:val="bottom"/>
            <w:hideMark/>
          </w:tcPr>
          <w:p w14:paraId="15ADD79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1,35</w:t>
            </w:r>
          </w:p>
        </w:tc>
      </w:tr>
      <w:tr w:rsidR="001753E5" w:rsidRPr="00A1696A" w14:paraId="7B248932" w14:textId="77777777" w:rsidTr="00D63B70">
        <w:trPr>
          <w:trHeight w:val="257"/>
        </w:trPr>
        <w:tc>
          <w:tcPr>
            <w:tcW w:w="398" w:type="dxa"/>
            <w:vMerge/>
            <w:tcBorders>
              <w:top w:val="nil"/>
              <w:left w:val="single" w:sz="4" w:space="0" w:color="auto"/>
              <w:bottom w:val="single" w:sz="4" w:space="0" w:color="auto"/>
              <w:right w:val="single" w:sz="4" w:space="0" w:color="auto"/>
            </w:tcBorders>
            <w:vAlign w:val="center"/>
            <w:hideMark/>
          </w:tcPr>
          <w:p w14:paraId="1802A846"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p>
        </w:tc>
        <w:tc>
          <w:tcPr>
            <w:tcW w:w="730" w:type="dxa"/>
            <w:tcBorders>
              <w:top w:val="nil"/>
              <w:left w:val="nil"/>
              <w:bottom w:val="nil"/>
              <w:right w:val="single" w:sz="4" w:space="0" w:color="auto"/>
            </w:tcBorders>
            <w:shd w:val="clear" w:color="000000" w:fill="FCD5B4"/>
            <w:noWrap/>
            <w:vAlign w:val="center"/>
            <w:hideMark/>
          </w:tcPr>
          <w:p w14:paraId="38FE439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98" w:type="dxa"/>
            <w:vMerge/>
            <w:tcBorders>
              <w:top w:val="single" w:sz="4" w:space="0" w:color="auto"/>
              <w:left w:val="single" w:sz="4" w:space="0" w:color="auto"/>
              <w:bottom w:val="single" w:sz="4" w:space="0" w:color="auto"/>
              <w:right w:val="single" w:sz="4" w:space="0" w:color="auto"/>
            </w:tcBorders>
            <w:vAlign w:val="center"/>
            <w:hideMark/>
          </w:tcPr>
          <w:p w14:paraId="0D74FB77"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nil"/>
              <w:right w:val="single" w:sz="4" w:space="0" w:color="auto"/>
            </w:tcBorders>
            <w:shd w:val="clear" w:color="000000" w:fill="FCD5B4"/>
            <w:noWrap/>
            <w:vAlign w:val="center"/>
            <w:hideMark/>
          </w:tcPr>
          <w:p w14:paraId="5BDFA965"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G12</w:t>
            </w:r>
          </w:p>
        </w:tc>
        <w:tc>
          <w:tcPr>
            <w:tcW w:w="629" w:type="dxa"/>
            <w:tcBorders>
              <w:top w:val="nil"/>
              <w:left w:val="nil"/>
              <w:bottom w:val="nil"/>
              <w:right w:val="single" w:sz="4" w:space="0" w:color="auto"/>
            </w:tcBorders>
            <w:shd w:val="clear" w:color="000000" w:fill="FCD5B4"/>
            <w:noWrap/>
            <w:vAlign w:val="center"/>
            <w:hideMark/>
          </w:tcPr>
          <w:p w14:paraId="2E726521"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RE27</w:t>
            </w:r>
          </w:p>
        </w:tc>
        <w:tc>
          <w:tcPr>
            <w:tcW w:w="1098" w:type="dxa"/>
            <w:tcBorders>
              <w:top w:val="nil"/>
              <w:left w:val="nil"/>
              <w:bottom w:val="nil"/>
              <w:right w:val="single" w:sz="4" w:space="0" w:color="auto"/>
            </w:tcBorders>
            <w:shd w:val="clear" w:color="auto" w:fill="auto"/>
            <w:noWrap/>
            <w:vAlign w:val="bottom"/>
            <w:hideMark/>
          </w:tcPr>
          <w:p w14:paraId="759E69D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3,53</w:t>
            </w:r>
          </w:p>
        </w:tc>
        <w:tc>
          <w:tcPr>
            <w:tcW w:w="627" w:type="dxa"/>
            <w:tcBorders>
              <w:top w:val="nil"/>
              <w:left w:val="nil"/>
              <w:bottom w:val="nil"/>
              <w:right w:val="single" w:sz="4" w:space="0" w:color="auto"/>
            </w:tcBorders>
            <w:shd w:val="clear" w:color="auto" w:fill="auto"/>
            <w:noWrap/>
            <w:vAlign w:val="bottom"/>
            <w:hideMark/>
          </w:tcPr>
          <w:p w14:paraId="5950636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9,50</w:t>
            </w:r>
          </w:p>
        </w:tc>
        <w:tc>
          <w:tcPr>
            <w:tcW w:w="804" w:type="dxa"/>
            <w:tcBorders>
              <w:top w:val="nil"/>
              <w:left w:val="nil"/>
              <w:bottom w:val="nil"/>
              <w:right w:val="single" w:sz="4" w:space="0" w:color="auto"/>
            </w:tcBorders>
            <w:shd w:val="clear" w:color="auto" w:fill="auto"/>
            <w:noWrap/>
            <w:vAlign w:val="bottom"/>
            <w:hideMark/>
          </w:tcPr>
          <w:p w14:paraId="7C026D1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26,90</w:t>
            </w:r>
          </w:p>
        </w:tc>
        <w:tc>
          <w:tcPr>
            <w:tcW w:w="671" w:type="dxa"/>
            <w:tcBorders>
              <w:top w:val="nil"/>
              <w:left w:val="nil"/>
              <w:bottom w:val="nil"/>
              <w:right w:val="single" w:sz="4" w:space="0" w:color="auto"/>
            </w:tcBorders>
            <w:shd w:val="clear" w:color="auto" w:fill="auto"/>
            <w:noWrap/>
            <w:vAlign w:val="bottom"/>
            <w:hideMark/>
          </w:tcPr>
          <w:p w14:paraId="041EE85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63,60</w:t>
            </w:r>
          </w:p>
        </w:tc>
        <w:tc>
          <w:tcPr>
            <w:tcW w:w="784" w:type="dxa"/>
            <w:tcBorders>
              <w:top w:val="nil"/>
              <w:left w:val="nil"/>
              <w:bottom w:val="nil"/>
              <w:right w:val="single" w:sz="4" w:space="0" w:color="auto"/>
            </w:tcBorders>
            <w:shd w:val="clear" w:color="auto" w:fill="auto"/>
            <w:noWrap/>
            <w:vAlign w:val="bottom"/>
            <w:hideMark/>
          </w:tcPr>
          <w:p w14:paraId="30C3155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2,79</w:t>
            </w:r>
          </w:p>
        </w:tc>
        <w:tc>
          <w:tcPr>
            <w:tcW w:w="778" w:type="dxa"/>
            <w:tcBorders>
              <w:top w:val="nil"/>
              <w:left w:val="nil"/>
              <w:bottom w:val="nil"/>
              <w:right w:val="single" w:sz="4" w:space="0" w:color="auto"/>
            </w:tcBorders>
            <w:shd w:val="clear" w:color="auto" w:fill="auto"/>
            <w:noWrap/>
            <w:vAlign w:val="bottom"/>
            <w:hideMark/>
          </w:tcPr>
          <w:p w14:paraId="4715662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1,80</w:t>
            </w:r>
          </w:p>
        </w:tc>
        <w:tc>
          <w:tcPr>
            <w:tcW w:w="784" w:type="dxa"/>
            <w:tcBorders>
              <w:top w:val="nil"/>
              <w:left w:val="nil"/>
              <w:bottom w:val="nil"/>
              <w:right w:val="single" w:sz="4" w:space="0" w:color="auto"/>
            </w:tcBorders>
            <w:shd w:val="clear" w:color="auto" w:fill="auto"/>
            <w:noWrap/>
            <w:vAlign w:val="bottom"/>
            <w:hideMark/>
          </w:tcPr>
          <w:p w14:paraId="1AFC693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7,11</w:t>
            </w:r>
          </w:p>
        </w:tc>
        <w:tc>
          <w:tcPr>
            <w:tcW w:w="815" w:type="dxa"/>
            <w:tcBorders>
              <w:top w:val="nil"/>
              <w:left w:val="nil"/>
              <w:bottom w:val="nil"/>
              <w:right w:val="single" w:sz="4" w:space="0" w:color="auto"/>
            </w:tcBorders>
            <w:shd w:val="clear" w:color="auto" w:fill="auto"/>
            <w:noWrap/>
            <w:vAlign w:val="bottom"/>
            <w:hideMark/>
          </w:tcPr>
          <w:p w14:paraId="605E342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3,60</w:t>
            </w:r>
          </w:p>
        </w:tc>
        <w:tc>
          <w:tcPr>
            <w:tcW w:w="618" w:type="dxa"/>
            <w:tcBorders>
              <w:top w:val="nil"/>
              <w:left w:val="nil"/>
              <w:bottom w:val="nil"/>
              <w:right w:val="single" w:sz="4" w:space="0" w:color="auto"/>
            </w:tcBorders>
            <w:shd w:val="clear" w:color="auto" w:fill="auto"/>
            <w:noWrap/>
            <w:vAlign w:val="bottom"/>
            <w:hideMark/>
          </w:tcPr>
          <w:p w14:paraId="1903CB0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0,39</w:t>
            </w:r>
          </w:p>
        </w:tc>
        <w:tc>
          <w:tcPr>
            <w:tcW w:w="515" w:type="dxa"/>
            <w:tcBorders>
              <w:top w:val="nil"/>
              <w:left w:val="nil"/>
              <w:bottom w:val="nil"/>
              <w:right w:val="single" w:sz="4" w:space="0" w:color="auto"/>
            </w:tcBorders>
            <w:shd w:val="clear" w:color="auto" w:fill="auto"/>
            <w:noWrap/>
            <w:vAlign w:val="bottom"/>
            <w:hideMark/>
          </w:tcPr>
          <w:p w14:paraId="4191C0D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1,43</w:t>
            </w:r>
          </w:p>
        </w:tc>
        <w:tc>
          <w:tcPr>
            <w:tcW w:w="545" w:type="dxa"/>
            <w:tcBorders>
              <w:top w:val="nil"/>
              <w:left w:val="nil"/>
              <w:bottom w:val="nil"/>
              <w:right w:val="single" w:sz="4" w:space="0" w:color="auto"/>
            </w:tcBorders>
            <w:shd w:val="clear" w:color="auto" w:fill="auto"/>
            <w:noWrap/>
            <w:vAlign w:val="bottom"/>
            <w:hideMark/>
          </w:tcPr>
          <w:p w14:paraId="0F9FA90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1,37</w:t>
            </w:r>
          </w:p>
        </w:tc>
      </w:tr>
      <w:tr w:rsidR="00AA6A25" w:rsidRPr="00A1696A" w14:paraId="5A0456B1" w14:textId="77777777" w:rsidTr="00D63B70">
        <w:trPr>
          <w:trHeight w:val="298"/>
        </w:trPr>
        <w:tc>
          <w:tcPr>
            <w:tcW w:w="10867" w:type="dxa"/>
            <w:gridSpan w:val="16"/>
            <w:tcBorders>
              <w:top w:val="single" w:sz="4" w:space="0" w:color="auto"/>
              <w:left w:val="single" w:sz="4" w:space="0" w:color="auto"/>
              <w:bottom w:val="single" w:sz="4" w:space="0" w:color="auto"/>
              <w:right w:val="single" w:sz="4" w:space="0" w:color="000000"/>
            </w:tcBorders>
            <w:shd w:val="clear" w:color="000000" w:fill="FCD5B4"/>
            <w:noWrap/>
            <w:vAlign w:val="bottom"/>
            <w:hideMark/>
          </w:tcPr>
          <w:p w14:paraId="43B0359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"свързан" битумоид</w:t>
            </w:r>
          </w:p>
        </w:tc>
      </w:tr>
      <w:tr w:rsidR="001753E5" w:rsidRPr="00A1696A" w14:paraId="30C12083" w14:textId="77777777" w:rsidTr="00D63B70">
        <w:trPr>
          <w:trHeight w:val="250"/>
        </w:trPr>
        <w:tc>
          <w:tcPr>
            <w:tcW w:w="398" w:type="dxa"/>
            <w:vMerge w:val="restart"/>
            <w:tcBorders>
              <w:top w:val="nil"/>
              <w:left w:val="single" w:sz="4" w:space="0" w:color="auto"/>
              <w:bottom w:val="nil"/>
              <w:right w:val="single" w:sz="4" w:space="0" w:color="auto"/>
            </w:tcBorders>
            <w:shd w:val="clear" w:color="000000" w:fill="FCD5B4"/>
            <w:noWrap/>
            <w:textDirection w:val="btLr"/>
            <w:vAlign w:val="center"/>
            <w:hideMark/>
          </w:tcPr>
          <w:p w14:paraId="737E9BA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730" w:type="dxa"/>
            <w:tcBorders>
              <w:top w:val="nil"/>
              <w:left w:val="nil"/>
              <w:bottom w:val="single" w:sz="4" w:space="0" w:color="auto"/>
              <w:right w:val="single" w:sz="4" w:space="0" w:color="auto"/>
            </w:tcBorders>
            <w:shd w:val="clear" w:color="000000" w:fill="FCD5B4"/>
            <w:noWrap/>
            <w:vAlign w:val="center"/>
            <w:hideMark/>
          </w:tcPr>
          <w:p w14:paraId="5B26C10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266,5</w:t>
            </w:r>
          </w:p>
        </w:tc>
        <w:tc>
          <w:tcPr>
            <w:tcW w:w="398" w:type="dxa"/>
            <w:vMerge w:val="restart"/>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78C7A4D2" w14:textId="77777777" w:rsidR="00AA6A25" w:rsidRPr="00A1696A" w:rsidRDefault="00AA6A25" w:rsidP="006B6EBF">
            <w:pPr>
              <w:spacing w:after="0" w:line="240" w:lineRule="auto"/>
              <w:jc w:val="center"/>
              <w:rPr>
                <w:rFonts w:ascii="Times New Roman" w:eastAsia="Times New Roman" w:hAnsi="Times New Roman" w:cs="Times New Roman"/>
                <w:bCs/>
                <w:color w:val="000000"/>
                <w:sz w:val="20"/>
                <w:szCs w:val="20"/>
                <w:lang w:eastAsia="bg-BG"/>
              </w:rPr>
            </w:pPr>
            <w:r w:rsidRPr="00A1696A">
              <w:rPr>
                <w:rFonts w:ascii="Times New Roman" w:eastAsia="Times New Roman" w:hAnsi="Times New Roman" w:cs="Times New Roman"/>
                <w:bCs/>
                <w:color w:val="000000"/>
                <w:sz w:val="20"/>
                <w:szCs w:val="20"/>
                <w:lang w:eastAsia="bg-BG"/>
              </w:rPr>
              <w:t>Ядка</w:t>
            </w:r>
          </w:p>
        </w:tc>
        <w:tc>
          <w:tcPr>
            <w:tcW w:w="665" w:type="dxa"/>
            <w:tcBorders>
              <w:top w:val="nil"/>
              <w:left w:val="nil"/>
              <w:bottom w:val="single" w:sz="4" w:space="0" w:color="auto"/>
              <w:right w:val="single" w:sz="4" w:space="0" w:color="auto"/>
            </w:tcBorders>
            <w:shd w:val="clear" w:color="000000" w:fill="FCD5B4"/>
            <w:noWrap/>
            <w:vAlign w:val="center"/>
            <w:hideMark/>
          </w:tcPr>
          <w:p w14:paraId="1E0AFB7C"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GA1</w:t>
            </w:r>
          </w:p>
        </w:tc>
        <w:tc>
          <w:tcPr>
            <w:tcW w:w="629" w:type="dxa"/>
            <w:tcBorders>
              <w:top w:val="nil"/>
              <w:left w:val="nil"/>
              <w:bottom w:val="single" w:sz="4" w:space="0" w:color="auto"/>
              <w:right w:val="single" w:sz="4" w:space="0" w:color="auto"/>
            </w:tcBorders>
            <w:shd w:val="clear" w:color="000000" w:fill="FCD5B4"/>
            <w:noWrap/>
            <w:vAlign w:val="center"/>
            <w:hideMark/>
          </w:tcPr>
          <w:p w14:paraId="265E8CCE"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w:t>
            </w:r>
          </w:p>
        </w:tc>
        <w:tc>
          <w:tcPr>
            <w:tcW w:w="1098" w:type="dxa"/>
            <w:tcBorders>
              <w:top w:val="nil"/>
              <w:left w:val="nil"/>
              <w:bottom w:val="single" w:sz="4" w:space="0" w:color="auto"/>
              <w:right w:val="single" w:sz="4" w:space="0" w:color="auto"/>
            </w:tcBorders>
            <w:shd w:val="clear" w:color="auto" w:fill="auto"/>
            <w:noWrap/>
            <w:vAlign w:val="bottom"/>
            <w:hideMark/>
          </w:tcPr>
          <w:p w14:paraId="144C7CA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2,36</w:t>
            </w:r>
          </w:p>
        </w:tc>
        <w:tc>
          <w:tcPr>
            <w:tcW w:w="627" w:type="dxa"/>
            <w:tcBorders>
              <w:top w:val="nil"/>
              <w:left w:val="nil"/>
              <w:bottom w:val="single" w:sz="4" w:space="0" w:color="auto"/>
              <w:right w:val="single" w:sz="4" w:space="0" w:color="auto"/>
            </w:tcBorders>
            <w:shd w:val="clear" w:color="auto" w:fill="auto"/>
            <w:noWrap/>
            <w:vAlign w:val="bottom"/>
            <w:hideMark/>
          </w:tcPr>
          <w:p w14:paraId="5555CC0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12,60</w:t>
            </w:r>
          </w:p>
        </w:tc>
        <w:tc>
          <w:tcPr>
            <w:tcW w:w="804" w:type="dxa"/>
            <w:tcBorders>
              <w:top w:val="nil"/>
              <w:left w:val="nil"/>
              <w:bottom w:val="single" w:sz="4" w:space="0" w:color="auto"/>
              <w:right w:val="single" w:sz="4" w:space="0" w:color="auto"/>
            </w:tcBorders>
            <w:shd w:val="clear" w:color="auto" w:fill="auto"/>
            <w:noWrap/>
            <w:vAlign w:val="bottom"/>
            <w:hideMark/>
          </w:tcPr>
          <w:p w14:paraId="57813AC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41,20</w:t>
            </w:r>
          </w:p>
        </w:tc>
        <w:tc>
          <w:tcPr>
            <w:tcW w:w="671" w:type="dxa"/>
            <w:tcBorders>
              <w:top w:val="nil"/>
              <w:left w:val="nil"/>
              <w:bottom w:val="single" w:sz="4" w:space="0" w:color="auto"/>
              <w:right w:val="single" w:sz="4" w:space="0" w:color="auto"/>
            </w:tcBorders>
            <w:shd w:val="clear" w:color="auto" w:fill="auto"/>
            <w:noWrap/>
            <w:vAlign w:val="bottom"/>
            <w:hideMark/>
          </w:tcPr>
          <w:p w14:paraId="13B9B9E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46,20</w:t>
            </w:r>
          </w:p>
        </w:tc>
        <w:tc>
          <w:tcPr>
            <w:tcW w:w="784" w:type="dxa"/>
            <w:tcBorders>
              <w:top w:val="nil"/>
              <w:left w:val="nil"/>
              <w:bottom w:val="single" w:sz="4" w:space="0" w:color="auto"/>
              <w:right w:val="single" w:sz="4" w:space="0" w:color="auto"/>
            </w:tcBorders>
            <w:shd w:val="clear" w:color="auto" w:fill="auto"/>
            <w:noWrap/>
            <w:vAlign w:val="bottom"/>
            <w:hideMark/>
          </w:tcPr>
          <w:p w14:paraId="571D3D7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0,85</w:t>
            </w:r>
          </w:p>
        </w:tc>
        <w:tc>
          <w:tcPr>
            <w:tcW w:w="778" w:type="dxa"/>
            <w:tcBorders>
              <w:top w:val="nil"/>
              <w:left w:val="nil"/>
              <w:bottom w:val="single" w:sz="4" w:space="0" w:color="auto"/>
              <w:right w:val="single" w:sz="4" w:space="0" w:color="auto"/>
            </w:tcBorders>
            <w:shd w:val="clear" w:color="auto" w:fill="auto"/>
            <w:noWrap/>
            <w:vAlign w:val="bottom"/>
            <w:hideMark/>
          </w:tcPr>
          <w:p w14:paraId="17CCC03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0,72</w:t>
            </w:r>
          </w:p>
        </w:tc>
        <w:tc>
          <w:tcPr>
            <w:tcW w:w="784" w:type="dxa"/>
            <w:tcBorders>
              <w:top w:val="nil"/>
              <w:left w:val="nil"/>
              <w:bottom w:val="single" w:sz="4" w:space="0" w:color="auto"/>
              <w:right w:val="single" w:sz="4" w:space="0" w:color="auto"/>
            </w:tcBorders>
            <w:shd w:val="clear" w:color="auto" w:fill="auto"/>
            <w:noWrap/>
            <w:vAlign w:val="bottom"/>
            <w:hideMark/>
          </w:tcPr>
          <w:p w14:paraId="24F62B9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0,40</w:t>
            </w:r>
          </w:p>
        </w:tc>
        <w:tc>
          <w:tcPr>
            <w:tcW w:w="815" w:type="dxa"/>
            <w:tcBorders>
              <w:top w:val="nil"/>
              <w:left w:val="nil"/>
              <w:bottom w:val="single" w:sz="4" w:space="0" w:color="auto"/>
              <w:right w:val="single" w:sz="4" w:space="0" w:color="auto"/>
            </w:tcBorders>
            <w:shd w:val="clear" w:color="auto" w:fill="auto"/>
            <w:noWrap/>
            <w:vAlign w:val="bottom"/>
            <w:hideMark/>
          </w:tcPr>
          <w:p w14:paraId="12F1EE4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1,16</w:t>
            </w:r>
          </w:p>
        </w:tc>
        <w:tc>
          <w:tcPr>
            <w:tcW w:w="618" w:type="dxa"/>
            <w:tcBorders>
              <w:top w:val="nil"/>
              <w:left w:val="nil"/>
              <w:bottom w:val="single" w:sz="4" w:space="0" w:color="auto"/>
              <w:right w:val="single" w:sz="4" w:space="0" w:color="auto"/>
            </w:tcBorders>
            <w:shd w:val="clear" w:color="auto" w:fill="auto"/>
            <w:noWrap/>
            <w:vAlign w:val="bottom"/>
            <w:hideMark/>
          </w:tcPr>
          <w:p w14:paraId="664F181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2,13</w:t>
            </w:r>
          </w:p>
        </w:tc>
        <w:tc>
          <w:tcPr>
            <w:tcW w:w="515" w:type="dxa"/>
            <w:tcBorders>
              <w:top w:val="nil"/>
              <w:left w:val="nil"/>
              <w:bottom w:val="single" w:sz="4" w:space="0" w:color="auto"/>
              <w:right w:val="single" w:sz="4" w:space="0" w:color="auto"/>
            </w:tcBorders>
            <w:shd w:val="clear" w:color="auto" w:fill="auto"/>
            <w:noWrap/>
            <w:vAlign w:val="bottom"/>
            <w:hideMark/>
          </w:tcPr>
          <w:p w14:paraId="035D408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1,26</w:t>
            </w:r>
          </w:p>
        </w:tc>
        <w:tc>
          <w:tcPr>
            <w:tcW w:w="545" w:type="dxa"/>
            <w:tcBorders>
              <w:top w:val="nil"/>
              <w:left w:val="nil"/>
              <w:bottom w:val="single" w:sz="4" w:space="0" w:color="auto"/>
              <w:right w:val="single" w:sz="4" w:space="0" w:color="auto"/>
            </w:tcBorders>
            <w:shd w:val="clear" w:color="auto" w:fill="auto"/>
            <w:noWrap/>
            <w:vAlign w:val="bottom"/>
            <w:hideMark/>
          </w:tcPr>
          <w:p w14:paraId="2B81E1D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1,26</w:t>
            </w:r>
          </w:p>
        </w:tc>
      </w:tr>
      <w:tr w:rsidR="001753E5" w:rsidRPr="00A1696A" w14:paraId="29A1CFA3" w14:textId="77777777" w:rsidTr="00D63B70">
        <w:trPr>
          <w:trHeight w:val="250"/>
        </w:trPr>
        <w:tc>
          <w:tcPr>
            <w:tcW w:w="398" w:type="dxa"/>
            <w:vMerge/>
            <w:tcBorders>
              <w:top w:val="nil"/>
              <w:left w:val="single" w:sz="4" w:space="0" w:color="auto"/>
              <w:bottom w:val="nil"/>
              <w:right w:val="single" w:sz="4" w:space="0" w:color="auto"/>
            </w:tcBorders>
            <w:vAlign w:val="center"/>
            <w:hideMark/>
          </w:tcPr>
          <w:p w14:paraId="7C0918A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p>
        </w:tc>
        <w:tc>
          <w:tcPr>
            <w:tcW w:w="730" w:type="dxa"/>
            <w:tcBorders>
              <w:top w:val="nil"/>
              <w:left w:val="nil"/>
              <w:bottom w:val="single" w:sz="4" w:space="0" w:color="auto"/>
              <w:right w:val="single" w:sz="4" w:space="0" w:color="auto"/>
            </w:tcBorders>
            <w:shd w:val="clear" w:color="000000" w:fill="FCD5B4"/>
            <w:noWrap/>
            <w:vAlign w:val="center"/>
            <w:hideMark/>
          </w:tcPr>
          <w:p w14:paraId="0403C16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443,3</w:t>
            </w:r>
          </w:p>
        </w:tc>
        <w:tc>
          <w:tcPr>
            <w:tcW w:w="398" w:type="dxa"/>
            <w:vMerge/>
            <w:tcBorders>
              <w:top w:val="nil"/>
              <w:left w:val="single" w:sz="4" w:space="0" w:color="auto"/>
              <w:bottom w:val="single" w:sz="4" w:space="0" w:color="auto"/>
              <w:right w:val="single" w:sz="4" w:space="0" w:color="auto"/>
            </w:tcBorders>
            <w:vAlign w:val="center"/>
            <w:hideMark/>
          </w:tcPr>
          <w:p w14:paraId="1F1FFE5D"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296DFD1E"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GA3</w:t>
            </w:r>
          </w:p>
        </w:tc>
        <w:tc>
          <w:tcPr>
            <w:tcW w:w="629" w:type="dxa"/>
            <w:tcBorders>
              <w:top w:val="nil"/>
              <w:left w:val="nil"/>
              <w:bottom w:val="single" w:sz="4" w:space="0" w:color="auto"/>
              <w:right w:val="single" w:sz="4" w:space="0" w:color="auto"/>
            </w:tcBorders>
            <w:shd w:val="clear" w:color="000000" w:fill="FCD5B4"/>
            <w:noWrap/>
            <w:vAlign w:val="center"/>
            <w:hideMark/>
          </w:tcPr>
          <w:p w14:paraId="7B943EBD"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RE4</w:t>
            </w:r>
          </w:p>
        </w:tc>
        <w:tc>
          <w:tcPr>
            <w:tcW w:w="1098" w:type="dxa"/>
            <w:tcBorders>
              <w:top w:val="nil"/>
              <w:left w:val="nil"/>
              <w:bottom w:val="single" w:sz="4" w:space="0" w:color="auto"/>
              <w:right w:val="single" w:sz="4" w:space="0" w:color="auto"/>
            </w:tcBorders>
            <w:shd w:val="clear" w:color="auto" w:fill="auto"/>
            <w:noWrap/>
            <w:vAlign w:val="bottom"/>
            <w:hideMark/>
          </w:tcPr>
          <w:p w14:paraId="0137C68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4,54</w:t>
            </w:r>
          </w:p>
        </w:tc>
        <w:tc>
          <w:tcPr>
            <w:tcW w:w="627" w:type="dxa"/>
            <w:tcBorders>
              <w:top w:val="nil"/>
              <w:left w:val="nil"/>
              <w:bottom w:val="single" w:sz="4" w:space="0" w:color="auto"/>
              <w:right w:val="single" w:sz="4" w:space="0" w:color="auto"/>
            </w:tcBorders>
            <w:shd w:val="clear" w:color="auto" w:fill="auto"/>
            <w:noWrap/>
            <w:vAlign w:val="bottom"/>
            <w:hideMark/>
          </w:tcPr>
          <w:p w14:paraId="53C727C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18,70</w:t>
            </w:r>
          </w:p>
        </w:tc>
        <w:tc>
          <w:tcPr>
            <w:tcW w:w="804" w:type="dxa"/>
            <w:tcBorders>
              <w:top w:val="nil"/>
              <w:left w:val="nil"/>
              <w:bottom w:val="single" w:sz="4" w:space="0" w:color="auto"/>
              <w:right w:val="single" w:sz="4" w:space="0" w:color="auto"/>
            </w:tcBorders>
            <w:shd w:val="clear" w:color="auto" w:fill="auto"/>
            <w:noWrap/>
            <w:vAlign w:val="bottom"/>
            <w:hideMark/>
          </w:tcPr>
          <w:p w14:paraId="1A4E63E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52,00</w:t>
            </w:r>
          </w:p>
        </w:tc>
        <w:tc>
          <w:tcPr>
            <w:tcW w:w="671" w:type="dxa"/>
            <w:tcBorders>
              <w:top w:val="nil"/>
              <w:left w:val="nil"/>
              <w:bottom w:val="single" w:sz="4" w:space="0" w:color="auto"/>
              <w:right w:val="single" w:sz="4" w:space="0" w:color="auto"/>
            </w:tcBorders>
            <w:shd w:val="clear" w:color="auto" w:fill="auto"/>
            <w:noWrap/>
            <w:vAlign w:val="bottom"/>
            <w:hideMark/>
          </w:tcPr>
          <w:p w14:paraId="4C5C3D7C"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29,30</w:t>
            </w:r>
          </w:p>
        </w:tc>
        <w:tc>
          <w:tcPr>
            <w:tcW w:w="784" w:type="dxa"/>
            <w:tcBorders>
              <w:top w:val="nil"/>
              <w:left w:val="nil"/>
              <w:bottom w:val="single" w:sz="4" w:space="0" w:color="auto"/>
              <w:right w:val="single" w:sz="4" w:space="0" w:color="auto"/>
            </w:tcBorders>
            <w:shd w:val="clear" w:color="auto" w:fill="auto"/>
            <w:noWrap/>
            <w:vAlign w:val="bottom"/>
            <w:hideMark/>
          </w:tcPr>
          <w:p w14:paraId="09AF955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1,14</w:t>
            </w:r>
          </w:p>
        </w:tc>
        <w:tc>
          <w:tcPr>
            <w:tcW w:w="778" w:type="dxa"/>
            <w:tcBorders>
              <w:top w:val="nil"/>
              <w:left w:val="nil"/>
              <w:bottom w:val="single" w:sz="4" w:space="0" w:color="auto"/>
              <w:right w:val="single" w:sz="4" w:space="0" w:color="auto"/>
            </w:tcBorders>
            <w:shd w:val="clear" w:color="auto" w:fill="auto"/>
            <w:noWrap/>
            <w:vAlign w:val="bottom"/>
            <w:hideMark/>
          </w:tcPr>
          <w:p w14:paraId="3000F58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0,33</w:t>
            </w:r>
          </w:p>
        </w:tc>
        <w:tc>
          <w:tcPr>
            <w:tcW w:w="784" w:type="dxa"/>
            <w:tcBorders>
              <w:top w:val="nil"/>
              <w:left w:val="nil"/>
              <w:bottom w:val="single" w:sz="4" w:space="0" w:color="auto"/>
              <w:right w:val="single" w:sz="4" w:space="0" w:color="auto"/>
            </w:tcBorders>
            <w:shd w:val="clear" w:color="auto" w:fill="auto"/>
            <w:noWrap/>
            <w:vAlign w:val="bottom"/>
            <w:hideMark/>
          </w:tcPr>
          <w:p w14:paraId="2FD854D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0,27</w:t>
            </w:r>
          </w:p>
        </w:tc>
        <w:tc>
          <w:tcPr>
            <w:tcW w:w="815" w:type="dxa"/>
            <w:tcBorders>
              <w:top w:val="nil"/>
              <w:left w:val="nil"/>
              <w:bottom w:val="single" w:sz="4" w:space="0" w:color="auto"/>
              <w:right w:val="single" w:sz="4" w:space="0" w:color="auto"/>
            </w:tcBorders>
            <w:shd w:val="clear" w:color="auto" w:fill="auto"/>
            <w:noWrap/>
            <w:vAlign w:val="bottom"/>
            <w:hideMark/>
          </w:tcPr>
          <w:p w14:paraId="193AE42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0,83</w:t>
            </w:r>
          </w:p>
        </w:tc>
        <w:tc>
          <w:tcPr>
            <w:tcW w:w="618" w:type="dxa"/>
            <w:tcBorders>
              <w:top w:val="nil"/>
              <w:left w:val="nil"/>
              <w:bottom w:val="single" w:sz="4" w:space="0" w:color="auto"/>
              <w:right w:val="single" w:sz="4" w:space="0" w:color="auto"/>
            </w:tcBorders>
            <w:shd w:val="clear" w:color="auto" w:fill="auto"/>
            <w:noWrap/>
            <w:vAlign w:val="bottom"/>
            <w:hideMark/>
          </w:tcPr>
          <w:p w14:paraId="034F097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4,22</w:t>
            </w:r>
          </w:p>
        </w:tc>
        <w:tc>
          <w:tcPr>
            <w:tcW w:w="515" w:type="dxa"/>
            <w:tcBorders>
              <w:top w:val="nil"/>
              <w:left w:val="nil"/>
              <w:bottom w:val="single" w:sz="4" w:space="0" w:color="auto"/>
              <w:right w:val="single" w:sz="4" w:space="0" w:color="auto"/>
            </w:tcBorders>
            <w:shd w:val="clear" w:color="auto" w:fill="auto"/>
            <w:noWrap/>
            <w:vAlign w:val="bottom"/>
            <w:hideMark/>
          </w:tcPr>
          <w:p w14:paraId="0A2B635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0,98</w:t>
            </w:r>
          </w:p>
        </w:tc>
        <w:tc>
          <w:tcPr>
            <w:tcW w:w="545" w:type="dxa"/>
            <w:tcBorders>
              <w:top w:val="nil"/>
              <w:left w:val="nil"/>
              <w:bottom w:val="single" w:sz="4" w:space="0" w:color="auto"/>
              <w:right w:val="single" w:sz="4" w:space="0" w:color="auto"/>
            </w:tcBorders>
            <w:shd w:val="clear" w:color="auto" w:fill="auto"/>
            <w:noWrap/>
            <w:vAlign w:val="bottom"/>
            <w:hideMark/>
          </w:tcPr>
          <w:p w14:paraId="3D8EC82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1,03</w:t>
            </w:r>
          </w:p>
        </w:tc>
      </w:tr>
      <w:tr w:rsidR="001753E5" w:rsidRPr="00A1696A" w14:paraId="5784F2A9" w14:textId="77777777" w:rsidTr="00D63B70">
        <w:trPr>
          <w:trHeight w:val="250"/>
        </w:trPr>
        <w:tc>
          <w:tcPr>
            <w:tcW w:w="398" w:type="dxa"/>
            <w:vMerge/>
            <w:tcBorders>
              <w:top w:val="nil"/>
              <w:left w:val="single" w:sz="4" w:space="0" w:color="auto"/>
              <w:bottom w:val="nil"/>
              <w:right w:val="single" w:sz="4" w:space="0" w:color="auto"/>
            </w:tcBorders>
            <w:vAlign w:val="center"/>
            <w:hideMark/>
          </w:tcPr>
          <w:p w14:paraId="3FA7695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p>
        </w:tc>
        <w:tc>
          <w:tcPr>
            <w:tcW w:w="730" w:type="dxa"/>
            <w:tcBorders>
              <w:top w:val="nil"/>
              <w:left w:val="nil"/>
              <w:bottom w:val="single" w:sz="4" w:space="0" w:color="auto"/>
              <w:right w:val="single" w:sz="4" w:space="0" w:color="auto"/>
            </w:tcBorders>
            <w:shd w:val="clear" w:color="000000" w:fill="FCD5B4"/>
            <w:noWrap/>
            <w:vAlign w:val="center"/>
            <w:hideMark/>
          </w:tcPr>
          <w:p w14:paraId="1481399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495,6</w:t>
            </w:r>
          </w:p>
        </w:tc>
        <w:tc>
          <w:tcPr>
            <w:tcW w:w="398" w:type="dxa"/>
            <w:vMerge/>
            <w:tcBorders>
              <w:top w:val="nil"/>
              <w:left w:val="single" w:sz="4" w:space="0" w:color="auto"/>
              <w:bottom w:val="single" w:sz="4" w:space="0" w:color="auto"/>
              <w:right w:val="single" w:sz="4" w:space="0" w:color="auto"/>
            </w:tcBorders>
            <w:vAlign w:val="center"/>
            <w:hideMark/>
          </w:tcPr>
          <w:p w14:paraId="3C8B7A40"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single" w:sz="4" w:space="0" w:color="auto"/>
              <w:right w:val="single" w:sz="4" w:space="0" w:color="auto"/>
            </w:tcBorders>
            <w:shd w:val="clear" w:color="000000" w:fill="FCD5B4"/>
            <w:noWrap/>
            <w:vAlign w:val="center"/>
            <w:hideMark/>
          </w:tcPr>
          <w:p w14:paraId="4DDDB0A8"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GA4</w:t>
            </w:r>
          </w:p>
        </w:tc>
        <w:tc>
          <w:tcPr>
            <w:tcW w:w="629" w:type="dxa"/>
            <w:tcBorders>
              <w:top w:val="nil"/>
              <w:left w:val="nil"/>
              <w:bottom w:val="single" w:sz="4" w:space="0" w:color="auto"/>
              <w:right w:val="single" w:sz="4" w:space="0" w:color="auto"/>
            </w:tcBorders>
            <w:shd w:val="clear" w:color="000000" w:fill="FCD5B4"/>
            <w:noWrap/>
            <w:vAlign w:val="center"/>
            <w:hideMark/>
          </w:tcPr>
          <w:p w14:paraId="4CCEFAD7"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RE5</w:t>
            </w:r>
          </w:p>
        </w:tc>
        <w:tc>
          <w:tcPr>
            <w:tcW w:w="1098" w:type="dxa"/>
            <w:tcBorders>
              <w:top w:val="nil"/>
              <w:left w:val="nil"/>
              <w:bottom w:val="single" w:sz="4" w:space="0" w:color="auto"/>
              <w:right w:val="single" w:sz="4" w:space="0" w:color="auto"/>
            </w:tcBorders>
            <w:shd w:val="clear" w:color="auto" w:fill="auto"/>
            <w:noWrap/>
            <w:vAlign w:val="bottom"/>
            <w:hideMark/>
          </w:tcPr>
          <w:p w14:paraId="3B79F3D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2,79</w:t>
            </w:r>
          </w:p>
        </w:tc>
        <w:tc>
          <w:tcPr>
            <w:tcW w:w="627" w:type="dxa"/>
            <w:tcBorders>
              <w:top w:val="nil"/>
              <w:left w:val="nil"/>
              <w:bottom w:val="single" w:sz="4" w:space="0" w:color="auto"/>
              <w:right w:val="single" w:sz="4" w:space="0" w:color="auto"/>
            </w:tcBorders>
            <w:shd w:val="clear" w:color="auto" w:fill="auto"/>
            <w:noWrap/>
            <w:vAlign w:val="bottom"/>
            <w:hideMark/>
          </w:tcPr>
          <w:p w14:paraId="508BF12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15,70</w:t>
            </w:r>
          </w:p>
        </w:tc>
        <w:tc>
          <w:tcPr>
            <w:tcW w:w="804" w:type="dxa"/>
            <w:tcBorders>
              <w:top w:val="nil"/>
              <w:left w:val="nil"/>
              <w:bottom w:val="single" w:sz="4" w:space="0" w:color="auto"/>
              <w:right w:val="single" w:sz="4" w:space="0" w:color="auto"/>
            </w:tcBorders>
            <w:shd w:val="clear" w:color="auto" w:fill="auto"/>
            <w:noWrap/>
            <w:vAlign w:val="bottom"/>
            <w:hideMark/>
          </w:tcPr>
          <w:p w14:paraId="23AFE0B4"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41,00</w:t>
            </w:r>
          </w:p>
        </w:tc>
        <w:tc>
          <w:tcPr>
            <w:tcW w:w="671" w:type="dxa"/>
            <w:tcBorders>
              <w:top w:val="nil"/>
              <w:left w:val="nil"/>
              <w:bottom w:val="single" w:sz="4" w:space="0" w:color="auto"/>
              <w:right w:val="single" w:sz="4" w:space="0" w:color="auto"/>
            </w:tcBorders>
            <w:shd w:val="clear" w:color="auto" w:fill="auto"/>
            <w:noWrap/>
            <w:vAlign w:val="bottom"/>
            <w:hideMark/>
          </w:tcPr>
          <w:p w14:paraId="2D4C2A5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43,30</w:t>
            </w:r>
          </w:p>
        </w:tc>
        <w:tc>
          <w:tcPr>
            <w:tcW w:w="784" w:type="dxa"/>
            <w:tcBorders>
              <w:top w:val="nil"/>
              <w:left w:val="nil"/>
              <w:bottom w:val="single" w:sz="4" w:space="0" w:color="auto"/>
              <w:right w:val="single" w:sz="4" w:space="0" w:color="auto"/>
            </w:tcBorders>
            <w:shd w:val="clear" w:color="auto" w:fill="auto"/>
            <w:noWrap/>
            <w:vAlign w:val="bottom"/>
            <w:hideMark/>
          </w:tcPr>
          <w:p w14:paraId="5E001F7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3,70</w:t>
            </w:r>
          </w:p>
        </w:tc>
        <w:tc>
          <w:tcPr>
            <w:tcW w:w="778" w:type="dxa"/>
            <w:tcBorders>
              <w:top w:val="nil"/>
              <w:left w:val="nil"/>
              <w:bottom w:val="single" w:sz="4" w:space="0" w:color="auto"/>
              <w:right w:val="single" w:sz="4" w:space="0" w:color="auto"/>
            </w:tcBorders>
            <w:shd w:val="clear" w:color="auto" w:fill="auto"/>
            <w:noWrap/>
            <w:vAlign w:val="bottom"/>
            <w:hideMark/>
          </w:tcPr>
          <w:p w14:paraId="45C51C3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0,63</w:t>
            </w:r>
          </w:p>
        </w:tc>
        <w:tc>
          <w:tcPr>
            <w:tcW w:w="784" w:type="dxa"/>
            <w:tcBorders>
              <w:top w:val="nil"/>
              <w:left w:val="nil"/>
              <w:bottom w:val="single" w:sz="4" w:space="0" w:color="auto"/>
              <w:right w:val="single" w:sz="4" w:space="0" w:color="auto"/>
            </w:tcBorders>
            <w:shd w:val="clear" w:color="auto" w:fill="auto"/>
            <w:noWrap/>
            <w:vAlign w:val="bottom"/>
            <w:hideMark/>
          </w:tcPr>
          <w:p w14:paraId="35D80BA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1,66</w:t>
            </w:r>
          </w:p>
        </w:tc>
        <w:tc>
          <w:tcPr>
            <w:tcW w:w="815" w:type="dxa"/>
            <w:tcBorders>
              <w:top w:val="nil"/>
              <w:left w:val="nil"/>
              <w:bottom w:val="single" w:sz="4" w:space="0" w:color="auto"/>
              <w:right w:val="single" w:sz="4" w:space="0" w:color="auto"/>
            </w:tcBorders>
            <w:shd w:val="clear" w:color="auto" w:fill="auto"/>
            <w:noWrap/>
            <w:vAlign w:val="bottom"/>
            <w:hideMark/>
          </w:tcPr>
          <w:p w14:paraId="3C42C1F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1,00</w:t>
            </w:r>
          </w:p>
        </w:tc>
        <w:tc>
          <w:tcPr>
            <w:tcW w:w="618" w:type="dxa"/>
            <w:tcBorders>
              <w:top w:val="nil"/>
              <w:left w:val="nil"/>
              <w:bottom w:val="single" w:sz="4" w:space="0" w:color="auto"/>
              <w:right w:val="single" w:sz="4" w:space="0" w:color="auto"/>
            </w:tcBorders>
            <w:shd w:val="clear" w:color="auto" w:fill="auto"/>
            <w:noWrap/>
            <w:vAlign w:val="bottom"/>
            <w:hideMark/>
          </w:tcPr>
          <w:p w14:paraId="68179CC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2,23</w:t>
            </w:r>
          </w:p>
        </w:tc>
        <w:tc>
          <w:tcPr>
            <w:tcW w:w="515" w:type="dxa"/>
            <w:tcBorders>
              <w:top w:val="nil"/>
              <w:left w:val="nil"/>
              <w:bottom w:val="single" w:sz="4" w:space="0" w:color="auto"/>
              <w:right w:val="single" w:sz="4" w:space="0" w:color="auto"/>
            </w:tcBorders>
            <w:shd w:val="clear" w:color="auto" w:fill="auto"/>
            <w:noWrap/>
            <w:vAlign w:val="bottom"/>
            <w:hideMark/>
          </w:tcPr>
          <w:p w14:paraId="6CE5A6A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1,19</w:t>
            </w:r>
          </w:p>
        </w:tc>
        <w:tc>
          <w:tcPr>
            <w:tcW w:w="545" w:type="dxa"/>
            <w:tcBorders>
              <w:top w:val="nil"/>
              <w:left w:val="nil"/>
              <w:bottom w:val="single" w:sz="4" w:space="0" w:color="auto"/>
              <w:right w:val="single" w:sz="4" w:space="0" w:color="auto"/>
            </w:tcBorders>
            <w:shd w:val="clear" w:color="auto" w:fill="auto"/>
            <w:noWrap/>
            <w:vAlign w:val="bottom"/>
            <w:hideMark/>
          </w:tcPr>
          <w:p w14:paraId="41363466"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1,20</w:t>
            </w:r>
          </w:p>
        </w:tc>
      </w:tr>
      <w:tr w:rsidR="001753E5" w:rsidRPr="00A1696A" w14:paraId="3FD75E96" w14:textId="77777777" w:rsidTr="00D63B70">
        <w:trPr>
          <w:trHeight w:val="250"/>
        </w:trPr>
        <w:tc>
          <w:tcPr>
            <w:tcW w:w="398" w:type="dxa"/>
            <w:vMerge/>
            <w:tcBorders>
              <w:top w:val="nil"/>
              <w:left w:val="single" w:sz="4" w:space="0" w:color="auto"/>
              <w:bottom w:val="nil"/>
              <w:right w:val="single" w:sz="4" w:space="0" w:color="auto"/>
            </w:tcBorders>
            <w:vAlign w:val="center"/>
            <w:hideMark/>
          </w:tcPr>
          <w:p w14:paraId="225E33C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p>
        </w:tc>
        <w:tc>
          <w:tcPr>
            <w:tcW w:w="730" w:type="dxa"/>
            <w:tcBorders>
              <w:top w:val="nil"/>
              <w:left w:val="nil"/>
              <w:bottom w:val="nil"/>
              <w:right w:val="single" w:sz="4" w:space="0" w:color="auto"/>
            </w:tcBorders>
            <w:shd w:val="clear" w:color="000000" w:fill="FCD5B4"/>
            <w:noWrap/>
            <w:vAlign w:val="center"/>
            <w:hideMark/>
          </w:tcPr>
          <w:p w14:paraId="12F5593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553,0</w:t>
            </w:r>
          </w:p>
        </w:tc>
        <w:tc>
          <w:tcPr>
            <w:tcW w:w="398" w:type="dxa"/>
            <w:vMerge/>
            <w:tcBorders>
              <w:top w:val="nil"/>
              <w:left w:val="single" w:sz="4" w:space="0" w:color="auto"/>
              <w:bottom w:val="single" w:sz="4" w:space="0" w:color="auto"/>
              <w:right w:val="single" w:sz="4" w:space="0" w:color="auto"/>
            </w:tcBorders>
            <w:vAlign w:val="center"/>
            <w:hideMark/>
          </w:tcPr>
          <w:p w14:paraId="696BAF53" w14:textId="77777777" w:rsidR="00AA6A25" w:rsidRPr="00A1696A" w:rsidRDefault="00AA6A25" w:rsidP="006B6EBF">
            <w:pPr>
              <w:spacing w:after="0" w:line="240" w:lineRule="auto"/>
              <w:rPr>
                <w:rFonts w:ascii="Times New Roman" w:eastAsia="Times New Roman" w:hAnsi="Times New Roman" w:cs="Times New Roman"/>
                <w:bCs/>
                <w:color w:val="000000"/>
                <w:sz w:val="20"/>
                <w:szCs w:val="20"/>
                <w:lang w:eastAsia="bg-BG"/>
              </w:rPr>
            </w:pPr>
          </w:p>
        </w:tc>
        <w:tc>
          <w:tcPr>
            <w:tcW w:w="665" w:type="dxa"/>
            <w:tcBorders>
              <w:top w:val="nil"/>
              <w:left w:val="nil"/>
              <w:bottom w:val="nil"/>
              <w:right w:val="single" w:sz="4" w:space="0" w:color="auto"/>
            </w:tcBorders>
            <w:shd w:val="clear" w:color="000000" w:fill="FCD5B4"/>
            <w:noWrap/>
            <w:vAlign w:val="center"/>
            <w:hideMark/>
          </w:tcPr>
          <w:p w14:paraId="6331ED06"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GA5</w:t>
            </w:r>
          </w:p>
        </w:tc>
        <w:tc>
          <w:tcPr>
            <w:tcW w:w="629" w:type="dxa"/>
            <w:tcBorders>
              <w:top w:val="nil"/>
              <w:left w:val="nil"/>
              <w:bottom w:val="nil"/>
              <w:right w:val="single" w:sz="4" w:space="0" w:color="auto"/>
            </w:tcBorders>
            <w:shd w:val="clear" w:color="000000" w:fill="FCD5B4"/>
            <w:noWrap/>
            <w:vAlign w:val="center"/>
            <w:hideMark/>
          </w:tcPr>
          <w:p w14:paraId="0D5EF246"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RE6</w:t>
            </w:r>
          </w:p>
        </w:tc>
        <w:tc>
          <w:tcPr>
            <w:tcW w:w="1098" w:type="dxa"/>
            <w:tcBorders>
              <w:top w:val="nil"/>
              <w:left w:val="nil"/>
              <w:bottom w:val="nil"/>
              <w:right w:val="single" w:sz="4" w:space="0" w:color="auto"/>
            </w:tcBorders>
            <w:shd w:val="clear" w:color="auto" w:fill="auto"/>
            <w:noWrap/>
            <w:vAlign w:val="bottom"/>
            <w:hideMark/>
          </w:tcPr>
          <w:p w14:paraId="0E811AE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5,87</w:t>
            </w:r>
          </w:p>
        </w:tc>
        <w:tc>
          <w:tcPr>
            <w:tcW w:w="627" w:type="dxa"/>
            <w:tcBorders>
              <w:top w:val="nil"/>
              <w:left w:val="nil"/>
              <w:bottom w:val="nil"/>
              <w:right w:val="single" w:sz="4" w:space="0" w:color="auto"/>
            </w:tcBorders>
            <w:shd w:val="clear" w:color="auto" w:fill="auto"/>
            <w:noWrap/>
            <w:vAlign w:val="bottom"/>
            <w:hideMark/>
          </w:tcPr>
          <w:p w14:paraId="09F207F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5,00</w:t>
            </w:r>
          </w:p>
        </w:tc>
        <w:tc>
          <w:tcPr>
            <w:tcW w:w="804" w:type="dxa"/>
            <w:tcBorders>
              <w:top w:val="nil"/>
              <w:left w:val="nil"/>
              <w:bottom w:val="nil"/>
              <w:right w:val="single" w:sz="4" w:space="0" w:color="auto"/>
            </w:tcBorders>
            <w:shd w:val="clear" w:color="auto" w:fill="auto"/>
            <w:noWrap/>
            <w:vAlign w:val="bottom"/>
            <w:hideMark/>
          </w:tcPr>
          <w:p w14:paraId="2527F50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28,40</w:t>
            </w:r>
          </w:p>
        </w:tc>
        <w:tc>
          <w:tcPr>
            <w:tcW w:w="671" w:type="dxa"/>
            <w:tcBorders>
              <w:top w:val="nil"/>
              <w:left w:val="nil"/>
              <w:bottom w:val="nil"/>
              <w:right w:val="single" w:sz="4" w:space="0" w:color="auto"/>
            </w:tcBorders>
            <w:shd w:val="clear" w:color="auto" w:fill="auto"/>
            <w:noWrap/>
            <w:vAlign w:val="bottom"/>
            <w:hideMark/>
          </w:tcPr>
          <w:p w14:paraId="08F0022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66,60</w:t>
            </w:r>
          </w:p>
        </w:tc>
        <w:tc>
          <w:tcPr>
            <w:tcW w:w="784" w:type="dxa"/>
            <w:tcBorders>
              <w:top w:val="nil"/>
              <w:left w:val="nil"/>
              <w:bottom w:val="nil"/>
              <w:right w:val="single" w:sz="4" w:space="0" w:color="auto"/>
            </w:tcBorders>
            <w:shd w:val="clear" w:color="auto" w:fill="auto"/>
            <w:noWrap/>
            <w:vAlign w:val="bottom"/>
            <w:hideMark/>
          </w:tcPr>
          <w:p w14:paraId="7A8E9E1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5,02</w:t>
            </w:r>
          </w:p>
        </w:tc>
        <w:tc>
          <w:tcPr>
            <w:tcW w:w="778" w:type="dxa"/>
            <w:tcBorders>
              <w:top w:val="nil"/>
              <w:left w:val="nil"/>
              <w:bottom w:val="nil"/>
              <w:right w:val="single" w:sz="4" w:space="0" w:color="auto"/>
            </w:tcBorders>
            <w:shd w:val="clear" w:color="auto" w:fill="auto"/>
            <w:noWrap/>
            <w:vAlign w:val="bottom"/>
            <w:hideMark/>
          </w:tcPr>
          <w:p w14:paraId="4C543DC9"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0,50</w:t>
            </w:r>
          </w:p>
        </w:tc>
        <w:tc>
          <w:tcPr>
            <w:tcW w:w="784" w:type="dxa"/>
            <w:tcBorders>
              <w:top w:val="nil"/>
              <w:left w:val="nil"/>
              <w:bottom w:val="nil"/>
              <w:right w:val="single" w:sz="4" w:space="0" w:color="auto"/>
            </w:tcBorders>
            <w:shd w:val="clear" w:color="auto" w:fill="auto"/>
            <w:noWrap/>
            <w:vAlign w:val="bottom"/>
            <w:hideMark/>
          </w:tcPr>
          <w:p w14:paraId="56D3290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2,46</w:t>
            </w:r>
          </w:p>
        </w:tc>
        <w:tc>
          <w:tcPr>
            <w:tcW w:w="815" w:type="dxa"/>
            <w:tcBorders>
              <w:top w:val="nil"/>
              <w:left w:val="nil"/>
              <w:bottom w:val="nil"/>
              <w:right w:val="single" w:sz="4" w:space="0" w:color="auto"/>
            </w:tcBorders>
            <w:shd w:val="clear" w:color="auto" w:fill="auto"/>
            <w:noWrap/>
            <w:vAlign w:val="bottom"/>
            <w:hideMark/>
          </w:tcPr>
          <w:p w14:paraId="7DDABA2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0,71</w:t>
            </w:r>
          </w:p>
        </w:tc>
        <w:tc>
          <w:tcPr>
            <w:tcW w:w="618" w:type="dxa"/>
            <w:tcBorders>
              <w:top w:val="nil"/>
              <w:left w:val="nil"/>
              <w:bottom w:val="nil"/>
              <w:right w:val="single" w:sz="4" w:space="0" w:color="auto"/>
            </w:tcBorders>
            <w:shd w:val="clear" w:color="auto" w:fill="auto"/>
            <w:noWrap/>
            <w:vAlign w:val="bottom"/>
            <w:hideMark/>
          </w:tcPr>
          <w:p w14:paraId="4B25441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2,04</w:t>
            </w:r>
          </w:p>
        </w:tc>
        <w:tc>
          <w:tcPr>
            <w:tcW w:w="515" w:type="dxa"/>
            <w:tcBorders>
              <w:top w:val="nil"/>
              <w:left w:val="nil"/>
              <w:bottom w:val="nil"/>
              <w:right w:val="single" w:sz="4" w:space="0" w:color="auto"/>
            </w:tcBorders>
            <w:shd w:val="clear" w:color="auto" w:fill="auto"/>
            <w:noWrap/>
            <w:vAlign w:val="bottom"/>
            <w:hideMark/>
          </w:tcPr>
          <w:p w14:paraId="6FB2D86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0,95</w:t>
            </w:r>
          </w:p>
        </w:tc>
        <w:tc>
          <w:tcPr>
            <w:tcW w:w="545" w:type="dxa"/>
            <w:tcBorders>
              <w:top w:val="nil"/>
              <w:left w:val="nil"/>
              <w:bottom w:val="nil"/>
              <w:right w:val="single" w:sz="4" w:space="0" w:color="auto"/>
            </w:tcBorders>
            <w:shd w:val="clear" w:color="auto" w:fill="auto"/>
            <w:noWrap/>
            <w:vAlign w:val="bottom"/>
            <w:hideMark/>
          </w:tcPr>
          <w:p w14:paraId="3B261A9A"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1,06</w:t>
            </w:r>
          </w:p>
        </w:tc>
      </w:tr>
      <w:tr w:rsidR="001753E5" w:rsidRPr="00A1696A" w14:paraId="2089FE8D" w14:textId="77777777" w:rsidTr="00D63B70">
        <w:trPr>
          <w:trHeight w:val="568"/>
        </w:trPr>
        <w:tc>
          <w:tcPr>
            <w:tcW w:w="398" w:type="dxa"/>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445475C3"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730" w:type="dxa"/>
            <w:tcBorders>
              <w:top w:val="single" w:sz="4" w:space="0" w:color="auto"/>
              <w:left w:val="nil"/>
              <w:bottom w:val="single" w:sz="4" w:space="0" w:color="auto"/>
              <w:right w:val="single" w:sz="4" w:space="0" w:color="auto"/>
            </w:tcBorders>
            <w:shd w:val="clear" w:color="000000" w:fill="FCD5B4"/>
            <w:noWrap/>
            <w:vAlign w:val="center"/>
            <w:hideMark/>
          </w:tcPr>
          <w:p w14:paraId="77368870"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98" w:type="dxa"/>
            <w:tcBorders>
              <w:top w:val="single" w:sz="4" w:space="0" w:color="auto"/>
              <w:left w:val="nil"/>
              <w:bottom w:val="single" w:sz="4" w:space="0" w:color="auto"/>
              <w:right w:val="single" w:sz="4" w:space="0" w:color="auto"/>
            </w:tcBorders>
            <w:shd w:val="clear" w:color="000000" w:fill="FCD5B4"/>
            <w:noWrap/>
            <w:textDirection w:val="btLr"/>
            <w:vAlign w:val="center"/>
            <w:hideMark/>
          </w:tcPr>
          <w:p w14:paraId="021D1F49" w14:textId="77777777" w:rsidR="00AA6A25" w:rsidRPr="00A1696A" w:rsidRDefault="00AA6A25" w:rsidP="006B6EBF">
            <w:pPr>
              <w:spacing w:after="0" w:line="240" w:lineRule="auto"/>
              <w:jc w:val="center"/>
              <w:rPr>
                <w:rFonts w:ascii="Times New Roman" w:eastAsia="Times New Roman" w:hAnsi="Times New Roman" w:cs="Times New Roman"/>
                <w:bCs/>
                <w:color w:val="000000"/>
                <w:sz w:val="20"/>
                <w:szCs w:val="20"/>
                <w:lang w:eastAsia="bg-BG"/>
              </w:rPr>
            </w:pPr>
            <w:r w:rsidRPr="00A1696A">
              <w:rPr>
                <w:rFonts w:ascii="Times New Roman" w:eastAsia="Times New Roman" w:hAnsi="Times New Roman" w:cs="Times New Roman"/>
                <w:bCs/>
                <w:color w:val="000000"/>
                <w:sz w:val="20"/>
                <w:szCs w:val="20"/>
                <w:lang w:eastAsia="bg-BG"/>
              </w:rPr>
              <w:t>Р-тие</w:t>
            </w:r>
          </w:p>
        </w:tc>
        <w:tc>
          <w:tcPr>
            <w:tcW w:w="665" w:type="dxa"/>
            <w:tcBorders>
              <w:top w:val="single" w:sz="4" w:space="0" w:color="auto"/>
              <w:left w:val="nil"/>
              <w:bottom w:val="single" w:sz="4" w:space="0" w:color="auto"/>
              <w:right w:val="single" w:sz="4" w:space="0" w:color="auto"/>
            </w:tcBorders>
            <w:shd w:val="clear" w:color="000000" w:fill="FCD5B4"/>
            <w:noWrap/>
            <w:vAlign w:val="center"/>
            <w:hideMark/>
          </w:tcPr>
          <w:p w14:paraId="3245EAE5"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GA12</w:t>
            </w:r>
          </w:p>
        </w:tc>
        <w:tc>
          <w:tcPr>
            <w:tcW w:w="629" w:type="dxa"/>
            <w:tcBorders>
              <w:top w:val="single" w:sz="4" w:space="0" w:color="auto"/>
              <w:left w:val="nil"/>
              <w:bottom w:val="single" w:sz="4" w:space="0" w:color="auto"/>
              <w:right w:val="single" w:sz="4" w:space="0" w:color="auto"/>
            </w:tcBorders>
            <w:shd w:val="clear" w:color="000000" w:fill="FCD5B4"/>
            <w:noWrap/>
            <w:vAlign w:val="center"/>
            <w:hideMark/>
          </w:tcPr>
          <w:p w14:paraId="3F510F96" w14:textId="77777777" w:rsidR="00AA6A25" w:rsidRPr="00A1696A" w:rsidRDefault="00AA6A25"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RE27</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14:paraId="23CFC768"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5,63</w:t>
            </w:r>
          </w:p>
        </w:tc>
        <w:tc>
          <w:tcPr>
            <w:tcW w:w="627" w:type="dxa"/>
            <w:tcBorders>
              <w:top w:val="single" w:sz="4" w:space="0" w:color="auto"/>
              <w:left w:val="nil"/>
              <w:bottom w:val="single" w:sz="4" w:space="0" w:color="auto"/>
              <w:right w:val="single" w:sz="4" w:space="0" w:color="auto"/>
            </w:tcBorders>
            <w:shd w:val="clear" w:color="auto" w:fill="auto"/>
            <w:noWrap/>
            <w:vAlign w:val="bottom"/>
            <w:hideMark/>
          </w:tcPr>
          <w:p w14:paraId="7521B96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9,80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29D33981"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39,10</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14:paraId="2751D89D"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51,10</w:t>
            </w:r>
          </w:p>
        </w:tc>
        <w:tc>
          <w:tcPr>
            <w:tcW w:w="784" w:type="dxa"/>
            <w:tcBorders>
              <w:top w:val="single" w:sz="4" w:space="0" w:color="auto"/>
              <w:left w:val="nil"/>
              <w:bottom w:val="single" w:sz="4" w:space="0" w:color="auto"/>
              <w:right w:val="single" w:sz="4" w:space="0" w:color="auto"/>
            </w:tcBorders>
            <w:shd w:val="clear" w:color="auto" w:fill="auto"/>
            <w:noWrap/>
            <w:vAlign w:val="bottom"/>
            <w:hideMark/>
          </w:tcPr>
          <w:p w14:paraId="09EFD535"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1,05</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14:paraId="50D30162"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0,69</w:t>
            </w:r>
          </w:p>
        </w:tc>
        <w:tc>
          <w:tcPr>
            <w:tcW w:w="784" w:type="dxa"/>
            <w:tcBorders>
              <w:top w:val="single" w:sz="4" w:space="0" w:color="auto"/>
              <w:left w:val="nil"/>
              <w:bottom w:val="single" w:sz="4" w:space="0" w:color="auto"/>
              <w:right w:val="single" w:sz="4" w:space="0" w:color="auto"/>
            </w:tcBorders>
            <w:shd w:val="clear" w:color="auto" w:fill="auto"/>
            <w:noWrap/>
            <w:vAlign w:val="bottom"/>
            <w:hideMark/>
          </w:tcPr>
          <w:p w14:paraId="49E8F01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1,96</w:t>
            </w:r>
          </w:p>
        </w:tc>
        <w:tc>
          <w:tcPr>
            <w:tcW w:w="815" w:type="dxa"/>
            <w:tcBorders>
              <w:top w:val="single" w:sz="4" w:space="0" w:color="auto"/>
              <w:left w:val="nil"/>
              <w:bottom w:val="single" w:sz="4" w:space="0" w:color="auto"/>
              <w:right w:val="single" w:sz="4" w:space="0" w:color="auto"/>
            </w:tcBorders>
            <w:shd w:val="clear" w:color="auto" w:fill="auto"/>
            <w:noWrap/>
            <w:vAlign w:val="bottom"/>
            <w:hideMark/>
          </w:tcPr>
          <w:p w14:paraId="08501E0B"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0,69</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14:paraId="049D447F"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0,54</w:t>
            </w:r>
          </w:p>
        </w:tc>
        <w:tc>
          <w:tcPr>
            <w:tcW w:w="515" w:type="dxa"/>
            <w:tcBorders>
              <w:top w:val="single" w:sz="4" w:space="0" w:color="auto"/>
              <w:left w:val="nil"/>
              <w:bottom w:val="single" w:sz="4" w:space="0" w:color="auto"/>
              <w:right w:val="single" w:sz="4" w:space="0" w:color="auto"/>
            </w:tcBorders>
            <w:shd w:val="clear" w:color="auto" w:fill="auto"/>
            <w:noWrap/>
            <w:vAlign w:val="bottom"/>
            <w:hideMark/>
          </w:tcPr>
          <w:p w14:paraId="20596DF7"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0,90</w:t>
            </w:r>
          </w:p>
        </w:tc>
        <w:tc>
          <w:tcPr>
            <w:tcW w:w="545" w:type="dxa"/>
            <w:tcBorders>
              <w:top w:val="single" w:sz="4" w:space="0" w:color="auto"/>
              <w:left w:val="nil"/>
              <w:bottom w:val="single" w:sz="4" w:space="0" w:color="auto"/>
              <w:right w:val="single" w:sz="4" w:space="0" w:color="auto"/>
            </w:tcBorders>
            <w:shd w:val="clear" w:color="auto" w:fill="auto"/>
            <w:noWrap/>
            <w:vAlign w:val="bottom"/>
            <w:hideMark/>
          </w:tcPr>
          <w:p w14:paraId="21DC6E8E" w14:textId="77777777" w:rsidR="00AA6A25" w:rsidRPr="00A1696A" w:rsidRDefault="00AA6A25"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0,98</w:t>
            </w:r>
          </w:p>
        </w:tc>
      </w:tr>
    </w:tbl>
    <w:p w14:paraId="23A825A3" w14:textId="5F9630B2" w:rsidR="00513A69" w:rsidRPr="00A1696A" w:rsidRDefault="00513A69" w:rsidP="006B6EBF">
      <w:pPr>
        <w:pStyle w:val="tytultabeli"/>
        <w:rPr>
          <w:i/>
          <w:color w:val="000000"/>
          <w:sz w:val="18"/>
          <w:szCs w:val="18"/>
          <w:lang w:val="bg-BG"/>
        </w:rPr>
      </w:pPr>
      <w:r w:rsidRPr="00A1696A">
        <w:rPr>
          <w:i/>
          <w:color w:val="000000"/>
          <w:sz w:val="18"/>
          <w:szCs w:val="18"/>
          <w:lang w:val="bg-BG"/>
        </w:rPr>
        <w:t>*CPI = Σ(C</w:t>
      </w:r>
      <w:r w:rsidRPr="00A1696A">
        <w:rPr>
          <w:i/>
          <w:color w:val="000000"/>
          <w:sz w:val="18"/>
          <w:szCs w:val="18"/>
          <w:vertAlign w:val="subscript"/>
          <w:lang w:val="bg-BG"/>
        </w:rPr>
        <w:t>23</w:t>
      </w:r>
      <w:r w:rsidRPr="00A1696A">
        <w:rPr>
          <w:i/>
          <w:color w:val="000000"/>
          <w:sz w:val="18"/>
          <w:szCs w:val="18"/>
          <w:lang w:val="bg-BG"/>
        </w:rPr>
        <w:t xml:space="preserve"> - C</w:t>
      </w:r>
      <w:r w:rsidRPr="00A1696A">
        <w:rPr>
          <w:i/>
          <w:color w:val="000000"/>
          <w:sz w:val="18"/>
          <w:szCs w:val="18"/>
          <w:vertAlign w:val="subscript"/>
          <w:lang w:val="bg-BG"/>
        </w:rPr>
        <w:t>31</w:t>
      </w:r>
      <w:r w:rsidRPr="00A1696A">
        <w:rPr>
          <w:i/>
          <w:color w:val="000000"/>
          <w:sz w:val="18"/>
          <w:szCs w:val="18"/>
          <w:lang w:val="bg-BG"/>
        </w:rPr>
        <w:t>)</w:t>
      </w:r>
      <w:r w:rsidR="00AA6A25" w:rsidRPr="00A1696A">
        <w:rPr>
          <w:i/>
          <w:color w:val="000000"/>
          <w:sz w:val="18"/>
          <w:szCs w:val="18"/>
          <w:lang w:val="bg-BG"/>
        </w:rPr>
        <w:t>нечетни</w:t>
      </w:r>
      <w:r w:rsidRPr="00A1696A">
        <w:rPr>
          <w:i/>
          <w:color w:val="000000"/>
          <w:sz w:val="18"/>
          <w:szCs w:val="18"/>
          <w:lang w:val="bg-BG"/>
        </w:rPr>
        <w:t xml:space="preserve"> + Σ(C</w:t>
      </w:r>
      <w:r w:rsidRPr="00A1696A">
        <w:rPr>
          <w:i/>
          <w:color w:val="000000"/>
          <w:sz w:val="18"/>
          <w:szCs w:val="18"/>
          <w:vertAlign w:val="subscript"/>
          <w:lang w:val="bg-BG"/>
        </w:rPr>
        <w:t xml:space="preserve">25 </w:t>
      </w:r>
      <w:r w:rsidRPr="00A1696A">
        <w:rPr>
          <w:i/>
          <w:color w:val="000000"/>
          <w:sz w:val="18"/>
          <w:szCs w:val="18"/>
          <w:lang w:val="bg-BG"/>
        </w:rPr>
        <w:t>- C</w:t>
      </w:r>
      <w:r w:rsidRPr="00A1696A">
        <w:rPr>
          <w:i/>
          <w:color w:val="000000"/>
          <w:sz w:val="18"/>
          <w:szCs w:val="18"/>
          <w:vertAlign w:val="subscript"/>
          <w:lang w:val="bg-BG"/>
        </w:rPr>
        <w:t>33</w:t>
      </w:r>
      <w:r w:rsidRPr="00A1696A">
        <w:rPr>
          <w:i/>
          <w:color w:val="000000"/>
          <w:sz w:val="18"/>
          <w:szCs w:val="18"/>
          <w:lang w:val="bg-BG"/>
        </w:rPr>
        <w:t>)</w:t>
      </w:r>
      <w:r w:rsidR="00AA6A25" w:rsidRPr="00A1696A">
        <w:rPr>
          <w:i/>
          <w:color w:val="000000"/>
          <w:sz w:val="18"/>
          <w:szCs w:val="18"/>
          <w:lang w:val="bg-BG"/>
        </w:rPr>
        <w:t>нечетни</w:t>
      </w:r>
      <w:r w:rsidRPr="00A1696A">
        <w:rPr>
          <w:i/>
          <w:color w:val="000000"/>
          <w:sz w:val="18"/>
          <w:szCs w:val="18"/>
          <w:lang w:val="bg-BG"/>
        </w:rPr>
        <w:t xml:space="preserve"> / 2. Σ(C</w:t>
      </w:r>
      <w:r w:rsidRPr="00A1696A">
        <w:rPr>
          <w:i/>
          <w:color w:val="000000"/>
          <w:sz w:val="18"/>
          <w:szCs w:val="18"/>
          <w:vertAlign w:val="subscript"/>
          <w:lang w:val="bg-BG"/>
        </w:rPr>
        <w:t>24</w:t>
      </w:r>
      <w:r w:rsidRPr="00A1696A">
        <w:rPr>
          <w:i/>
          <w:color w:val="000000"/>
          <w:sz w:val="18"/>
          <w:szCs w:val="18"/>
          <w:lang w:val="bg-BG"/>
        </w:rPr>
        <w:t xml:space="preserve"> - C</w:t>
      </w:r>
      <w:r w:rsidRPr="00A1696A">
        <w:rPr>
          <w:i/>
          <w:color w:val="000000"/>
          <w:sz w:val="18"/>
          <w:szCs w:val="18"/>
          <w:vertAlign w:val="subscript"/>
          <w:lang w:val="bg-BG"/>
        </w:rPr>
        <w:t>32</w:t>
      </w:r>
      <w:r w:rsidRPr="00A1696A">
        <w:rPr>
          <w:i/>
          <w:color w:val="000000"/>
          <w:sz w:val="18"/>
          <w:szCs w:val="18"/>
          <w:lang w:val="bg-BG"/>
        </w:rPr>
        <w:t>)</w:t>
      </w:r>
      <w:r w:rsidR="00AA6A25" w:rsidRPr="00A1696A">
        <w:rPr>
          <w:i/>
          <w:color w:val="000000"/>
          <w:sz w:val="18"/>
          <w:szCs w:val="18"/>
          <w:lang w:val="bg-BG"/>
        </w:rPr>
        <w:t>четни</w:t>
      </w:r>
    </w:p>
    <w:p w14:paraId="04B8AB78" w14:textId="60E923ED" w:rsidR="00513A69" w:rsidRPr="00A1696A" w:rsidRDefault="00513A69" w:rsidP="006B6EBF">
      <w:pPr>
        <w:pStyle w:val="tytultabeli"/>
        <w:rPr>
          <w:i/>
          <w:color w:val="000000"/>
          <w:sz w:val="18"/>
          <w:szCs w:val="18"/>
          <w:lang w:val="bg-BG"/>
        </w:rPr>
      </w:pPr>
      <w:r w:rsidRPr="00A1696A">
        <w:rPr>
          <w:i/>
          <w:color w:val="000000"/>
          <w:sz w:val="18"/>
          <w:szCs w:val="18"/>
          <w:lang w:val="bg-BG"/>
        </w:rPr>
        <w:t>**OEP = "</w:t>
      </w:r>
      <w:r w:rsidR="00AA6A25" w:rsidRPr="00A1696A">
        <w:rPr>
          <w:i/>
          <w:color w:val="000000"/>
          <w:sz w:val="18"/>
          <w:szCs w:val="18"/>
          <w:lang w:val="bg-BG"/>
        </w:rPr>
        <w:t>нечетни</w:t>
      </w:r>
      <w:r w:rsidRPr="00A1696A">
        <w:rPr>
          <w:i/>
          <w:color w:val="000000"/>
          <w:sz w:val="18"/>
          <w:szCs w:val="18"/>
          <w:lang w:val="bg-BG"/>
        </w:rPr>
        <w:t>" /"</w:t>
      </w:r>
      <w:r w:rsidR="00AA6A25" w:rsidRPr="00A1696A">
        <w:rPr>
          <w:i/>
          <w:color w:val="000000"/>
          <w:sz w:val="18"/>
          <w:szCs w:val="18"/>
          <w:lang w:val="bg-BG"/>
        </w:rPr>
        <w:t>четни</w:t>
      </w:r>
      <w:r w:rsidRPr="00A1696A">
        <w:rPr>
          <w:i/>
          <w:color w:val="000000"/>
          <w:sz w:val="18"/>
          <w:szCs w:val="18"/>
          <w:lang w:val="bg-BG"/>
        </w:rPr>
        <w:t xml:space="preserve">" </w:t>
      </w:r>
      <w:r w:rsidR="00AA6A25" w:rsidRPr="00A1696A">
        <w:rPr>
          <w:i/>
          <w:color w:val="000000"/>
          <w:sz w:val="18"/>
          <w:szCs w:val="18"/>
          <w:lang w:val="bg-BG"/>
        </w:rPr>
        <w:t>n-алкани</w:t>
      </w:r>
    </w:p>
    <w:p w14:paraId="6F0921CE" w14:textId="77777777" w:rsidR="00513A69" w:rsidRPr="00A1696A" w:rsidRDefault="00513A69" w:rsidP="006B6EBF">
      <w:pPr>
        <w:spacing w:after="0" w:line="240" w:lineRule="auto"/>
        <w:jc w:val="center"/>
        <w:rPr>
          <w:rFonts w:ascii="Times New Roman" w:hAnsi="Times New Roman" w:cs="Times New Roman"/>
          <w:i/>
          <w:sz w:val="18"/>
          <w:szCs w:val="18"/>
        </w:rPr>
      </w:pPr>
    </w:p>
    <w:p w14:paraId="6FC1DA18" w14:textId="5F763AA4" w:rsidR="00513A69" w:rsidRPr="00A1696A" w:rsidRDefault="00513A69" w:rsidP="001D3ADD">
      <w:pPr>
        <w:numPr>
          <w:ilvl w:val="0"/>
          <w:numId w:val="6"/>
        </w:numPr>
        <w:autoSpaceDE w:val="0"/>
        <w:autoSpaceDN w:val="0"/>
        <w:adjustRightInd w:val="0"/>
        <w:spacing w:after="0" w:line="240" w:lineRule="auto"/>
        <w:jc w:val="both"/>
        <w:rPr>
          <w:rFonts w:ascii="Times New Roman" w:hAnsi="Times New Roman" w:cs="Times New Roman"/>
          <w:b/>
          <w:sz w:val="24"/>
          <w:szCs w:val="24"/>
          <w:u w:val="single"/>
        </w:rPr>
      </w:pPr>
      <w:bookmarkStart w:id="92" w:name="_Hlk7801815"/>
      <w:r w:rsidRPr="00A1696A">
        <w:rPr>
          <w:rFonts w:ascii="Times New Roman" w:hAnsi="Times New Roman" w:cs="Times New Roman"/>
          <w:b/>
          <w:sz w:val="24"/>
          <w:szCs w:val="24"/>
        </w:rPr>
        <w:t>изо-алкани (изопреноиди)</w:t>
      </w:r>
    </w:p>
    <w:p w14:paraId="6AB108AF" w14:textId="0B56BD9A" w:rsidR="00513A69" w:rsidRPr="00A1696A" w:rsidRDefault="00B85C13" w:rsidP="006B6EBF">
      <w:pPr>
        <w:spacing w:after="0" w:line="240" w:lineRule="auto"/>
        <w:ind w:firstLine="708"/>
        <w:jc w:val="both"/>
        <w:rPr>
          <w:rFonts w:ascii="Times New Roman" w:hAnsi="Times New Roman" w:cs="Times New Roman"/>
          <w:sz w:val="24"/>
          <w:szCs w:val="24"/>
        </w:rPr>
      </w:pPr>
      <w:r w:rsidRPr="00A1696A">
        <w:rPr>
          <w:rFonts w:ascii="Times New Roman" w:hAnsi="Times New Roman" w:cs="Times New Roman"/>
          <w:sz w:val="24"/>
          <w:szCs w:val="24"/>
        </w:rPr>
        <w:t>За пробите, в които е определено съдържание на C</w:t>
      </w:r>
      <w:r w:rsidRPr="00A1696A">
        <w:rPr>
          <w:rFonts w:ascii="Times New Roman" w:hAnsi="Times New Roman" w:cs="Times New Roman"/>
          <w:sz w:val="24"/>
          <w:szCs w:val="24"/>
          <w:vertAlign w:val="subscript"/>
        </w:rPr>
        <w:t>орг</w:t>
      </w:r>
      <w:r w:rsidRPr="00A1696A">
        <w:rPr>
          <w:rFonts w:ascii="Times New Roman" w:hAnsi="Times New Roman" w:cs="Times New Roman"/>
          <w:sz w:val="24"/>
          <w:szCs w:val="24"/>
        </w:rPr>
        <w:t xml:space="preserve"> &gt; 1%, съдържанието на регулярни изопреноиди е голямо, а стойностите </w:t>
      </w:r>
      <w:r w:rsidR="00C523F1">
        <w:rPr>
          <w:rFonts w:ascii="Times New Roman" w:hAnsi="Times New Roman" w:cs="Times New Roman"/>
          <w:sz w:val="24"/>
          <w:szCs w:val="24"/>
        </w:rPr>
        <w:t>н</w:t>
      </w:r>
      <w:r w:rsidRPr="00A1696A">
        <w:rPr>
          <w:rFonts w:ascii="Times New Roman" w:hAnsi="Times New Roman" w:cs="Times New Roman"/>
          <w:sz w:val="24"/>
          <w:szCs w:val="24"/>
        </w:rPr>
        <w:t xml:space="preserve">а отношението Pr/Ph са около 1,0. Стойности на това отношение &gt;3 са характерни за ОВ от сухоземна растителност, отложено в окислителни условия, а стойности &lt;1 индикират редукционни условия на седиментация. Получените средни стойности на това отношение са указание, че предполагаемите генериращи скали от изучавания район са отложени в среда с преходни условия на образуване </w:t>
      </w:r>
      <w:r w:rsidR="002E62F9" w:rsidRPr="00A1696A">
        <w:rPr>
          <w:rFonts w:ascii="Times New Roman" w:hAnsi="Times New Roman" w:cs="Times New Roman"/>
          <w:sz w:val="24"/>
          <w:szCs w:val="24"/>
        </w:rPr>
        <w:t xml:space="preserve">- sub-oxic conditions </w:t>
      </w:r>
      <w:r w:rsidRPr="00A1696A">
        <w:rPr>
          <w:rFonts w:ascii="Times New Roman" w:hAnsi="Times New Roman" w:cs="Times New Roman"/>
          <w:sz w:val="24"/>
          <w:szCs w:val="24"/>
        </w:rPr>
        <w:t>(</w:t>
      </w:r>
      <w:r w:rsidR="002E62F9" w:rsidRPr="00A1696A">
        <w:rPr>
          <w:rFonts w:ascii="Times New Roman" w:hAnsi="Times New Roman" w:cs="Times New Roman"/>
          <w:sz w:val="24"/>
          <w:szCs w:val="24"/>
        </w:rPr>
        <w:t>Cranwell, 1982</w:t>
      </w:r>
      <w:r w:rsidRPr="00A1696A">
        <w:rPr>
          <w:rFonts w:ascii="Times New Roman" w:hAnsi="Times New Roman" w:cs="Times New Roman"/>
          <w:sz w:val="24"/>
          <w:szCs w:val="24"/>
        </w:rPr>
        <w:t>).</w:t>
      </w:r>
      <w:r w:rsidR="002E62F9" w:rsidRPr="00A1696A">
        <w:rPr>
          <w:rFonts w:ascii="Times New Roman" w:hAnsi="Times New Roman" w:cs="Times New Roman"/>
          <w:sz w:val="24"/>
          <w:szCs w:val="24"/>
        </w:rPr>
        <w:t xml:space="preserve"> Но </w:t>
      </w:r>
      <w:r w:rsidR="00513A69" w:rsidRPr="00A1696A">
        <w:rPr>
          <w:rFonts w:ascii="Times New Roman" w:hAnsi="Times New Roman" w:cs="Times New Roman"/>
          <w:sz w:val="24"/>
          <w:szCs w:val="24"/>
        </w:rPr>
        <w:t xml:space="preserve">тълкуване на резултати само на база Pr/Ph отношение е много рисковано, защото при незряло органично вещество е възможно регулярните изопреноиди да са все още свързани към керогена. </w:t>
      </w:r>
      <w:r w:rsidR="002E62F9" w:rsidRPr="00A1696A">
        <w:rPr>
          <w:rFonts w:ascii="Times New Roman" w:hAnsi="Times New Roman" w:cs="Times New Roman"/>
          <w:sz w:val="24"/>
          <w:szCs w:val="24"/>
        </w:rPr>
        <w:t>Условията на формиране на органичното вещество са о</w:t>
      </w:r>
      <w:r w:rsidR="00513A69" w:rsidRPr="00A1696A">
        <w:rPr>
          <w:rFonts w:ascii="Times New Roman" w:hAnsi="Times New Roman" w:cs="Times New Roman"/>
          <w:sz w:val="24"/>
          <w:szCs w:val="24"/>
        </w:rPr>
        <w:t>цен</w:t>
      </w:r>
      <w:r w:rsidR="002E62F9" w:rsidRPr="00A1696A">
        <w:rPr>
          <w:rFonts w:ascii="Times New Roman" w:hAnsi="Times New Roman" w:cs="Times New Roman"/>
          <w:sz w:val="24"/>
          <w:szCs w:val="24"/>
        </w:rPr>
        <w:t>ени</w:t>
      </w:r>
      <w:r w:rsidR="00513A69" w:rsidRPr="00A1696A">
        <w:rPr>
          <w:rFonts w:ascii="Times New Roman" w:hAnsi="Times New Roman" w:cs="Times New Roman"/>
          <w:sz w:val="24"/>
          <w:szCs w:val="24"/>
        </w:rPr>
        <w:t xml:space="preserve"> чрез прилагане на Pr/</w:t>
      </w:r>
      <w:r w:rsidR="00513A69" w:rsidRPr="00A1696A">
        <w:rPr>
          <w:rFonts w:ascii="Times New Roman" w:hAnsi="Times New Roman" w:cs="Times New Roman"/>
          <w:i/>
          <w:sz w:val="24"/>
          <w:szCs w:val="24"/>
        </w:rPr>
        <w:t>n</w:t>
      </w:r>
      <w:r w:rsidR="00513A69" w:rsidRPr="00A1696A">
        <w:rPr>
          <w:rFonts w:ascii="Times New Roman" w:hAnsi="Times New Roman" w:cs="Times New Roman"/>
          <w:sz w:val="24"/>
          <w:szCs w:val="24"/>
        </w:rPr>
        <w:t>-C</w:t>
      </w:r>
      <w:r w:rsidR="00513A69" w:rsidRPr="00A1696A">
        <w:rPr>
          <w:rFonts w:ascii="Times New Roman" w:hAnsi="Times New Roman" w:cs="Times New Roman"/>
          <w:sz w:val="24"/>
          <w:szCs w:val="24"/>
          <w:vertAlign w:val="subscript"/>
        </w:rPr>
        <w:t>17</w:t>
      </w:r>
      <w:r w:rsidR="00513A69" w:rsidRPr="00A1696A">
        <w:rPr>
          <w:rFonts w:ascii="Times New Roman" w:hAnsi="Times New Roman" w:cs="Times New Roman"/>
          <w:sz w:val="24"/>
          <w:szCs w:val="24"/>
        </w:rPr>
        <w:t xml:space="preserve"> </w:t>
      </w:r>
      <w:r w:rsidR="002E62F9" w:rsidRPr="00A1696A">
        <w:rPr>
          <w:rFonts w:ascii="Times New Roman" w:hAnsi="Times New Roman" w:cs="Times New Roman"/>
          <w:i/>
          <w:sz w:val="24"/>
          <w:szCs w:val="24"/>
        </w:rPr>
        <w:t>към</w:t>
      </w:r>
      <w:r w:rsidR="00513A69" w:rsidRPr="00A1696A">
        <w:rPr>
          <w:rFonts w:ascii="Times New Roman" w:hAnsi="Times New Roman" w:cs="Times New Roman"/>
          <w:sz w:val="24"/>
          <w:szCs w:val="24"/>
        </w:rPr>
        <w:t xml:space="preserve"> Ph/</w:t>
      </w:r>
      <w:r w:rsidR="00513A69" w:rsidRPr="00A1696A">
        <w:rPr>
          <w:rFonts w:ascii="Times New Roman" w:hAnsi="Times New Roman" w:cs="Times New Roman"/>
          <w:i/>
          <w:sz w:val="24"/>
          <w:szCs w:val="24"/>
        </w:rPr>
        <w:t>n</w:t>
      </w:r>
      <w:r w:rsidR="00513A69" w:rsidRPr="00A1696A">
        <w:rPr>
          <w:rFonts w:ascii="Times New Roman" w:hAnsi="Times New Roman" w:cs="Times New Roman"/>
          <w:sz w:val="24"/>
          <w:szCs w:val="24"/>
        </w:rPr>
        <w:t>-C</w:t>
      </w:r>
      <w:r w:rsidR="00513A69" w:rsidRPr="00A1696A">
        <w:rPr>
          <w:rFonts w:ascii="Times New Roman" w:hAnsi="Times New Roman" w:cs="Times New Roman"/>
          <w:sz w:val="24"/>
          <w:szCs w:val="24"/>
          <w:vertAlign w:val="subscript"/>
        </w:rPr>
        <w:t xml:space="preserve">18 </w:t>
      </w:r>
      <w:r w:rsidR="00513A69" w:rsidRPr="00A1696A">
        <w:rPr>
          <w:rFonts w:ascii="Times New Roman" w:hAnsi="Times New Roman" w:cs="Times New Roman"/>
          <w:sz w:val="24"/>
          <w:szCs w:val="24"/>
        </w:rPr>
        <w:t>диаграма (Waples,</w:t>
      </w:r>
      <w:r w:rsidR="00F70026" w:rsidRPr="00A1696A">
        <w:rPr>
          <w:rFonts w:ascii="Times New Roman" w:hAnsi="Times New Roman" w:cs="Times New Roman"/>
          <w:sz w:val="24"/>
          <w:szCs w:val="24"/>
        </w:rPr>
        <w:t xml:space="preserve"> </w:t>
      </w:r>
      <w:r w:rsidR="00513A69" w:rsidRPr="00A1696A">
        <w:rPr>
          <w:rFonts w:ascii="Times New Roman" w:hAnsi="Times New Roman" w:cs="Times New Roman"/>
          <w:sz w:val="24"/>
          <w:szCs w:val="24"/>
        </w:rPr>
        <w:t>1985). Стойностите</w:t>
      </w:r>
      <w:r w:rsidR="002E62F9" w:rsidRPr="00A1696A">
        <w:rPr>
          <w:rFonts w:ascii="Times New Roman" w:hAnsi="Times New Roman" w:cs="Times New Roman"/>
          <w:sz w:val="24"/>
          <w:szCs w:val="24"/>
        </w:rPr>
        <w:t xml:space="preserve"> на изследваните образци </w:t>
      </w:r>
      <w:r w:rsidR="00513A69" w:rsidRPr="00A1696A">
        <w:rPr>
          <w:rFonts w:ascii="Times New Roman" w:hAnsi="Times New Roman" w:cs="Times New Roman"/>
          <w:sz w:val="24"/>
          <w:szCs w:val="24"/>
        </w:rPr>
        <w:t xml:space="preserve">са разположени на границата между Тип І/ІІ </w:t>
      </w:r>
      <w:r w:rsidR="007D1D90" w:rsidRPr="00A1696A">
        <w:rPr>
          <w:rFonts w:ascii="Times New Roman" w:hAnsi="Times New Roman" w:cs="Times New Roman"/>
          <w:sz w:val="24"/>
          <w:szCs w:val="24"/>
        </w:rPr>
        <w:t xml:space="preserve">и Тип </w:t>
      </w:r>
      <w:r w:rsidR="002443AB" w:rsidRPr="00A1696A">
        <w:rPr>
          <w:rFonts w:ascii="Times New Roman" w:hAnsi="Times New Roman" w:cs="Times New Roman"/>
          <w:sz w:val="24"/>
          <w:szCs w:val="24"/>
        </w:rPr>
        <w:t xml:space="preserve">ІI/IІІ </w:t>
      </w:r>
      <w:r w:rsidR="00513A69" w:rsidRPr="00A1696A">
        <w:rPr>
          <w:rFonts w:ascii="Times New Roman" w:hAnsi="Times New Roman" w:cs="Times New Roman"/>
          <w:sz w:val="24"/>
          <w:szCs w:val="24"/>
        </w:rPr>
        <w:t>органично вещество (фиг.</w:t>
      </w:r>
      <w:r w:rsidR="00367986" w:rsidRPr="00A1696A">
        <w:rPr>
          <w:rFonts w:ascii="Times New Roman" w:hAnsi="Times New Roman" w:cs="Times New Roman"/>
          <w:sz w:val="24"/>
          <w:szCs w:val="24"/>
        </w:rPr>
        <w:t xml:space="preserve"> </w:t>
      </w:r>
      <w:r w:rsidR="002E62F9" w:rsidRPr="00875186">
        <w:rPr>
          <w:rFonts w:ascii="Times New Roman" w:hAnsi="Times New Roman" w:cs="Times New Roman"/>
          <w:sz w:val="24"/>
          <w:szCs w:val="24"/>
        </w:rPr>
        <w:t>2</w:t>
      </w:r>
      <w:r w:rsidR="00C523F1" w:rsidRPr="00875186">
        <w:rPr>
          <w:rFonts w:ascii="Times New Roman" w:hAnsi="Times New Roman" w:cs="Times New Roman"/>
          <w:sz w:val="24"/>
          <w:szCs w:val="24"/>
        </w:rPr>
        <w:t>2</w:t>
      </w:r>
      <w:r w:rsidR="00513A69" w:rsidRPr="00A1696A">
        <w:rPr>
          <w:rFonts w:ascii="Times New Roman" w:hAnsi="Times New Roman" w:cs="Times New Roman"/>
          <w:sz w:val="24"/>
          <w:szCs w:val="24"/>
        </w:rPr>
        <w:t xml:space="preserve">). Позициите  на изследваните проби в </w:t>
      </w:r>
      <w:r w:rsidR="002E62F9" w:rsidRPr="00A1696A">
        <w:rPr>
          <w:rFonts w:ascii="Times New Roman" w:hAnsi="Times New Roman" w:cs="Times New Roman"/>
          <w:sz w:val="24"/>
          <w:szCs w:val="24"/>
        </w:rPr>
        <w:t>тази</w:t>
      </w:r>
      <w:r w:rsidR="00513A69" w:rsidRPr="00A1696A">
        <w:rPr>
          <w:rFonts w:ascii="Times New Roman" w:hAnsi="Times New Roman" w:cs="Times New Roman"/>
          <w:sz w:val="24"/>
          <w:szCs w:val="24"/>
        </w:rPr>
        <w:t xml:space="preserve"> диаграма също така дава основание да се определи органичното вещество като „незряло” и отложено при преходни (sub-oxic) условия (между редукционни и окислителни).  </w:t>
      </w:r>
    </w:p>
    <w:bookmarkEnd w:id="92"/>
    <w:p w14:paraId="4D04BE12" w14:textId="77777777" w:rsidR="00513A69" w:rsidRPr="00A1696A" w:rsidRDefault="00513A69" w:rsidP="00BE3573">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lastRenderedPageBreak/>
        <w:drawing>
          <wp:inline distT="0" distB="0" distL="0" distR="0" wp14:anchorId="2899DA2F" wp14:editId="4B4EAD99">
            <wp:extent cx="5748265" cy="4680272"/>
            <wp:effectExtent l="19050" t="19050" r="24130" b="25400"/>
            <wp:docPr id="7199" name="Картина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427" t="2032" r="6226" b="8977"/>
                    <a:stretch/>
                  </pic:blipFill>
                  <pic:spPr bwMode="auto">
                    <a:xfrm>
                      <a:off x="0" y="0"/>
                      <a:ext cx="5768041" cy="4696374"/>
                    </a:xfrm>
                    <a:prstGeom prst="rect">
                      <a:avLst/>
                    </a:prstGeom>
                    <a:noFill/>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49FC9899" w14:textId="304EE342" w:rsidR="00513A69" w:rsidRPr="00A1696A" w:rsidRDefault="00513A69" w:rsidP="006B6EBF">
      <w:pPr>
        <w:spacing w:after="0" w:line="240" w:lineRule="auto"/>
        <w:jc w:val="center"/>
        <w:rPr>
          <w:rFonts w:ascii="Times New Roman" w:hAnsi="Times New Roman" w:cs="Times New Roman"/>
          <w:sz w:val="24"/>
          <w:szCs w:val="24"/>
          <w:vertAlign w:val="subscript"/>
        </w:rPr>
      </w:pPr>
      <w:bookmarkStart w:id="93" w:name="_Hlk7809807"/>
      <w:r w:rsidRPr="00A1696A">
        <w:rPr>
          <w:rFonts w:ascii="Times New Roman" w:hAnsi="Times New Roman" w:cs="Times New Roman"/>
          <w:i/>
          <w:sz w:val="24"/>
          <w:szCs w:val="24"/>
        </w:rPr>
        <w:t>Фиг.</w:t>
      </w:r>
      <w:r w:rsidR="00367986" w:rsidRPr="00A1696A">
        <w:rPr>
          <w:rFonts w:ascii="Times New Roman" w:hAnsi="Times New Roman" w:cs="Times New Roman"/>
          <w:i/>
          <w:sz w:val="24"/>
          <w:szCs w:val="24"/>
        </w:rPr>
        <w:t xml:space="preserve"> </w:t>
      </w:r>
      <w:r w:rsidR="00C523F1" w:rsidRPr="00875186">
        <w:rPr>
          <w:rFonts w:ascii="Times New Roman" w:hAnsi="Times New Roman" w:cs="Times New Roman"/>
          <w:i/>
          <w:sz w:val="24"/>
          <w:szCs w:val="24"/>
        </w:rPr>
        <w:t>22</w:t>
      </w:r>
      <w:r w:rsidRPr="00A1696A">
        <w:rPr>
          <w:rFonts w:ascii="Times New Roman" w:hAnsi="Times New Roman" w:cs="Times New Roman"/>
          <w:i/>
          <w:sz w:val="24"/>
          <w:szCs w:val="24"/>
        </w:rPr>
        <w:t xml:space="preserve">. Определяне на условията на образуване на изследваните скални образци според съотношението на </w:t>
      </w:r>
      <w:r w:rsidRPr="00A1696A">
        <w:rPr>
          <w:rFonts w:ascii="Times New Roman" w:hAnsi="Times New Roman" w:cs="Times New Roman"/>
          <w:sz w:val="24"/>
          <w:szCs w:val="24"/>
        </w:rPr>
        <w:t>Pr/</w:t>
      </w:r>
      <w:r w:rsidRPr="00A1696A">
        <w:rPr>
          <w:rFonts w:ascii="Times New Roman" w:hAnsi="Times New Roman" w:cs="Times New Roman"/>
          <w:i/>
          <w:sz w:val="24"/>
          <w:szCs w:val="24"/>
        </w:rPr>
        <w:t>n</w:t>
      </w:r>
      <w:r w:rsidRPr="00A1696A">
        <w:rPr>
          <w:rFonts w:ascii="Times New Roman" w:hAnsi="Times New Roman" w:cs="Times New Roman"/>
          <w:sz w:val="24"/>
          <w:szCs w:val="24"/>
        </w:rPr>
        <w:t>-C</w:t>
      </w:r>
      <w:r w:rsidRPr="00A1696A">
        <w:rPr>
          <w:rFonts w:ascii="Times New Roman" w:hAnsi="Times New Roman" w:cs="Times New Roman"/>
          <w:sz w:val="24"/>
          <w:szCs w:val="24"/>
          <w:vertAlign w:val="subscript"/>
        </w:rPr>
        <w:t>17</w:t>
      </w:r>
      <w:r w:rsidRPr="00A1696A">
        <w:rPr>
          <w:rFonts w:ascii="Times New Roman" w:hAnsi="Times New Roman" w:cs="Times New Roman"/>
          <w:sz w:val="24"/>
          <w:szCs w:val="24"/>
        </w:rPr>
        <w:t xml:space="preserve"> към Ph/</w:t>
      </w:r>
      <w:r w:rsidRPr="00A1696A">
        <w:rPr>
          <w:rFonts w:ascii="Times New Roman" w:hAnsi="Times New Roman" w:cs="Times New Roman"/>
          <w:i/>
          <w:sz w:val="24"/>
          <w:szCs w:val="24"/>
        </w:rPr>
        <w:t>n</w:t>
      </w:r>
      <w:r w:rsidRPr="00A1696A">
        <w:rPr>
          <w:rFonts w:ascii="Times New Roman" w:hAnsi="Times New Roman" w:cs="Times New Roman"/>
          <w:sz w:val="24"/>
          <w:szCs w:val="24"/>
        </w:rPr>
        <w:t>-C</w:t>
      </w:r>
      <w:r w:rsidRPr="00A1696A">
        <w:rPr>
          <w:rFonts w:ascii="Times New Roman" w:hAnsi="Times New Roman" w:cs="Times New Roman"/>
          <w:sz w:val="24"/>
          <w:szCs w:val="24"/>
          <w:vertAlign w:val="subscript"/>
        </w:rPr>
        <w:t>18</w:t>
      </w:r>
    </w:p>
    <w:p w14:paraId="7A76FA2C" w14:textId="77777777" w:rsidR="00513A69" w:rsidRPr="00A1696A" w:rsidRDefault="00513A69" w:rsidP="006B6EBF">
      <w:pPr>
        <w:spacing w:after="0" w:line="240" w:lineRule="auto"/>
        <w:ind w:firstLine="709"/>
        <w:jc w:val="both"/>
        <w:rPr>
          <w:rFonts w:ascii="Times New Roman" w:hAnsi="Times New Roman" w:cs="Times New Roman"/>
          <w:i/>
          <w:sz w:val="24"/>
          <w:szCs w:val="24"/>
        </w:rPr>
      </w:pPr>
    </w:p>
    <w:p w14:paraId="41686CF6" w14:textId="3AB1EFC0" w:rsidR="00513A69" w:rsidRPr="00A1696A" w:rsidRDefault="00513A69" w:rsidP="001D3ADD">
      <w:pPr>
        <w:numPr>
          <w:ilvl w:val="0"/>
          <w:numId w:val="6"/>
        </w:numPr>
        <w:autoSpaceDE w:val="0"/>
        <w:autoSpaceDN w:val="0"/>
        <w:adjustRightInd w:val="0"/>
        <w:spacing w:after="0" w:line="240" w:lineRule="auto"/>
        <w:jc w:val="both"/>
        <w:rPr>
          <w:rFonts w:ascii="Times New Roman" w:hAnsi="Times New Roman" w:cs="Times New Roman"/>
          <w:b/>
          <w:sz w:val="24"/>
          <w:szCs w:val="24"/>
        </w:rPr>
      </w:pPr>
      <w:r w:rsidRPr="00A1696A">
        <w:rPr>
          <w:rFonts w:ascii="Times New Roman" w:hAnsi="Times New Roman" w:cs="Times New Roman"/>
          <w:b/>
          <w:sz w:val="24"/>
          <w:szCs w:val="24"/>
        </w:rPr>
        <w:t xml:space="preserve">Стерани </w:t>
      </w:r>
    </w:p>
    <w:p w14:paraId="5CCF3341" w14:textId="53AFC52A" w:rsidR="00251325" w:rsidRPr="00A1696A" w:rsidRDefault="00513A69" w:rsidP="00251325">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t>Общото съдържание на стераните в изследваните проби е много ниско, което не позволи количественото им определяне</w:t>
      </w:r>
      <w:r w:rsidR="00D05662" w:rsidRPr="00A1696A">
        <w:rPr>
          <w:rFonts w:ascii="Times New Roman" w:hAnsi="Times New Roman" w:cs="Times New Roman"/>
          <w:sz w:val="24"/>
          <w:szCs w:val="24"/>
        </w:rPr>
        <w:t xml:space="preserve">, </w:t>
      </w:r>
      <w:r w:rsidR="00BE3573" w:rsidRPr="00A1696A">
        <w:rPr>
          <w:rFonts w:ascii="Times New Roman" w:hAnsi="Times New Roman" w:cs="Times New Roman"/>
          <w:sz w:val="24"/>
          <w:szCs w:val="24"/>
        </w:rPr>
        <w:t>поради тази</w:t>
      </w:r>
      <w:r w:rsidRPr="00A1696A">
        <w:rPr>
          <w:rFonts w:ascii="Times New Roman" w:hAnsi="Times New Roman" w:cs="Times New Roman"/>
          <w:sz w:val="24"/>
          <w:szCs w:val="24"/>
        </w:rPr>
        <w:t xml:space="preserve"> причината тяхното присъствие </w:t>
      </w:r>
      <w:r w:rsidR="00BE3573" w:rsidRPr="00A1696A">
        <w:rPr>
          <w:rFonts w:ascii="Times New Roman" w:hAnsi="Times New Roman" w:cs="Times New Roman"/>
          <w:sz w:val="24"/>
          <w:szCs w:val="24"/>
        </w:rPr>
        <w:t>е</w:t>
      </w:r>
      <w:r w:rsidRPr="00A1696A">
        <w:rPr>
          <w:rFonts w:ascii="Times New Roman" w:hAnsi="Times New Roman" w:cs="Times New Roman"/>
          <w:sz w:val="24"/>
          <w:szCs w:val="24"/>
        </w:rPr>
        <w:t xml:space="preserve"> коментирано само качествено</w:t>
      </w:r>
      <w:r w:rsidR="002443AB" w:rsidRPr="00A1696A">
        <w:rPr>
          <w:rFonts w:ascii="Times New Roman" w:hAnsi="Times New Roman" w:cs="Times New Roman"/>
          <w:sz w:val="24"/>
          <w:szCs w:val="24"/>
        </w:rPr>
        <w:t xml:space="preserve"> (табл. </w:t>
      </w:r>
      <w:r w:rsidR="00BE3573" w:rsidRPr="00A1696A">
        <w:rPr>
          <w:rFonts w:ascii="Times New Roman" w:hAnsi="Times New Roman" w:cs="Times New Roman"/>
          <w:sz w:val="24"/>
          <w:szCs w:val="24"/>
        </w:rPr>
        <w:t>3</w:t>
      </w:r>
      <w:r w:rsidR="002443AB" w:rsidRPr="00A1696A">
        <w:rPr>
          <w:rFonts w:ascii="Times New Roman" w:hAnsi="Times New Roman" w:cs="Times New Roman"/>
          <w:sz w:val="24"/>
          <w:szCs w:val="24"/>
        </w:rPr>
        <w:t>.)</w:t>
      </w:r>
      <w:r w:rsidRPr="00A1696A">
        <w:rPr>
          <w:rFonts w:ascii="Times New Roman" w:hAnsi="Times New Roman" w:cs="Times New Roman"/>
          <w:sz w:val="24"/>
          <w:szCs w:val="24"/>
        </w:rPr>
        <w:t>.</w:t>
      </w:r>
      <w:r w:rsidR="00251325" w:rsidRPr="00A1696A">
        <w:rPr>
          <w:rFonts w:ascii="Times New Roman" w:hAnsi="Times New Roman" w:cs="Times New Roman"/>
          <w:sz w:val="24"/>
          <w:szCs w:val="24"/>
        </w:rPr>
        <w:t xml:space="preserve"> </w:t>
      </w:r>
      <w:r w:rsidR="00BE3573" w:rsidRPr="00A1696A">
        <w:rPr>
          <w:rFonts w:ascii="Times New Roman" w:hAnsi="Times New Roman" w:cs="Times New Roman"/>
          <w:sz w:val="24"/>
          <w:szCs w:val="24"/>
        </w:rPr>
        <w:t>В настоящото изследване е използвана триъгълната диаграма за относителното разпределение на стераните С</w:t>
      </w:r>
      <w:r w:rsidR="00BE3573" w:rsidRPr="00A1696A">
        <w:rPr>
          <w:rFonts w:ascii="Times New Roman" w:hAnsi="Times New Roman" w:cs="Times New Roman"/>
          <w:sz w:val="24"/>
          <w:szCs w:val="24"/>
          <w:vertAlign w:val="subscript"/>
        </w:rPr>
        <w:t>27</w:t>
      </w:r>
      <w:r w:rsidR="00BE3573" w:rsidRPr="00A1696A">
        <w:rPr>
          <w:rFonts w:ascii="Times New Roman" w:hAnsi="Times New Roman" w:cs="Times New Roman"/>
          <w:sz w:val="24"/>
          <w:szCs w:val="24"/>
        </w:rPr>
        <w:t>÷С</w:t>
      </w:r>
      <w:r w:rsidR="00BE3573" w:rsidRPr="00A1696A">
        <w:rPr>
          <w:rFonts w:ascii="Times New Roman" w:hAnsi="Times New Roman" w:cs="Times New Roman"/>
          <w:sz w:val="24"/>
          <w:szCs w:val="24"/>
          <w:vertAlign w:val="subscript"/>
        </w:rPr>
        <w:t>29</w:t>
      </w:r>
      <w:r w:rsidR="00BE3573" w:rsidRPr="00A1696A">
        <w:rPr>
          <w:rFonts w:ascii="Times New Roman" w:hAnsi="Times New Roman" w:cs="Times New Roman"/>
          <w:sz w:val="24"/>
          <w:szCs w:val="24"/>
        </w:rPr>
        <w:t xml:space="preserve"> за тези проби, в които е определено най-голямо количество стерани (фиг. </w:t>
      </w:r>
      <w:r w:rsidR="00E256CA">
        <w:rPr>
          <w:rFonts w:ascii="Times New Roman" w:hAnsi="Times New Roman" w:cs="Times New Roman"/>
          <w:sz w:val="24"/>
          <w:szCs w:val="24"/>
          <w:lang w:val="en-US"/>
        </w:rPr>
        <w:t>23</w:t>
      </w:r>
      <w:r w:rsidR="00BE3573" w:rsidRPr="00A1696A">
        <w:rPr>
          <w:rFonts w:ascii="Times New Roman" w:hAnsi="Times New Roman" w:cs="Times New Roman"/>
          <w:sz w:val="24"/>
          <w:szCs w:val="24"/>
        </w:rPr>
        <w:t xml:space="preserve">). Както се вижда на фигурата, всички точки попадат в областта, обособена за ОВ формирано в залив или устие на река. </w:t>
      </w:r>
      <w:r w:rsidR="00C20A28" w:rsidRPr="00A1696A">
        <w:rPr>
          <w:rFonts w:ascii="Times New Roman" w:hAnsi="Times New Roman" w:cs="Times New Roman"/>
          <w:sz w:val="24"/>
          <w:szCs w:val="24"/>
        </w:rPr>
        <w:t>С удълбочаване на пробите се наблюдава изменение в отношението на стерани C</w:t>
      </w:r>
      <w:r w:rsidR="00C20A28" w:rsidRPr="00A1696A">
        <w:rPr>
          <w:rFonts w:ascii="Times New Roman" w:hAnsi="Times New Roman" w:cs="Times New Roman"/>
          <w:sz w:val="24"/>
          <w:szCs w:val="24"/>
          <w:vertAlign w:val="subscript"/>
        </w:rPr>
        <w:t>27</w:t>
      </w:r>
      <w:r w:rsidR="00C20A28" w:rsidRPr="00A1696A">
        <w:rPr>
          <w:rFonts w:ascii="Times New Roman" w:hAnsi="Times New Roman" w:cs="Times New Roman"/>
          <w:sz w:val="24"/>
          <w:szCs w:val="24"/>
        </w:rPr>
        <w:t>/C</w:t>
      </w:r>
      <w:r w:rsidR="00C20A28" w:rsidRPr="00A1696A">
        <w:rPr>
          <w:rFonts w:ascii="Times New Roman" w:hAnsi="Times New Roman" w:cs="Times New Roman"/>
          <w:sz w:val="24"/>
          <w:szCs w:val="24"/>
          <w:vertAlign w:val="subscript"/>
        </w:rPr>
        <w:t>29</w:t>
      </w:r>
      <w:r w:rsidR="00C20A28" w:rsidRPr="00A1696A">
        <w:rPr>
          <w:rFonts w:ascii="Times New Roman" w:hAnsi="Times New Roman" w:cs="Times New Roman"/>
          <w:sz w:val="24"/>
          <w:szCs w:val="24"/>
        </w:rPr>
        <w:t xml:space="preserve"> (табл. 3). Съдържанието на морски фитопланктон, съответно относителното съдържание на стеран C</w:t>
      </w:r>
      <w:r w:rsidR="00C20A28" w:rsidRPr="00A1696A">
        <w:rPr>
          <w:rFonts w:ascii="Times New Roman" w:hAnsi="Times New Roman" w:cs="Times New Roman"/>
          <w:sz w:val="24"/>
          <w:szCs w:val="24"/>
          <w:vertAlign w:val="subscript"/>
        </w:rPr>
        <w:t>27</w:t>
      </w:r>
      <w:r w:rsidR="00C20A28" w:rsidRPr="00A1696A">
        <w:rPr>
          <w:rFonts w:ascii="Times New Roman" w:hAnsi="Times New Roman" w:cs="Times New Roman"/>
          <w:sz w:val="24"/>
          <w:szCs w:val="24"/>
        </w:rPr>
        <w:t xml:space="preserve"> се повишава с дълбочината до ~ 40%, докато пробите с високо съдържание на С</w:t>
      </w:r>
      <w:r w:rsidR="00C20A28" w:rsidRPr="00A1696A">
        <w:rPr>
          <w:rFonts w:ascii="Times New Roman" w:hAnsi="Times New Roman" w:cs="Times New Roman"/>
          <w:sz w:val="24"/>
          <w:szCs w:val="24"/>
          <w:vertAlign w:val="subscript"/>
        </w:rPr>
        <w:t>орг</w:t>
      </w:r>
      <w:r w:rsidR="00C20A28" w:rsidRPr="00A1696A">
        <w:rPr>
          <w:rFonts w:ascii="Times New Roman" w:hAnsi="Times New Roman" w:cs="Times New Roman"/>
          <w:sz w:val="24"/>
          <w:szCs w:val="24"/>
        </w:rPr>
        <w:t xml:space="preserve"> в глинестите интервали на глинесто-мергелната задруга нагоре в разреза са обогатен на стеран C</w:t>
      </w:r>
      <w:r w:rsidR="00C20A28" w:rsidRPr="00A1696A">
        <w:rPr>
          <w:rFonts w:ascii="Times New Roman" w:hAnsi="Times New Roman" w:cs="Times New Roman"/>
          <w:sz w:val="24"/>
          <w:szCs w:val="24"/>
          <w:vertAlign w:val="subscript"/>
        </w:rPr>
        <w:t>29</w:t>
      </w:r>
      <w:r w:rsidR="00C20A28" w:rsidRPr="00A1696A">
        <w:rPr>
          <w:rFonts w:ascii="Times New Roman" w:hAnsi="Times New Roman" w:cs="Times New Roman"/>
          <w:sz w:val="24"/>
          <w:szCs w:val="24"/>
        </w:rPr>
        <w:t xml:space="preserve">. Варирането в разпределението на стераните в изследваните образци вероятно се дължи на бързата смяна на седиментната обстановка. </w:t>
      </w:r>
    </w:p>
    <w:bookmarkEnd w:id="93"/>
    <w:p w14:paraId="1872861D" w14:textId="77777777" w:rsidR="00BE3573" w:rsidRPr="00A1696A" w:rsidRDefault="00BE3573" w:rsidP="00BE3573">
      <w:pPr>
        <w:spacing w:after="0" w:line="240" w:lineRule="auto"/>
        <w:ind w:firstLine="709"/>
        <w:jc w:val="both"/>
        <w:rPr>
          <w:rFonts w:ascii="Times New Roman" w:hAnsi="Times New Roman" w:cs="Times New Roman"/>
          <w:sz w:val="24"/>
          <w:szCs w:val="24"/>
        </w:rPr>
      </w:pPr>
    </w:p>
    <w:p w14:paraId="7C8FD6EE" w14:textId="77777777" w:rsidR="00BE3573" w:rsidRPr="00A1696A" w:rsidRDefault="00BE3573" w:rsidP="00BE3573">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lastRenderedPageBreak/>
        <w:drawing>
          <wp:inline distT="0" distB="0" distL="0" distR="0" wp14:anchorId="5C6A7A06" wp14:editId="670BE945">
            <wp:extent cx="4933098" cy="3722210"/>
            <wp:effectExtent l="19050" t="19050" r="20320" b="12065"/>
            <wp:docPr id="7189" name="Картина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Biomarkers_schemes1-Model1.jpg"/>
                    <pic:cNvPicPr/>
                  </pic:nvPicPr>
                  <pic:blipFill rotWithShape="1">
                    <a:blip r:embed="rId36" cstate="print">
                      <a:extLst>
                        <a:ext uri="{28A0092B-C50C-407E-A947-70E740481C1C}">
                          <a14:useLocalDpi xmlns:a14="http://schemas.microsoft.com/office/drawing/2010/main" val="0"/>
                        </a:ext>
                      </a:extLst>
                    </a:blip>
                    <a:srcRect l="5554" t="3722" r="4224"/>
                    <a:stretch/>
                  </pic:blipFill>
                  <pic:spPr bwMode="auto">
                    <a:xfrm>
                      <a:off x="0" y="0"/>
                      <a:ext cx="4948861" cy="3734104"/>
                    </a:xfrm>
                    <a:prstGeom prst="rect">
                      <a:avLst/>
                    </a:prstGeom>
                    <a:ln w="12700">
                      <a:solidFill>
                        <a:schemeClr val="bg2">
                          <a:lumMod val="50000"/>
                        </a:schemeClr>
                      </a:solidFill>
                    </a:ln>
                    <a:extLst>
                      <a:ext uri="{53640926-AAD7-44D8-BBD7-CCE9431645EC}">
                        <a14:shadowObscured xmlns:a14="http://schemas.microsoft.com/office/drawing/2010/main"/>
                      </a:ext>
                    </a:extLst>
                  </pic:spPr>
                </pic:pic>
              </a:graphicData>
            </a:graphic>
          </wp:inline>
        </w:drawing>
      </w:r>
    </w:p>
    <w:p w14:paraId="353564D8" w14:textId="7A7BD720" w:rsidR="00BE3573" w:rsidRPr="00A1696A" w:rsidRDefault="00BE3573" w:rsidP="00BE3573">
      <w:pPr>
        <w:spacing w:after="0" w:line="240" w:lineRule="auto"/>
        <w:ind w:firstLine="709"/>
        <w:jc w:val="center"/>
        <w:rPr>
          <w:rFonts w:ascii="Times New Roman" w:hAnsi="Times New Roman" w:cs="Times New Roman"/>
          <w:i/>
          <w:sz w:val="24"/>
          <w:szCs w:val="24"/>
        </w:rPr>
      </w:pPr>
      <w:r w:rsidRPr="00A1696A">
        <w:rPr>
          <w:rFonts w:ascii="Times New Roman" w:hAnsi="Times New Roman" w:cs="Times New Roman"/>
          <w:i/>
          <w:sz w:val="24"/>
          <w:szCs w:val="24"/>
        </w:rPr>
        <w:t xml:space="preserve">Фиг. </w:t>
      </w:r>
      <w:r w:rsidR="00E256CA">
        <w:rPr>
          <w:rFonts w:ascii="Times New Roman" w:hAnsi="Times New Roman" w:cs="Times New Roman"/>
          <w:i/>
          <w:sz w:val="24"/>
          <w:szCs w:val="24"/>
          <w:lang w:val="en-US"/>
        </w:rPr>
        <w:t>23</w:t>
      </w:r>
      <w:r w:rsidRPr="00A1696A">
        <w:rPr>
          <w:rFonts w:ascii="Times New Roman" w:hAnsi="Times New Roman" w:cs="Times New Roman"/>
          <w:i/>
          <w:sz w:val="24"/>
          <w:szCs w:val="24"/>
        </w:rPr>
        <w:t xml:space="preserve">. Разпределение на съдържанията на стерани </w:t>
      </w:r>
      <w:r w:rsidR="00481384" w:rsidRPr="00A1696A">
        <w:rPr>
          <w:rFonts w:ascii="Times New Roman" w:hAnsi="Times New Roman" w:cs="Times New Roman"/>
          <w:i/>
          <w:sz w:val="24"/>
          <w:szCs w:val="24"/>
        </w:rPr>
        <w:t xml:space="preserve">в </w:t>
      </w:r>
      <w:bookmarkStart w:id="94" w:name="_Hlk7298623"/>
      <w:r w:rsidR="00481384" w:rsidRPr="00A1696A">
        <w:rPr>
          <w:rFonts w:ascii="Times New Roman" w:hAnsi="Times New Roman" w:cs="Times New Roman"/>
          <w:i/>
          <w:sz w:val="24"/>
          <w:szCs w:val="24"/>
        </w:rPr>
        <w:t xml:space="preserve">изследваните проби </w:t>
      </w:r>
      <w:bookmarkEnd w:id="94"/>
      <w:r w:rsidRPr="00A1696A">
        <w:rPr>
          <w:rFonts w:ascii="Times New Roman" w:hAnsi="Times New Roman" w:cs="Times New Roman"/>
          <w:i/>
          <w:sz w:val="24"/>
          <w:szCs w:val="24"/>
        </w:rPr>
        <w:t>за определяне на условията на образуване (по Huang and Meinschein, 1979</w:t>
      </w:r>
      <w:r w:rsidR="00481384" w:rsidRPr="00A1696A">
        <w:rPr>
          <w:rFonts w:ascii="Times New Roman" w:hAnsi="Times New Roman" w:cs="Times New Roman"/>
          <w:i/>
          <w:sz w:val="24"/>
          <w:szCs w:val="24"/>
        </w:rPr>
        <w:t>, с допълнения</w:t>
      </w:r>
      <w:r w:rsidRPr="00A1696A">
        <w:rPr>
          <w:rFonts w:ascii="Times New Roman" w:hAnsi="Times New Roman" w:cs="Times New Roman"/>
          <w:i/>
          <w:sz w:val="24"/>
          <w:szCs w:val="24"/>
        </w:rPr>
        <w:t>)</w:t>
      </w:r>
    </w:p>
    <w:p w14:paraId="36F6BB5B" w14:textId="77777777" w:rsidR="00C20A28" w:rsidRPr="00A1696A" w:rsidRDefault="00C20A28" w:rsidP="00BE3573">
      <w:pPr>
        <w:spacing w:after="0" w:line="240" w:lineRule="auto"/>
        <w:ind w:firstLine="709"/>
        <w:jc w:val="center"/>
        <w:rPr>
          <w:rFonts w:ascii="Times New Roman" w:hAnsi="Times New Roman" w:cs="Times New Roman"/>
          <w:i/>
          <w:sz w:val="24"/>
          <w:szCs w:val="24"/>
        </w:rPr>
      </w:pPr>
    </w:p>
    <w:p w14:paraId="0C880F7D" w14:textId="5EA65B39" w:rsidR="00513A69" w:rsidRPr="00A1696A" w:rsidRDefault="00513A69" w:rsidP="006B6EBF">
      <w:pPr>
        <w:pStyle w:val="tytultabeli"/>
        <w:jc w:val="right"/>
        <w:rPr>
          <w:i/>
          <w:color w:val="000000"/>
          <w:sz w:val="24"/>
          <w:szCs w:val="24"/>
          <w:lang w:val="bg-BG"/>
        </w:rPr>
      </w:pPr>
      <w:r w:rsidRPr="00A1696A">
        <w:rPr>
          <w:i/>
          <w:color w:val="000000"/>
          <w:sz w:val="24"/>
          <w:szCs w:val="24"/>
          <w:lang w:val="bg-BG"/>
        </w:rPr>
        <w:t xml:space="preserve">Таблица </w:t>
      </w:r>
      <w:r w:rsidR="00BE3573" w:rsidRPr="00A1696A">
        <w:rPr>
          <w:i/>
          <w:color w:val="000000"/>
          <w:sz w:val="24"/>
          <w:szCs w:val="24"/>
          <w:lang w:val="bg-BG"/>
        </w:rPr>
        <w:t>3</w:t>
      </w:r>
      <w:r w:rsidRPr="00A1696A">
        <w:rPr>
          <w:i/>
          <w:color w:val="000000"/>
          <w:sz w:val="24"/>
          <w:szCs w:val="24"/>
          <w:lang w:val="bg-BG"/>
        </w:rPr>
        <w:t xml:space="preserve"> </w:t>
      </w:r>
    </w:p>
    <w:p w14:paraId="5AC6E628" w14:textId="77777777" w:rsidR="00513A69" w:rsidRPr="00A1696A" w:rsidRDefault="00513A69" w:rsidP="006B6EBF">
      <w:pPr>
        <w:pStyle w:val="tytultabeli"/>
        <w:jc w:val="right"/>
        <w:rPr>
          <w:i/>
          <w:color w:val="000000"/>
          <w:sz w:val="24"/>
          <w:szCs w:val="24"/>
          <w:lang w:val="bg-BG"/>
        </w:rPr>
      </w:pPr>
      <w:r w:rsidRPr="00A1696A">
        <w:rPr>
          <w:i/>
          <w:color w:val="000000"/>
          <w:sz w:val="24"/>
          <w:szCs w:val="24"/>
          <w:lang w:val="bg-BG"/>
        </w:rPr>
        <w:t>Биомаркерни параметри на база циклични алкани</w:t>
      </w:r>
    </w:p>
    <w:tbl>
      <w:tblPr>
        <w:tblW w:w="9928" w:type="dxa"/>
        <w:jc w:val="center"/>
        <w:tblCellMar>
          <w:left w:w="70" w:type="dxa"/>
          <w:right w:w="70" w:type="dxa"/>
        </w:tblCellMar>
        <w:tblLook w:val="04A0" w:firstRow="1" w:lastRow="0" w:firstColumn="1" w:lastColumn="0" w:noHBand="0" w:noVBand="1"/>
      </w:tblPr>
      <w:tblGrid>
        <w:gridCol w:w="384"/>
        <w:gridCol w:w="1085"/>
        <w:gridCol w:w="384"/>
        <w:gridCol w:w="629"/>
        <w:gridCol w:w="596"/>
        <w:gridCol w:w="707"/>
        <w:gridCol w:w="1059"/>
        <w:gridCol w:w="798"/>
        <w:gridCol w:w="490"/>
        <w:gridCol w:w="490"/>
        <w:gridCol w:w="492"/>
        <w:gridCol w:w="1011"/>
        <w:gridCol w:w="542"/>
        <w:gridCol w:w="490"/>
        <w:gridCol w:w="785"/>
      </w:tblGrid>
      <w:tr w:rsidR="00565E39" w:rsidRPr="00A1696A" w14:paraId="323F92D9" w14:textId="77777777" w:rsidTr="002E4C45">
        <w:trPr>
          <w:trHeight w:val="245"/>
          <w:jc w:val="center"/>
        </w:trPr>
        <w:tc>
          <w:tcPr>
            <w:tcW w:w="384"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bottom"/>
            <w:hideMark/>
          </w:tcPr>
          <w:p w14:paraId="75CB12DE" w14:textId="6A7C87A3"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Лит.ед.</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0A9FD898"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Дълбочина (m)</w:t>
            </w:r>
          </w:p>
        </w:tc>
        <w:tc>
          <w:tcPr>
            <w:tcW w:w="1609" w:type="dxa"/>
            <w:gridSpan w:val="3"/>
            <w:vMerge w:val="restart"/>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31450222"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Образец</w:t>
            </w:r>
          </w:p>
        </w:tc>
        <w:tc>
          <w:tcPr>
            <w:tcW w:w="4029" w:type="dxa"/>
            <w:gridSpan w:val="6"/>
            <w:tcBorders>
              <w:top w:val="single" w:sz="4" w:space="0" w:color="auto"/>
              <w:left w:val="nil"/>
              <w:bottom w:val="single" w:sz="4" w:space="0" w:color="auto"/>
              <w:right w:val="single" w:sz="4" w:space="0" w:color="auto"/>
            </w:tcBorders>
            <w:shd w:val="clear" w:color="000000" w:fill="FCD5B4"/>
            <w:noWrap/>
            <w:vAlign w:val="bottom"/>
            <w:hideMark/>
          </w:tcPr>
          <w:p w14:paraId="3F6F8DB2"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Стерани (S)</w:t>
            </w:r>
          </w:p>
        </w:tc>
        <w:tc>
          <w:tcPr>
            <w:tcW w:w="2823" w:type="dxa"/>
            <w:gridSpan w:val="4"/>
            <w:tcBorders>
              <w:top w:val="single" w:sz="4" w:space="0" w:color="auto"/>
              <w:left w:val="nil"/>
              <w:bottom w:val="single" w:sz="4" w:space="0" w:color="auto"/>
              <w:right w:val="single" w:sz="4" w:space="0" w:color="auto"/>
            </w:tcBorders>
            <w:shd w:val="clear" w:color="000000" w:fill="FCD5B4"/>
            <w:noWrap/>
            <w:vAlign w:val="bottom"/>
            <w:hideMark/>
          </w:tcPr>
          <w:p w14:paraId="359BBA1C"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Хопани (H)</w:t>
            </w:r>
          </w:p>
        </w:tc>
      </w:tr>
      <w:tr w:rsidR="00BE3573" w:rsidRPr="00A1696A" w14:paraId="2DAE2A86" w14:textId="77777777" w:rsidTr="002E4C45">
        <w:trPr>
          <w:trHeight w:val="273"/>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5B13286"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79EBFB71"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1609" w:type="dxa"/>
            <w:gridSpan w:val="3"/>
            <w:vMerge/>
            <w:tcBorders>
              <w:top w:val="single" w:sz="4" w:space="0" w:color="auto"/>
              <w:left w:val="single" w:sz="4" w:space="0" w:color="auto"/>
              <w:bottom w:val="single" w:sz="4" w:space="0" w:color="auto"/>
              <w:right w:val="single" w:sz="4" w:space="0" w:color="auto"/>
            </w:tcBorders>
            <w:vAlign w:val="center"/>
            <w:hideMark/>
          </w:tcPr>
          <w:p w14:paraId="6D1A2A2A"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706" w:type="dxa"/>
            <w:vMerge w:val="restart"/>
            <w:tcBorders>
              <w:top w:val="nil"/>
              <w:left w:val="single" w:sz="4" w:space="0" w:color="auto"/>
              <w:bottom w:val="single" w:sz="4" w:space="0" w:color="auto"/>
              <w:right w:val="single" w:sz="4" w:space="0" w:color="auto"/>
            </w:tcBorders>
            <w:shd w:val="clear" w:color="000000" w:fill="FCD5B4"/>
            <w:noWrap/>
            <w:vAlign w:val="center"/>
            <w:hideMark/>
          </w:tcPr>
          <w:p w14:paraId="1FD080E0"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DiaS/S</w:t>
            </w:r>
          </w:p>
        </w:tc>
        <w:tc>
          <w:tcPr>
            <w:tcW w:w="1054" w:type="dxa"/>
            <w:vMerge w:val="restart"/>
            <w:tcBorders>
              <w:top w:val="nil"/>
              <w:left w:val="single" w:sz="4" w:space="0" w:color="auto"/>
              <w:bottom w:val="single" w:sz="4" w:space="0" w:color="auto"/>
              <w:right w:val="single" w:sz="4" w:space="0" w:color="auto"/>
            </w:tcBorders>
            <w:shd w:val="clear" w:color="000000" w:fill="FCD5B4"/>
            <w:noWrap/>
            <w:vAlign w:val="center"/>
            <w:hideMark/>
          </w:tcPr>
          <w:p w14:paraId="1CECCF58"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ββ/(αα+ββ)</w:t>
            </w:r>
          </w:p>
        </w:tc>
        <w:tc>
          <w:tcPr>
            <w:tcW w:w="796" w:type="dxa"/>
            <w:vMerge w:val="restart"/>
            <w:tcBorders>
              <w:top w:val="nil"/>
              <w:left w:val="single" w:sz="4" w:space="0" w:color="auto"/>
              <w:bottom w:val="single" w:sz="4" w:space="0" w:color="auto"/>
              <w:right w:val="single" w:sz="4" w:space="0" w:color="auto"/>
            </w:tcBorders>
            <w:shd w:val="clear" w:color="000000" w:fill="FCD5B4"/>
            <w:noWrap/>
            <w:vAlign w:val="center"/>
            <w:hideMark/>
          </w:tcPr>
          <w:p w14:paraId="43DB1EC3"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S/(S+R)</w:t>
            </w:r>
          </w:p>
        </w:tc>
        <w:tc>
          <w:tcPr>
            <w:tcW w:w="1472" w:type="dxa"/>
            <w:gridSpan w:val="3"/>
            <w:tcBorders>
              <w:top w:val="single" w:sz="4" w:space="0" w:color="auto"/>
              <w:left w:val="nil"/>
              <w:bottom w:val="single" w:sz="4" w:space="0" w:color="auto"/>
              <w:right w:val="single" w:sz="4" w:space="0" w:color="auto"/>
            </w:tcBorders>
            <w:shd w:val="clear" w:color="000000" w:fill="FCD5B4"/>
            <w:noWrap/>
            <w:vAlign w:val="bottom"/>
            <w:hideMark/>
          </w:tcPr>
          <w:p w14:paraId="4837F6BB"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αα стерани (20R), (%)</w:t>
            </w:r>
          </w:p>
        </w:tc>
        <w:tc>
          <w:tcPr>
            <w:tcW w:w="1007" w:type="dxa"/>
            <w:tcBorders>
              <w:top w:val="nil"/>
              <w:left w:val="nil"/>
              <w:bottom w:val="single" w:sz="4" w:space="0" w:color="auto"/>
              <w:right w:val="single" w:sz="4" w:space="0" w:color="auto"/>
            </w:tcBorders>
            <w:shd w:val="clear" w:color="000000" w:fill="FCD5B4"/>
            <w:noWrap/>
            <w:vAlign w:val="bottom"/>
            <w:hideMark/>
          </w:tcPr>
          <w:p w14:paraId="2601403F"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T</w:t>
            </w:r>
            <w:r w:rsidRPr="00A1696A">
              <w:rPr>
                <w:rFonts w:ascii="Times New Roman" w:eastAsia="Times New Roman" w:hAnsi="Times New Roman" w:cs="Times New Roman"/>
                <w:color w:val="000000"/>
                <w:sz w:val="20"/>
                <w:szCs w:val="20"/>
                <w:vertAlign w:val="subscript"/>
                <w:lang w:eastAsia="bg-BG"/>
              </w:rPr>
              <w:t>s</w:t>
            </w:r>
            <w:r w:rsidRPr="00A1696A">
              <w:rPr>
                <w:rFonts w:ascii="Times New Roman" w:eastAsia="Times New Roman" w:hAnsi="Times New Roman" w:cs="Times New Roman"/>
                <w:color w:val="000000"/>
                <w:sz w:val="20"/>
                <w:szCs w:val="20"/>
                <w:lang w:eastAsia="bg-BG"/>
              </w:rPr>
              <w:t>/(T</w:t>
            </w:r>
            <w:r w:rsidRPr="00A1696A">
              <w:rPr>
                <w:rFonts w:ascii="Times New Roman" w:eastAsia="Times New Roman" w:hAnsi="Times New Roman" w:cs="Times New Roman"/>
                <w:color w:val="000000"/>
                <w:sz w:val="20"/>
                <w:szCs w:val="20"/>
                <w:vertAlign w:val="subscript"/>
                <w:lang w:eastAsia="bg-BG"/>
              </w:rPr>
              <w:t>s</w:t>
            </w:r>
            <w:r w:rsidRPr="00A1696A">
              <w:rPr>
                <w:rFonts w:ascii="Times New Roman" w:eastAsia="Times New Roman" w:hAnsi="Times New Roman" w:cs="Times New Roman"/>
                <w:color w:val="000000"/>
                <w:sz w:val="20"/>
                <w:szCs w:val="20"/>
                <w:lang w:eastAsia="bg-BG"/>
              </w:rPr>
              <w:t>+T</w:t>
            </w:r>
            <w:r w:rsidRPr="00A1696A">
              <w:rPr>
                <w:rFonts w:ascii="Times New Roman" w:eastAsia="Times New Roman" w:hAnsi="Times New Roman" w:cs="Times New Roman"/>
                <w:color w:val="000000"/>
                <w:sz w:val="20"/>
                <w:szCs w:val="20"/>
                <w:vertAlign w:val="subscript"/>
                <w:lang w:eastAsia="bg-BG"/>
              </w:rPr>
              <w:t>m</w:t>
            </w:r>
            <w:r w:rsidRPr="00A1696A">
              <w:rPr>
                <w:rFonts w:ascii="Times New Roman" w:eastAsia="Times New Roman" w:hAnsi="Times New Roman" w:cs="Times New Roman"/>
                <w:color w:val="000000"/>
                <w:sz w:val="20"/>
                <w:szCs w:val="20"/>
                <w:lang w:eastAsia="bg-BG"/>
              </w:rPr>
              <w:t>)</w:t>
            </w:r>
          </w:p>
        </w:tc>
        <w:tc>
          <w:tcPr>
            <w:tcW w:w="542" w:type="dxa"/>
            <w:tcBorders>
              <w:top w:val="nil"/>
              <w:left w:val="nil"/>
              <w:bottom w:val="single" w:sz="4" w:space="0" w:color="auto"/>
              <w:right w:val="single" w:sz="4" w:space="0" w:color="auto"/>
            </w:tcBorders>
            <w:shd w:val="clear" w:color="000000" w:fill="FCD5B4"/>
            <w:noWrap/>
            <w:vAlign w:val="bottom"/>
            <w:hideMark/>
          </w:tcPr>
          <w:p w14:paraId="190A8256" w14:textId="60CBF3F6"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M/H</w:t>
            </w:r>
          </w:p>
        </w:tc>
        <w:tc>
          <w:tcPr>
            <w:tcW w:w="490" w:type="dxa"/>
            <w:tcBorders>
              <w:top w:val="nil"/>
              <w:left w:val="nil"/>
              <w:bottom w:val="single" w:sz="4" w:space="0" w:color="auto"/>
              <w:right w:val="single" w:sz="4" w:space="0" w:color="auto"/>
            </w:tcBorders>
            <w:shd w:val="clear" w:color="000000" w:fill="FCD5B4"/>
            <w:noWrap/>
            <w:vAlign w:val="bottom"/>
            <w:hideMark/>
          </w:tcPr>
          <w:p w14:paraId="4336E1BA"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H</w:t>
            </w:r>
          </w:p>
        </w:tc>
        <w:tc>
          <w:tcPr>
            <w:tcW w:w="782" w:type="dxa"/>
            <w:vMerge w:val="restart"/>
            <w:tcBorders>
              <w:top w:val="nil"/>
              <w:left w:val="single" w:sz="4" w:space="0" w:color="auto"/>
              <w:bottom w:val="single" w:sz="4" w:space="0" w:color="auto"/>
              <w:right w:val="single" w:sz="4" w:space="0" w:color="auto"/>
            </w:tcBorders>
            <w:shd w:val="clear" w:color="000000" w:fill="FCD5B4"/>
            <w:vAlign w:val="bottom"/>
            <w:hideMark/>
          </w:tcPr>
          <w:p w14:paraId="2B7E7729"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xml:space="preserve">HomoH </w:t>
            </w:r>
            <w:r w:rsidRPr="00A1696A">
              <w:rPr>
                <w:rFonts w:ascii="Times New Roman" w:eastAsia="Times New Roman" w:hAnsi="Times New Roman" w:cs="Times New Roman"/>
                <w:color w:val="000000"/>
                <w:sz w:val="20"/>
                <w:szCs w:val="20"/>
                <w:lang w:eastAsia="bg-BG"/>
              </w:rPr>
              <w:br/>
              <w:t>index</w:t>
            </w:r>
          </w:p>
        </w:tc>
      </w:tr>
      <w:tr w:rsidR="00BE3573" w:rsidRPr="00A1696A" w14:paraId="57B71CB9"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1ADB5AE"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01FA31D"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1609" w:type="dxa"/>
            <w:gridSpan w:val="3"/>
            <w:vMerge/>
            <w:tcBorders>
              <w:top w:val="single" w:sz="4" w:space="0" w:color="auto"/>
              <w:left w:val="single" w:sz="4" w:space="0" w:color="auto"/>
              <w:bottom w:val="single" w:sz="4" w:space="0" w:color="auto"/>
              <w:right w:val="single" w:sz="4" w:space="0" w:color="auto"/>
            </w:tcBorders>
            <w:vAlign w:val="center"/>
            <w:hideMark/>
          </w:tcPr>
          <w:p w14:paraId="78C14D46"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706" w:type="dxa"/>
            <w:vMerge/>
            <w:tcBorders>
              <w:top w:val="nil"/>
              <w:left w:val="single" w:sz="4" w:space="0" w:color="auto"/>
              <w:bottom w:val="single" w:sz="4" w:space="0" w:color="auto"/>
              <w:right w:val="single" w:sz="4" w:space="0" w:color="auto"/>
            </w:tcBorders>
            <w:vAlign w:val="center"/>
            <w:hideMark/>
          </w:tcPr>
          <w:p w14:paraId="2ABE6A0C"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1054" w:type="dxa"/>
            <w:vMerge/>
            <w:tcBorders>
              <w:top w:val="nil"/>
              <w:left w:val="single" w:sz="4" w:space="0" w:color="auto"/>
              <w:bottom w:val="single" w:sz="4" w:space="0" w:color="auto"/>
              <w:right w:val="single" w:sz="4" w:space="0" w:color="auto"/>
            </w:tcBorders>
            <w:vAlign w:val="center"/>
            <w:hideMark/>
          </w:tcPr>
          <w:p w14:paraId="65F70C53"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796" w:type="dxa"/>
            <w:vMerge/>
            <w:tcBorders>
              <w:top w:val="nil"/>
              <w:left w:val="single" w:sz="4" w:space="0" w:color="auto"/>
              <w:bottom w:val="single" w:sz="4" w:space="0" w:color="auto"/>
              <w:right w:val="single" w:sz="4" w:space="0" w:color="auto"/>
            </w:tcBorders>
            <w:vAlign w:val="center"/>
            <w:hideMark/>
          </w:tcPr>
          <w:p w14:paraId="51A0AE4F"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c>
          <w:tcPr>
            <w:tcW w:w="490" w:type="dxa"/>
            <w:tcBorders>
              <w:top w:val="nil"/>
              <w:left w:val="nil"/>
              <w:bottom w:val="single" w:sz="4" w:space="0" w:color="auto"/>
              <w:right w:val="single" w:sz="4" w:space="0" w:color="auto"/>
            </w:tcBorders>
            <w:shd w:val="clear" w:color="000000" w:fill="FCD5B4"/>
            <w:noWrap/>
            <w:vAlign w:val="bottom"/>
            <w:hideMark/>
          </w:tcPr>
          <w:p w14:paraId="1C4BE498"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27</w:t>
            </w:r>
          </w:p>
        </w:tc>
        <w:tc>
          <w:tcPr>
            <w:tcW w:w="490" w:type="dxa"/>
            <w:tcBorders>
              <w:top w:val="nil"/>
              <w:left w:val="nil"/>
              <w:bottom w:val="single" w:sz="4" w:space="0" w:color="auto"/>
              <w:right w:val="single" w:sz="4" w:space="0" w:color="auto"/>
            </w:tcBorders>
            <w:shd w:val="clear" w:color="000000" w:fill="FCD5B4"/>
            <w:noWrap/>
            <w:vAlign w:val="bottom"/>
            <w:hideMark/>
          </w:tcPr>
          <w:p w14:paraId="268D512B"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w:t>
            </w:r>
          </w:p>
        </w:tc>
        <w:tc>
          <w:tcPr>
            <w:tcW w:w="490" w:type="dxa"/>
            <w:tcBorders>
              <w:top w:val="nil"/>
              <w:left w:val="nil"/>
              <w:bottom w:val="single" w:sz="4" w:space="0" w:color="auto"/>
              <w:right w:val="single" w:sz="4" w:space="0" w:color="auto"/>
            </w:tcBorders>
            <w:shd w:val="clear" w:color="000000" w:fill="FCD5B4"/>
            <w:noWrap/>
            <w:vAlign w:val="bottom"/>
            <w:hideMark/>
          </w:tcPr>
          <w:p w14:paraId="166FB012"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29</w:t>
            </w:r>
          </w:p>
        </w:tc>
        <w:tc>
          <w:tcPr>
            <w:tcW w:w="1007" w:type="dxa"/>
            <w:tcBorders>
              <w:top w:val="nil"/>
              <w:left w:val="nil"/>
              <w:bottom w:val="single" w:sz="4" w:space="0" w:color="auto"/>
              <w:right w:val="single" w:sz="4" w:space="0" w:color="auto"/>
            </w:tcBorders>
            <w:shd w:val="clear" w:color="000000" w:fill="FCD5B4"/>
            <w:noWrap/>
            <w:vAlign w:val="bottom"/>
            <w:hideMark/>
          </w:tcPr>
          <w:p w14:paraId="55C26706"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p>
        </w:tc>
        <w:tc>
          <w:tcPr>
            <w:tcW w:w="542" w:type="dxa"/>
            <w:tcBorders>
              <w:top w:val="nil"/>
              <w:left w:val="nil"/>
              <w:bottom w:val="single" w:sz="4" w:space="0" w:color="auto"/>
              <w:right w:val="single" w:sz="4" w:space="0" w:color="auto"/>
            </w:tcBorders>
            <w:shd w:val="clear" w:color="000000" w:fill="FCD5B4"/>
            <w:noWrap/>
            <w:vAlign w:val="bottom"/>
            <w:hideMark/>
          </w:tcPr>
          <w:p w14:paraId="1DF72BC5"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p>
        </w:tc>
        <w:tc>
          <w:tcPr>
            <w:tcW w:w="490" w:type="dxa"/>
            <w:tcBorders>
              <w:top w:val="nil"/>
              <w:left w:val="nil"/>
              <w:bottom w:val="single" w:sz="4" w:space="0" w:color="auto"/>
              <w:right w:val="single" w:sz="4" w:space="0" w:color="auto"/>
            </w:tcBorders>
            <w:shd w:val="clear" w:color="000000" w:fill="FCD5B4"/>
            <w:noWrap/>
            <w:vAlign w:val="bottom"/>
            <w:hideMark/>
          </w:tcPr>
          <w:p w14:paraId="2E56EF32" w14:textId="77777777" w:rsidR="00565E39" w:rsidRPr="00A1696A" w:rsidRDefault="00565E3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 </w:t>
            </w:r>
          </w:p>
        </w:tc>
        <w:tc>
          <w:tcPr>
            <w:tcW w:w="782" w:type="dxa"/>
            <w:vMerge/>
            <w:tcBorders>
              <w:top w:val="nil"/>
              <w:left w:val="single" w:sz="4" w:space="0" w:color="auto"/>
              <w:bottom w:val="single" w:sz="4" w:space="0" w:color="auto"/>
              <w:right w:val="single" w:sz="4" w:space="0" w:color="auto"/>
            </w:tcBorders>
            <w:vAlign w:val="center"/>
            <w:hideMark/>
          </w:tcPr>
          <w:p w14:paraId="582327B5" w14:textId="77777777" w:rsidR="00565E39" w:rsidRPr="00A1696A" w:rsidRDefault="00565E39" w:rsidP="006B6EBF">
            <w:pPr>
              <w:spacing w:after="0" w:line="240" w:lineRule="auto"/>
              <w:rPr>
                <w:rFonts w:ascii="Times New Roman" w:eastAsia="Times New Roman" w:hAnsi="Times New Roman" w:cs="Times New Roman"/>
                <w:color w:val="000000"/>
                <w:sz w:val="20"/>
                <w:szCs w:val="20"/>
                <w:lang w:eastAsia="bg-BG"/>
              </w:rPr>
            </w:pPr>
          </w:p>
        </w:tc>
      </w:tr>
      <w:tr w:rsidR="00513A69" w:rsidRPr="00A1696A" w14:paraId="752B11B2" w14:textId="77777777" w:rsidTr="002E4C45">
        <w:trPr>
          <w:trHeight w:val="241"/>
          <w:jc w:val="center"/>
        </w:trPr>
        <w:tc>
          <w:tcPr>
            <w:tcW w:w="9928" w:type="dxa"/>
            <w:gridSpan w:val="15"/>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26D5DA79" w14:textId="77777777" w:rsidR="00513A69" w:rsidRPr="00A1696A" w:rsidRDefault="00513A6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"свободен" битумоид</w:t>
            </w:r>
          </w:p>
        </w:tc>
      </w:tr>
      <w:tr w:rsidR="00BE3573" w:rsidRPr="00A1696A" w14:paraId="178A0F10" w14:textId="77777777" w:rsidTr="002E4C45">
        <w:trPr>
          <w:trHeight w:val="241"/>
          <w:jc w:val="center"/>
        </w:trPr>
        <w:tc>
          <w:tcPr>
            <w:tcW w:w="384"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539A011F"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1080" w:type="dxa"/>
            <w:tcBorders>
              <w:top w:val="nil"/>
              <w:left w:val="nil"/>
              <w:bottom w:val="single" w:sz="4" w:space="0" w:color="auto"/>
              <w:right w:val="single" w:sz="4" w:space="0" w:color="auto"/>
            </w:tcBorders>
            <w:shd w:val="clear" w:color="000000" w:fill="FCD5B4"/>
            <w:noWrap/>
            <w:vAlign w:val="center"/>
            <w:hideMark/>
          </w:tcPr>
          <w:p w14:paraId="5629E46B" w14:textId="22FC0DA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266,5</w:t>
            </w:r>
          </w:p>
        </w:tc>
        <w:tc>
          <w:tcPr>
            <w:tcW w:w="384" w:type="dxa"/>
            <w:vMerge w:val="restart"/>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202CB4C4"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Сондажна ядка</w:t>
            </w:r>
          </w:p>
        </w:tc>
        <w:tc>
          <w:tcPr>
            <w:tcW w:w="629" w:type="dxa"/>
            <w:tcBorders>
              <w:top w:val="nil"/>
              <w:left w:val="nil"/>
              <w:bottom w:val="single" w:sz="4" w:space="0" w:color="auto"/>
              <w:right w:val="single" w:sz="4" w:space="0" w:color="auto"/>
            </w:tcBorders>
            <w:shd w:val="clear" w:color="000000" w:fill="FCD5B4"/>
            <w:noWrap/>
            <w:vAlign w:val="bottom"/>
            <w:hideMark/>
          </w:tcPr>
          <w:p w14:paraId="6E1F7926"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w:t>
            </w:r>
          </w:p>
        </w:tc>
        <w:tc>
          <w:tcPr>
            <w:tcW w:w="596" w:type="dxa"/>
            <w:tcBorders>
              <w:top w:val="nil"/>
              <w:left w:val="nil"/>
              <w:bottom w:val="single" w:sz="4" w:space="0" w:color="auto"/>
              <w:right w:val="single" w:sz="4" w:space="0" w:color="auto"/>
            </w:tcBorders>
            <w:shd w:val="clear" w:color="000000" w:fill="FCD5B4"/>
            <w:noWrap/>
            <w:vAlign w:val="bottom"/>
            <w:hideMark/>
          </w:tcPr>
          <w:p w14:paraId="48779E9D"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w:t>
            </w:r>
          </w:p>
        </w:tc>
        <w:tc>
          <w:tcPr>
            <w:tcW w:w="706" w:type="dxa"/>
            <w:tcBorders>
              <w:top w:val="nil"/>
              <w:left w:val="nil"/>
              <w:bottom w:val="single" w:sz="4" w:space="0" w:color="auto"/>
              <w:right w:val="single" w:sz="4" w:space="0" w:color="auto"/>
            </w:tcBorders>
            <w:shd w:val="clear" w:color="auto" w:fill="auto"/>
            <w:noWrap/>
            <w:vAlign w:val="bottom"/>
            <w:hideMark/>
          </w:tcPr>
          <w:p w14:paraId="300CD7F6" w14:textId="4E500D3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w:t>
            </w:r>
          </w:p>
        </w:tc>
        <w:tc>
          <w:tcPr>
            <w:tcW w:w="1054" w:type="dxa"/>
            <w:tcBorders>
              <w:top w:val="nil"/>
              <w:left w:val="nil"/>
              <w:bottom w:val="single" w:sz="4" w:space="0" w:color="auto"/>
              <w:right w:val="single" w:sz="4" w:space="0" w:color="auto"/>
            </w:tcBorders>
            <w:shd w:val="clear" w:color="auto" w:fill="auto"/>
            <w:noWrap/>
            <w:vAlign w:val="bottom"/>
            <w:hideMark/>
          </w:tcPr>
          <w:p w14:paraId="77C5B38F" w14:textId="000BC2D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0,27</w:t>
            </w:r>
          </w:p>
        </w:tc>
        <w:tc>
          <w:tcPr>
            <w:tcW w:w="796" w:type="dxa"/>
            <w:tcBorders>
              <w:top w:val="nil"/>
              <w:left w:val="nil"/>
              <w:bottom w:val="single" w:sz="4" w:space="0" w:color="auto"/>
              <w:right w:val="single" w:sz="4" w:space="0" w:color="auto"/>
            </w:tcBorders>
            <w:shd w:val="clear" w:color="auto" w:fill="auto"/>
            <w:noWrap/>
            <w:vAlign w:val="bottom"/>
            <w:hideMark/>
          </w:tcPr>
          <w:p w14:paraId="768661D1"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490" w:type="dxa"/>
            <w:tcBorders>
              <w:top w:val="nil"/>
              <w:left w:val="nil"/>
              <w:bottom w:val="single" w:sz="4" w:space="0" w:color="auto"/>
              <w:right w:val="single" w:sz="4" w:space="0" w:color="auto"/>
            </w:tcBorders>
            <w:shd w:val="clear" w:color="auto" w:fill="auto"/>
            <w:noWrap/>
            <w:vAlign w:val="bottom"/>
            <w:hideMark/>
          </w:tcPr>
          <w:p w14:paraId="1C638C49" w14:textId="254E5DC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36,2</w:t>
            </w:r>
          </w:p>
        </w:tc>
        <w:tc>
          <w:tcPr>
            <w:tcW w:w="490" w:type="dxa"/>
            <w:tcBorders>
              <w:top w:val="nil"/>
              <w:left w:val="nil"/>
              <w:bottom w:val="single" w:sz="4" w:space="0" w:color="auto"/>
              <w:right w:val="single" w:sz="4" w:space="0" w:color="auto"/>
            </w:tcBorders>
            <w:shd w:val="clear" w:color="auto" w:fill="auto"/>
            <w:noWrap/>
            <w:vAlign w:val="bottom"/>
            <w:hideMark/>
          </w:tcPr>
          <w:p w14:paraId="32097BA7" w14:textId="33A105C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20,9</w:t>
            </w:r>
          </w:p>
        </w:tc>
        <w:tc>
          <w:tcPr>
            <w:tcW w:w="490" w:type="dxa"/>
            <w:tcBorders>
              <w:top w:val="nil"/>
              <w:left w:val="nil"/>
              <w:bottom w:val="single" w:sz="4" w:space="0" w:color="auto"/>
              <w:right w:val="single" w:sz="4" w:space="0" w:color="auto"/>
            </w:tcBorders>
            <w:shd w:val="clear" w:color="auto" w:fill="auto"/>
            <w:noWrap/>
            <w:vAlign w:val="bottom"/>
            <w:hideMark/>
          </w:tcPr>
          <w:p w14:paraId="30D972D0" w14:textId="5E25114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42,9</w:t>
            </w:r>
          </w:p>
        </w:tc>
        <w:tc>
          <w:tcPr>
            <w:tcW w:w="1007" w:type="dxa"/>
            <w:tcBorders>
              <w:top w:val="nil"/>
              <w:left w:val="nil"/>
              <w:bottom w:val="single" w:sz="4" w:space="0" w:color="auto"/>
              <w:right w:val="single" w:sz="4" w:space="0" w:color="auto"/>
            </w:tcBorders>
            <w:shd w:val="clear" w:color="auto" w:fill="auto"/>
            <w:noWrap/>
            <w:vAlign w:val="bottom"/>
            <w:hideMark/>
          </w:tcPr>
          <w:p w14:paraId="2116516F"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542" w:type="dxa"/>
            <w:tcBorders>
              <w:top w:val="nil"/>
              <w:left w:val="nil"/>
              <w:bottom w:val="single" w:sz="4" w:space="0" w:color="auto"/>
              <w:right w:val="single" w:sz="4" w:space="0" w:color="auto"/>
            </w:tcBorders>
            <w:shd w:val="clear" w:color="auto" w:fill="auto"/>
            <w:noWrap/>
            <w:vAlign w:val="bottom"/>
            <w:hideMark/>
          </w:tcPr>
          <w:p w14:paraId="703EC7D1" w14:textId="67EB4EA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0,09</w:t>
            </w:r>
          </w:p>
        </w:tc>
        <w:tc>
          <w:tcPr>
            <w:tcW w:w="490" w:type="dxa"/>
            <w:tcBorders>
              <w:top w:val="nil"/>
              <w:left w:val="nil"/>
              <w:bottom w:val="single" w:sz="4" w:space="0" w:color="auto"/>
              <w:right w:val="single" w:sz="4" w:space="0" w:color="auto"/>
            </w:tcBorders>
            <w:shd w:val="clear" w:color="auto" w:fill="auto"/>
            <w:noWrap/>
            <w:vAlign w:val="bottom"/>
            <w:hideMark/>
          </w:tcPr>
          <w:p w14:paraId="33849B7B" w14:textId="71D5F36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0,08</w:t>
            </w:r>
          </w:p>
        </w:tc>
        <w:tc>
          <w:tcPr>
            <w:tcW w:w="782" w:type="dxa"/>
            <w:tcBorders>
              <w:top w:val="nil"/>
              <w:left w:val="nil"/>
              <w:bottom w:val="single" w:sz="4" w:space="0" w:color="auto"/>
              <w:right w:val="single" w:sz="4" w:space="0" w:color="auto"/>
            </w:tcBorders>
            <w:shd w:val="clear" w:color="auto" w:fill="auto"/>
            <w:noWrap/>
            <w:vAlign w:val="bottom"/>
            <w:hideMark/>
          </w:tcPr>
          <w:p w14:paraId="014D8F96" w14:textId="61A8F07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r>
      <w:tr w:rsidR="00BE3573" w:rsidRPr="00A1696A" w14:paraId="6C302528"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48EAB73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6F83FC21" w14:textId="6232B98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443,3</w:t>
            </w:r>
          </w:p>
        </w:tc>
        <w:tc>
          <w:tcPr>
            <w:tcW w:w="384" w:type="dxa"/>
            <w:vMerge/>
            <w:tcBorders>
              <w:top w:val="nil"/>
              <w:left w:val="single" w:sz="4" w:space="0" w:color="auto"/>
              <w:bottom w:val="single" w:sz="4" w:space="0" w:color="auto"/>
              <w:right w:val="single" w:sz="4" w:space="0" w:color="auto"/>
            </w:tcBorders>
            <w:vAlign w:val="center"/>
            <w:hideMark/>
          </w:tcPr>
          <w:p w14:paraId="356C6E3B"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1BCDAB2C"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G3</w:t>
            </w:r>
          </w:p>
        </w:tc>
        <w:tc>
          <w:tcPr>
            <w:tcW w:w="596" w:type="dxa"/>
            <w:tcBorders>
              <w:top w:val="nil"/>
              <w:left w:val="nil"/>
              <w:bottom w:val="single" w:sz="4" w:space="0" w:color="auto"/>
              <w:right w:val="single" w:sz="4" w:space="0" w:color="auto"/>
            </w:tcBorders>
            <w:shd w:val="clear" w:color="000000" w:fill="FCD5B4"/>
            <w:noWrap/>
            <w:vAlign w:val="bottom"/>
            <w:hideMark/>
          </w:tcPr>
          <w:p w14:paraId="3C2C7361"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RE4</w:t>
            </w:r>
          </w:p>
        </w:tc>
        <w:tc>
          <w:tcPr>
            <w:tcW w:w="706" w:type="dxa"/>
            <w:tcBorders>
              <w:top w:val="nil"/>
              <w:left w:val="nil"/>
              <w:bottom w:val="single" w:sz="4" w:space="0" w:color="auto"/>
              <w:right w:val="single" w:sz="4" w:space="0" w:color="auto"/>
            </w:tcBorders>
            <w:shd w:val="clear" w:color="auto" w:fill="auto"/>
            <w:noWrap/>
            <w:vAlign w:val="bottom"/>
            <w:hideMark/>
          </w:tcPr>
          <w:p w14:paraId="1053132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1054" w:type="dxa"/>
            <w:tcBorders>
              <w:top w:val="nil"/>
              <w:left w:val="nil"/>
              <w:bottom w:val="single" w:sz="4" w:space="0" w:color="auto"/>
              <w:right w:val="single" w:sz="4" w:space="0" w:color="auto"/>
            </w:tcBorders>
            <w:shd w:val="clear" w:color="auto" w:fill="auto"/>
            <w:noWrap/>
            <w:vAlign w:val="bottom"/>
            <w:hideMark/>
          </w:tcPr>
          <w:p w14:paraId="5E127A82"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796" w:type="dxa"/>
            <w:tcBorders>
              <w:top w:val="nil"/>
              <w:left w:val="nil"/>
              <w:bottom w:val="single" w:sz="4" w:space="0" w:color="auto"/>
              <w:right w:val="single" w:sz="4" w:space="0" w:color="auto"/>
            </w:tcBorders>
            <w:shd w:val="clear" w:color="auto" w:fill="auto"/>
            <w:noWrap/>
            <w:vAlign w:val="bottom"/>
            <w:hideMark/>
          </w:tcPr>
          <w:p w14:paraId="05F2C80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4DF0CFF2"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2A66461D"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309CA02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1007" w:type="dxa"/>
            <w:tcBorders>
              <w:top w:val="nil"/>
              <w:left w:val="nil"/>
              <w:bottom w:val="single" w:sz="4" w:space="0" w:color="auto"/>
              <w:right w:val="single" w:sz="4" w:space="0" w:color="auto"/>
            </w:tcBorders>
            <w:shd w:val="clear" w:color="auto" w:fill="auto"/>
            <w:noWrap/>
            <w:vAlign w:val="bottom"/>
            <w:hideMark/>
          </w:tcPr>
          <w:p w14:paraId="03B8B4F0"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542" w:type="dxa"/>
            <w:tcBorders>
              <w:top w:val="nil"/>
              <w:left w:val="nil"/>
              <w:bottom w:val="single" w:sz="4" w:space="0" w:color="auto"/>
              <w:right w:val="single" w:sz="4" w:space="0" w:color="auto"/>
            </w:tcBorders>
            <w:shd w:val="clear" w:color="auto" w:fill="auto"/>
            <w:noWrap/>
            <w:vAlign w:val="bottom"/>
            <w:hideMark/>
          </w:tcPr>
          <w:p w14:paraId="60021A93" w14:textId="5A9A28E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0,05</w:t>
            </w:r>
          </w:p>
        </w:tc>
        <w:tc>
          <w:tcPr>
            <w:tcW w:w="490" w:type="dxa"/>
            <w:tcBorders>
              <w:top w:val="nil"/>
              <w:left w:val="nil"/>
              <w:bottom w:val="single" w:sz="4" w:space="0" w:color="auto"/>
              <w:right w:val="single" w:sz="4" w:space="0" w:color="auto"/>
            </w:tcBorders>
            <w:shd w:val="clear" w:color="auto" w:fill="auto"/>
            <w:noWrap/>
            <w:vAlign w:val="bottom"/>
            <w:hideMark/>
          </w:tcPr>
          <w:p w14:paraId="4BC26CD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782" w:type="dxa"/>
            <w:tcBorders>
              <w:top w:val="nil"/>
              <w:left w:val="nil"/>
              <w:bottom w:val="single" w:sz="4" w:space="0" w:color="auto"/>
              <w:right w:val="single" w:sz="4" w:space="0" w:color="auto"/>
            </w:tcBorders>
            <w:shd w:val="clear" w:color="auto" w:fill="auto"/>
            <w:noWrap/>
            <w:vAlign w:val="bottom"/>
            <w:hideMark/>
          </w:tcPr>
          <w:p w14:paraId="7CD756F6" w14:textId="36D05C1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r>
      <w:tr w:rsidR="00BE3573" w:rsidRPr="00A1696A" w14:paraId="43A36307"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5B1ACE75"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2E6F392B" w14:textId="775A55F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495,6</w:t>
            </w:r>
          </w:p>
        </w:tc>
        <w:tc>
          <w:tcPr>
            <w:tcW w:w="384" w:type="dxa"/>
            <w:vMerge/>
            <w:tcBorders>
              <w:top w:val="nil"/>
              <w:left w:val="single" w:sz="4" w:space="0" w:color="auto"/>
              <w:bottom w:val="single" w:sz="4" w:space="0" w:color="auto"/>
              <w:right w:val="single" w:sz="4" w:space="0" w:color="auto"/>
            </w:tcBorders>
            <w:vAlign w:val="center"/>
            <w:hideMark/>
          </w:tcPr>
          <w:p w14:paraId="7BF0F83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666F4EC3"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G4</w:t>
            </w:r>
          </w:p>
        </w:tc>
        <w:tc>
          <w:tcPr>
            <w:tcW w:w="596" w:type="dxa"/>
            <w:tcBorders>
              <w:top w:val="nil"/>
              <w:left w:val="nil"/>
              <w:bottom w:val="single" w:sz="4" w:space="0" w:color="auto"/>
              <w:right w:val="single" w:sz="4" w:space="0" w:color="auto"/>
            </w:tcBorders>
            <w:shd w:val="clear" w:color="000000" w:fill="FCD5B4"/>
            <w:noWrap/>
            <w:vAlign w:val="bottom"/>
            <w:hideMark/>
          </w:tcPr>
          <w:p w14:paraId="572D878C"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RE5</w:t>
            </w:r>
          </w:p>
        </w:tc>
        <w:tc>
          <w:tcPr>
            <w:tcW w:w="706" w:type="dxa"/>
            <w:tcBorders>
              <w:top w:val="nil"/>
              <w:left w:val="nil"/>
              <w:bottom w:val="single" w:sz="4" w:space="0" w:color="auto"/>
              <w:right w:val="single" w:sz="4" w:space="0" w:color="auto"/>
            </w:tcBorders>
            <w:shd w:val="clear" w:color="auto" w:fill="auto"/>
            <w:noWrap/>
            <w:vAlign w:val="bottom"/>
            <w:hideMark/>
          </w:tcPr>
          <w:p w14:paraId="08B5F79B" w14:textId="4B5EB41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0,56</w:t>
            </w:r>
          </w:p>
        </w:tc>
        <w:tc>
          <w:tcPr>
            <w:tcW w:w="1054" w:type="dxa"/>
            <w:tcBorders>
              <w:top w:val="nil"/>
              <w:left w:val="nil"/>
              <w:bottom w:val="single" w:sz="4" w:space="0" w:color="auto"/>
              <w:right w:val="single" w:sz="4" w:space="0" w:color="auto"/>
            </w:tcBorders>
            <w:shd w:val="clear" w:color="auto" w:fill="auto"/>
            <w:noWrap/>
            <w:vAlign w:val="bottom"/>
            <w:hideMark/>
          </w:tcPr>
          <w:p w14:paraId="47E89E72" w14:textId="1AC7071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0,34</w:t>
            </w:r>
          </w:p>
        </w:tc>
        <w:tc>
          <w:tcPr>
            <w:tcW w:w="796" w:type="dxa"/>
            <w:tcBorders>
              <w:top w:val="nil"/>
              <w:left w:val="nil"/>
              <w:bottom w:val="single" w:sz="4" w:space="0" w:color="auto"/>
              <w:right w:val="single" w:sz="4" w:space="0" w:color="auto"/>
            </w:tcBorders>
            <w:shd w:val="clear" w:color="auto" w:fill="auto"/>
            <w:noWrap/>
            <w:vAlign w:val="bottom"/>
            <w:hideMark/>
          </w:tcPr>
          <w:p w14:paraId="42134A8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490" w:type="dxa"/>
            <w:tcBorders>
              <w:top w:val="nil"/>
              <w:left w:val="nil"/>
              <w:bottom w:val="single" w:sz="4" w:space="0" w:color="auto"/>
              <w:right w:val="single" w:sz="4" w:space="0" w:color="auto"/>
            </w:tcBorders>
            <w:shd w:val="clear" w:color="auto" w:fill="auto"/>
            <w:noWrap/>
            <w:vAlign w:val="bottom"/>
            <w:hideMark/>
          </w:tcPr>
          <w:p w14:paraId="791F62C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35</w:t>
            </w:r>
          </w:p>
        </w:tc>
        <w:tc>
          <w:tcPr>
            <w:tcW w:w="490" w:type="dxa"/>
            <w:tcBorders>
              <w:top w:val="nil"/>
              <w:left w:val="nil"/>
              <w:bottom w:val="single" w:sz="4" w:space="0" w:color="auto"/>
              <w:right w:val="single" w:sz="4" w:space="0" w:color="auto"/>
            </w:tcBorders>
            <w:shd w:val="clear" w:color="auto" w:fill="auto"/>
            <w:noWrap/>
            <w:vAlign w:val="bottom"/>
            <w:hideMark/>
          </w:tcPr>
          <w:p w14:paraId="441D538B" w14:textId="364B54E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23,4</w:t>
            </w:r>
          </w:p>
        </w:tc>
        <w:tc>
          <w:tcPr>
            <w:tcW w:w="490" w:type="dxa"/>
            <w:tcBorders>
              <w:top w:val="nil"/>
              <w:left w:val="nil"/>
              <w:bottom w:val="single" w:sz="4" w:space="0" w:color="auto"/>
              <w:right w:val="single" w:sz="4" w:space="0" w:color="auto"/>
            </w:tcBorders>
            <w:shd w:val="clear" w:color="auto" w:fill="auto"/>
            <w:noWrap/>
            <w:vAlign w:val="bottom"/>
            <w:hideMark/>
          </w:tcPr>
          <w:p w14:paraId="341AE106" w14:textId="0E756284"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41,6</w:t>
            </w:r>
          </w:p>
        </w:tc>
        <w:tc>
          <w:tcPr>
            <w:tcW w:w="1007" w:type="dxa"/>
            <w:tcBorders>
              <w:top w:val="nil"/>
              <w:left w:val="nil"/>
              <w:bottom w:val="single" w:sz="4" w:space="0" w:color="auto"/>
              <w:right w:val="single" w:sz="4" w:space="0" w:color="auto"/>
            </w:tcBorders>
            <w:shd w:val="clear" w:color="auto" w:fill="auto"/>
            <w:noWrap/>
            <w:vAlign w:val="bottom"/>
            <w:hideMark/>
          </w:tcPr>
          <w:p w14:paraId="063781B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542" w:type="dxa"/>
            <w:tcBorders>
              <w:top w:val="nil"/>
              <w:left w:val="nil"/>
              <w:bottom w:val="single" w:sz="4" w:space="0" w:color="auto"/>
              <w:right w:val="single" w:sz="4" w:space="0" w:color="auto"/>
            </w:tcBorders>
            <w:shd w:val="clear" w:color="auto" w:fill="auto"/>
            <w:noWrap/>
            <w:vAlign w:val="bottom"/>
            <w:hideMark/>
          </w:tcPr>
          <w:p w14:paraId="1A791258" w14:textId="6BCF4D3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0,24</w:t>
            </w:r>
          </w:p>
        </w:tc>
        <w:tc>
          <w:tcPr>
            <w:tcW w:w="490" w:type="dxa"/>
            <w:tcBorders>
              <w:top w:val="nil"/>
              <w:left w:val="nil"/>
              <w:bottom w:val="single" w:sz="4" w:space="0" w:color="auto"/>
              <w:right w:val="single" w:sz="4" w:space="0" w:color="auto"/>
            </w:tcBorders>
            <w:shd w:val="clear" w:color="auto" w:fill="auto"/>
            <w:noWrap/>
            <w:vAlign w:val="bottom"/>
            <w:hideMark/>
          </w:tcPr>
          <w:p w14:paraId="31C175EA" w14:textId="17F2C99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0,24</w:t>
            </w:r>
          </w:p>
        </w:tc>
        <w:tc>
          <w:tcPr>
            <w:tcW w:w="782" w:type="dxa"/>
            <w:tcBorders>
              <w:top w:val="nil"/>
              <w:left w:val="nil"/>
              <w:bottom w:val="single" w:sz="4" w:space="0" w:color="auto"/>
              <w:right w:val="single" w:sz="4" w:space="0" w:color="auto"/>
            </w:tcBorders>
            <w:shd w:val="clear" w:color="auto" w:fill="auto"/>
            <w:noWrap/>
            <w:vAlign w:val="bottom"/>
            <w:hideMark/>
          </w:tcPr>
          <w:p w14:paraId="65D55178" w14:textId="2F95A95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0,18</w:t>
            </w:r>
          </w:p>
        </w:tc>
      </w:tr>
      <w:tr w:rsidR="00BE3573" w:rsidRPr="00A1696A" w14:paraId="1E198293"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16869778"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446D87F9" w14:textId="2E49D2A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553,0</w:t>
            </w:r>
          </w:p>
        </w:tc>
        <w:tc>
          <w:tcPr>
            <w:tcW w:w="384" w:type="dxa"/>
            <w:vMerge/>
            <w:tcBorders>
              <w:top w:val="nil"/>
              <w:left w:val="single" w:sz="4" w:space="0" w:color="auto"/>
              <w:bottom w:val="single" w:sz="4" w:space="0" w:color="auto"/>
              <w:right w:val="single" w:sz="4" w:space="0" w:color="auto"/>
            </w:tcBorders>
            <w:vAlign w:val="center"/>
            <w:hideMark/>
          </w:tcPr>
          <w:p w14:paraId="390629D5"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3C7FAA12"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G5</w:t>
            </w:r>
          </w:p>
        </w:tc>
        <w:tc>
          <w:tcPr>
            <w:tcW w:w="596" w:type="dxa"/>
            <w:tcBorders>
              <w:top w:val="nil"/>
              <w:left w:val="nil"/>
              <w:bottom w:val="single" w:sz="4" w:space="0" w:color="auto"/>
              <w:right w:val="single" w:sz="4" w:space="0" w:color="auto"/>
            </w:tcBorders>
            <w:shd w:val="clear" w:color="000000" w:fill="FCD5B4"/>
            <w:noWrap/>
            <w:vAlign w:val="bottom"/>
            <w:hideMark/>
          </w:tcPr>
          <w:p w14:paraId="08AC3847"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RE6</w:t>
            </w:r>
          </w:p>
        </w:tc>
        <w:tc>
          <w:tcPr>
            <w:tcW w:w="706" w:type="dxa"/>
            <w:tcBorders>
              <w:top w:val="nil"/>
              <w:left w:val="nil"/>
              <w:bottom w:val="single" w:sz="4" w:space="0" w:color="auto"/>
              <w:right w:val="single" w:sz="4" w:space="0" w:color="auto"/>
            </w:tcBorders>
            <w:shd w:val="clear" w:color="auto" w:fill="auto"/>
            <w:noWrap/>
            <w:vAlign w:val="bottom"/>
            <w:hideMark/>
          </w:tcPr>
          <w:p w14:paraId="51F7B70F" w14:textId="4A6B6554"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0,52</w:t>
            </w:r>
          </w:p>
        </w:tc>
        <w:tc>
          <w:tcPr>
            <w:tcW w:w="1054" w:type="dxa"/>
            <w:tcBorders>
              <w:top w:val="nil"/>
              <w:left w:val="nil"/>
              <w:bottom w:val="single" w:sz="4" w:space="0" w:color="auto"/>
              <w:right w:val="single" w:sz="4" w:space="0" w:color="auto"/>
            </w:tcBorders>
            <w:shd w:val="clear" w:color="auto" w:fill="auto"/>
            <w:noWrap/>
            <w:vAlign w:val="bottom"/>
            <w:hideMark/>
          </w:tcPr>
          <w:p w14:paraId="2736AE4A" w14:textId="4B7421E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0,34</w:t>
            </w:r>
          </w:p>
        </w:tc>
        <w:tc>
          <w:tcPr>
            <w:tcW w:w="796" w:type="dxa"/>
            <w:tcBorders>
              <w:top w:val="nil"/>
              <w:left w:val="nil"/>
              <w:bottom w:val="single" w:sz="4" w:space="0" w:color="auto"/>
              <w:right w:val="single" w:sz="4" w:space="0" w:color="auto"/>
            </w:tcBorders>
            <w:shd w:val="clear" w:color="auto" w:fill="auto"/>
            <w:noWrap/>
            <w:vAlign w:val="bottom"/>
            <w:hideMark/>
          </w:tcPr>
          <w:p w14:paraId="77C91FAD" w14:textId="1781D10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0,18</w:t>
            </w:r>
          </w:p>
        </w:tc>
        <w:tc>
          <w:tcPr>
            <w:tcW w:w="490" w:type="dxa"/>
            <w:tcBorders>
              <w:top w:val="nil"/>
              <w:left w:val="nil"/>
              <w:bottom w:val="single" w:sz="4" w:space="0" w:color="auto"/>
              <w:right w:val="single" w:sz="4" w:space="0" w:color="auto"/>
            </w:tcBorders>
            <w:shd w:val="clear" w:color="auto" w:fill="auto"/>
            <w:noWrap/>
            <w:vAlign w:val="bottom"/>
            <w:hideMark/>
          </w:tcPr>
          <w:p w14:paraId="79D12508" w14:textId="40E3FEF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33,3</w:t>
            </w:r>
          </w:p>
        </w:tc>
        <w:tc>
          <w:tcPr>
            <w:tcW w:w="490" w:type="dxa"/>
            <w:tcBorders>
              <w:top w:val="nil"/>
              <w:left w:val="nil"/>
              <w:bottom w:val="single" w:sz="4" w:space="0" w:color="auto"/>
              <w:right w:val="single" w:sz="4" w:space="0" w:color="auto"/>
            </w:tcBorders>
            <w:shd w:val="clear" w:color="auto" w:fill="auto"/>
            <w:noWrap/>
            <w:vAlign w:val="bottom"/>
            <w:hideMark/>
          </w:tcPr>
          <w:p w14:paraId="6786A767" w14:textId="0E4D8F7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24,8</w:t>
            </w:r>
          </w:p>
        </w:tc>
        <w:tc>
          <w:tcPr>
            <w:tcW w:w="490" w:type="dxa"/>
            <w:tcBorders>
              <w:top w:val="nil"/>
              <w:left w:val="nil"/>
              <w:bottom w:val="single" w:sz="4" w:space="0" w:color="auto"/>
              <w:right w:val="single" w:sz="4" w:space="0" w:color="auto"/>
            </w:tcBorders>
            <w:shd w:val="clear" w:color="auto" w:fill="auto"/>
            <w:noWrap/>
            <w:vAlign w:val="bottom"/>
            <w:hideMark/>
          </w:tcPr>
          <w:p w14:paraId="33D1123B" w14:textId="4C01CEA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41,9</w:t>
            </w:r>
          </w:p>
        </w:tc>
        <w:tc>
          <w:tcPr>
            <w:tcW w:w="1007" w:type="dxa"/>
            <w:tcBorders>
              <w:top w:val="nil"/>
              <w:left w:val="nil"/>
              <w:bottom w:val="single" w:sz="4" w:space="0" w:color="auto"/>
              <w:right w:val="single" w:sz="4" w:space="0" w:color="auto"/>
            </w:tcBorders>
            <w:shd w:val="clear" w:color="auto" w:fill="auto"/>
            <w:noWrap/>
            <w:vAlign w:val="bottom"/>
            <w:hideMark/>
          </w:tcPr>
          <w:p w14:paraId="76B525EA" w14:textId="78E0C1D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0,21</w:t>
            </w:r>
          </w:p>
        </w:tc>
        <w:tc>
          <w:tcPr>
            <w:tcW w:w="542" w:type="dxa"/>
            <w:tcBorders>
              <w:top w:val="nil"/>
              <w:left w:val="nil"/>
              <w:bottom w:val="single" w:sz="4" w:space="0" w:color="auto"/>
              <w:right w:val="single" w:sz="4" w:space="0" w:color="auto"/>
            </w:tcBorders>
            <w:shd w:val="clear" w:color="auto" w:fill="auto"/>
            <w:noWrap/>
            <w:vAlign w:val="bottom"/>
            <w:hideMark/>
          </w:tcPr>
          <w:p w14:paraId="1E7C82F6" w14:textId="07DE7D0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0,41</w:t>
            </w:r>
          </w:p>
        </w:tc>
        <w:tc>
          <w:tcPr>
            <w:tcW w:w="490" w:type="dxa"/>
            <w:tcBorders>
              <w:top w:val="nil"/>
              <w:left w:val="nil"/>
              <w:bottom w:val="single" w:sz="4" w:space="0" w:color="auto"/>
              <w:right w:val="single" w:sz="4" w:space="0" w:color="auto"/>
            </w:tcBorders>
            <w:shd w:val="clear" w:color="auto" w:fill="auto"/>
            <w:noWrap/>
            <w:vAlign w:val="bottom"/>
            <w:hideMark/>
          </w:tcPr>
          <w:p w14:paraId="29B8E213" w14:textId="37331B8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c>
          <w:tcPr>
            <w:tcW w:w="782" w:type="dxa"/>
            <w:tcBorders>
              <w:top w:val="nil"/>
              <w:left w:val="nil"/>
              <w:bottom w:val="single" w:sz="4" w:space="0" w:color="auto"/>
              <w:right w:val="single" w:sz="4" w:space="0" w:color="auto"/>
            </w:tcBorders>
            <w:shd w:val="clear" w:color="auto" w:fill="auto"/>
            <w:noWrap/>
            <w:vAlign w:val="bottom"/>
            <w:hideMark/>
          </w:tcPr>
          <w:p w14:paraId="34C5AA0D" w14:textId="6D04C16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0,22</w:t>
            </w:r>
          </w:p>
        </w:tc>
      </w:tr>
      <w:tr w:rsidR="00BE3573" w:rsidRPr="00A1696A" w14:paraId="67E1524D" w14:textId="77777777" w:rsidTr="002E4C45">
        <w:trPr>
          <w:trHeight w:val="524"/>
          <w:jc w:val="center"/>
        </w:trPr>
        <w:tc>
          <w:tcPr>
            <w:tcW w:w="384" w:type="dxa"/>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17939D6F"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ТВМЗ</w:t>
            </w:r>
          </w:p>
        </w:tc>
        <w:tc>
          <w:tcPr>
            <w:tcW w:w="1080" w:type="dxa"/>
            <w:tcBorders>
              <w:top w:val="nil"/>
              <w:left w:val="nil"/>
              <w:bottom w:val="single" w:sz="4" w:space="0" w:color="auto"/>
              <w:right w:val="single" w:sz="4" w:space="0" w:color="auto"/>
            </w:tcBorders>
            <w:shd w:val="clear" w:color="000000" w:fill="FCD5B4"/>
            <w:noWrap/>
            <w:vAlign w:val="center"/>
            <w:hideMark/>
          </w:tcPr>
          <w:p w14:paraId="150B63F9" w14:textId="3CF976F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816,8</w:t>
            </w:r>
          </w:p>
        </w:tc>
        <w:tc>
          <w:tcPr>
            <w:tcW w:w="384" w:type="dxa"/>
            <w:vMerge/>
            <w:tcBorders>
              <w:top w:val="nil"/>
              <w:left w:val="single" w:sz="4" w:space="0" w:color="auto"/>
              <w:bottom w:val="single" w:sz="4" w:space="0" w:color="auto"/>
              <w:right w:val="single" w:sz="4" w:space="0" w:color="auto"/>
            </w:tcBorders>
            <w:vAlign w:val="center"/>
            <w:hideMark/>
          </w:tcPr>
          <w:p w14:paraId="71070738"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35ACDF4A"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G6</w:t>
            </w:r>
          </w:p>
        </w:tc>
        <w:tc>
          <w:tcPr>
            <w:tcW w:w="596" w:type="dxa"/>
            <w:tcBorders>
              <w:top w:val="nil"/>
              <w:left w:val="nil"/>
              <w:bottom w:val="single" w:sz="4" w:space="0" w:color="auto"/>
              <w:right w:val="single" w:sz="4" w:space="0" w:color="auto"/>
            </w:tcBorders>
            <w:shd w:val="clear" w:color="000000" w:fill="FCD5B4"/>
            <w:noWrap/>
            <w:vAlign w:val="bottom"/>
            <w:hideMark/>
          </w:tcPr>
          <w:p w14:paraId="43FEDBBF"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RE9</w:t>
            </w:r>
          </w:p>
        </w:tc>
        <w:tc>
          <w:tcPr>
            <w:tcW w:w="706" w:type="dxa"/>
            <w:tcBorders>
              <w:top w:val="nil"/>
              <w:left w:val="nil"/>
              <w:bottom w:val="single" w:sz="4" w:space="0" w:color="auto"/>
              <w:right w:val="single" w:sz="4" w:space="0" w:color="auto"/>
            </w:tcBorders>
            <w:shd w:val="clear" w:color="auto" w:fill="auto"/>
            <w:noWrap/>
            <w:vAlign w:val="bottom"/>
            <w:hideMark/>
          </w:tcPr>
          <w:p w14:paraId="2340FB44" w14:textId="4F1F247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w:t>
            </w:r>
          </w:p>
        </w:tc>
        <w:tc>
          <w:tcPr>
            <w:tcW w:w="1054" w:type="dxa"/>
            <w:tcBorders>
              <w:top w:val="nil"/>
              <w:left w:val="nil"/>
              <w:bottom w:val="single" w:sz="4" w:space="0" w:color="auto"/>
              <w:right w:val="single" w:sz="4" w:space="0" w:color="auto"/>
            </w:tcBorders>
            <w:shd w:val="clear" w:color="auto" w:fill="auto"/>
            <w:noWrap/>
            <w:vAlign w:val="bottom"/>
            <w:hideMark/>
          </w:tcPr>
          <w:p w14:paraId="0EF4211E" w14:textId="18EC708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0,43</w:t>
            </w:r>
          </w:p>
        </w:tc>
        <w:tc>
          <w:tcPr>
            <w:tcW w:w="796" w:type="dxa"/>
            <w:tcBorders>
              <w:top w:val="nil"/>
              <w:left w:val="nil"/>
              <w:bottom w:val="single" w:sz="4" w:space="0" w:color="auto"/>
              <w:right w:val="single" w:sz="4" w:space="0" w:color="auto"/>
            </w:tcBorders>
            <w:shd w:val="clear" w:color="auto" w:fill="auto"/>
            <w:noWrap/>
            <w:vAlign w:val="bottom"/>
            <w:hideMark/>
          </w:tcPr>
          <w:p w14:paraId="46A74554" w14:textId="0B8B114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0,34</w:t>
            </w:r>
          </w:p>
        </w:tc>
        <w:tc>
          <w:tcPr>
            <w:tcW w:w="490" w:type="dxa"/>
            <w:tcBorders>
              <w:top w:val="nil"/>
              <w:left w:val="nil"/>
              <w:bottom w:val="single" w:sz="4" w:space="0" w:color="auto"/>
              <w:right w:val="single" w:sz="4" w:space="0" w:color="auto"/>
            </w:tcBorders>
            <w:shd w:val="clear" w:color="auto" w:fill="auto"/>
            <w:noWrap/>
            <w:vAlign w:val="bottom"/>
            <w:hideMark/>
          </w:tcPr>
          <w:p w14:paraId="1A1B81A8" w14:textId="75925CA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42,7</w:t>
            </w:r>
          </w:p>
        </w:tc>
        <w:tc>
          <w:tcPr>
            <w:tcW w:w="490" w:type="dxa"/>
            <w:tcBorders>
              <w:top w:val="nil"/>
              <w:left w:val="nil"/>
              <w:bottom w:val="single" w:sz="4" w:space="0" w:color="auto"/>
              <w:right w:val="single" w:sz="4" w:space="0" w:color="auto"/>
            </w:tcBorders>
            <w:shd w:val="clear" w:color="auto" w:fill="auto"/>
            <w:noWrap/>
            <w:vAlign w:val="bottom"/>
            <w:hideMark/>
          </w:tcPr>
          <w:p w14:paraId="2C49D137" w14:textId="0769333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23,9</w:t>
            </w:r>
          </w:p>
        </w:tc>
        <w:tc>
          <w:tcPr>
            <w:tcW w:w="490" w:type="dxa"/>
            <w:tcBorders>
              <w:top w:val="nil"/>
              <w:left w:val="nil"/>
              <w:bottom w:val="single" w:sz="4" w:space="0" w:color="auto"/>
              <w:right w:val="single" w:sz="4" w:space="0" w:color="auto"/>
            </w:tcBorders>
            <w:shd w:val="clear" w:color="auto" w:fill="auto"/>
            <w:noWrap/>
            <w:vAlign w:val="bottom"/>
            <w:hideMark/>
          </w:tcPr>
          <w:p w14:paraId="26EBF3E3" w14:textId="4003B6E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33,4</w:t>
            </w:r>
          </w:p>
        </w:tc>
        <w:tc>
          <w:tcPr>
            <w:tcW w:w="1007" w:type="dxa"/>
            <w:tcBorders>
              <w:top w:val="nil"/>
              <w:left w:val="nil"/>
              <w:bottom w:val="single" w:sz="4" w:space="0" w:color="auto"/>
              <w:right w:val="single" w:sz="4" w:space="0" w:color="auto"/>
            </w:tcBorders>
            <w:shd w:val="clear" w:color="auto" w:fill="auto"/>
            <w:noWrap/>
            <w:vAlign w:val="bottom"/>
            <w:hideMark/>
          </w:tcPr>
          <w:p w14:paraId="44F81B30" w14:textId="5293570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0,31</w:t>
            </w:r>
          </w:p>
        </w:tc>
        <w:tc>
          <w:tcPr>
            <w:tcW w:w="542" w:type="dxa"/>
            <w:tcBorders>
              <w:top w:val="nil"/>
              <w:left w:val="nil"/>
              <w:bottom w:val="single" w:sz="4" w:space="0" w:color="auto"/>
              <w:right w:val="single" w:sz="4" w:space="0" w:color="auto"/>
            </w:tcBorders>
            <w:shd w:val="clear" w:color="auto" w:fill="auto"/>
            <w:noWrap/>
            <w:vAlign w:val="bottom"/>
            <w:hideMark/>
          </w:tcPr>
          <w:p w14:paraId="7D37E477" w14:textId="294FDE7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0,36</w:t>
            </w:r>
          </w:p>
        </w:tc>
        <w:tc>
          <w:tcPr>
            <w:tcW w:w="490" w:type="dxa"/>
            <w:tcBorders>
              <w:top w:val="nil"/>
              <w:left w:val="nil"/>
              <w:bottom w:val="single" w:sz="4" w:space="0" w:color="auto"/>
              <w:right w:val="single" w:sz="4" w:space="0" w:color="auto"/>
            </w:tcBorders>
            <w:shd w:val="clear" w:color="auto" w:fill="auto"/>
            <w:noWrap/>
            <w:vAlign w:val="bottom"/>
            <w:hideMark/>
          </w:tcPr>
          <w:p w14:paraId="644495E0" w14:textId="31E66E48"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w:t>
            </w:r>
          </w:p>
        </w:tc>
        <w:tc>
          <w:tcPr>
            <w:tcW w:w="782" w:type="dxa"/>
            <w:tcBorders>
              <w:top w:val="nil"/>
              <w:left w:val="nil"/>
              <w:bottom w:val="single" w:sz="4" w:space="0" w:color="auto"/>
              <w:right w:val="single" w:sz="4" w:space="0" w:color="auto"/>
            </w:tcBorders>
            <w:shd w:val="clear" w:color="auto" w:fill="auto"/>
            <w:noWrap/>
            <w:vAlign w:val="bottom"/>
            <w:hideMark/>
          </w:tcPr>
          <w:p w14:paraId="36369AE7" w14:textId="50A84524"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0,54</w:t>
            </w:r>
          </w:p>
        </w:tc>
      </w:tr>
      <w:tr w:rsidR="00BE3573" w:rsidRPr="00A1696A" w14:paraId="4364AC3D" w14:textId="77777777" w:rsidTr="002E4C45">
        <w:trPr>
          <w:trHeight w:val="250"/>
          <w:jc w:val="center"/>
        </w:trPr>
        <w:tc>
          <w:tcPr>
            <w:tcW w:w="384" w:type="dxa"/>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2E8B586B"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Ю</w:t>
            </w:r>
          </w:p>
        </w:tc>
        <w:tc>
          <w:tcPr>
            <w:tcW w:w="1080" w:type="dxa"/>
            <w:tcBorders>
              <w:top w:val="nil"/>
              <w:left w:val="nil"/>
              <w:bottom w:val="single" w:sz="4" w:space="0" w:color="auto"/>
              <w:right w:val="single" w:sz="4" w:space="0" w:color="auto"/>
            </w:tcBorders>
            <w:shd w:val="clear" w:color="000000" w:fill="FCD5B4"/>
            <w:noWrap/>
            <w:vAlign w:val="center"/>
            <w:hideMark/>
          </w:tcPr>
          <w:p w14:paraId="32CBCCED" w14:textId="3086B6D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1685,3</w:t>
            </w:r>
          </w:p>
        </w:tc>
        <w:tc>
          <w:tcPr>
            <w:tcW w:w="384" w:type="dxa"/>
            <w:vMerge/>
            <w:tcBorders>
              <w:top w:val="nil"/>
              <w:left w:val="single" w:sz="4" w:space="0" w:color="auto"/>
              <w:bottom w:val="single" w:sz="4" w:space="0" w:color="auto"/>
              <w:right w:val="single" w:sz="4" w:space="0" w:color="auto"/>
            </w:tcBorders>
            <w:vAlign w:val="center"/>
            <w:hideMark/>
          </w:tcPr>
          <w:p w14:paraId="4F816196"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318987E4"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G7</w:t>
            </w:r>
          </w:p>
        </w:tc>
        <w:tc>
          <w:tcPr>
            <w:tcW w:w="596" w:type="dxa"/>
            <w:tcBorders>
              <w:top w:val="nil"/>
              <w:left w:val="nil"/>
              <w:bottom w:val="single" w:sz="4" w:space="0" w:color="auto"/>
              <w:right w:val="single" w:sz="4" w:space="0" w:color="auto"/>
            </w:tcBorders>
            <w:shd w:val="clear" w:color="000000" w:fill="FCD5B4"/>
            <w:noWrap/>
            <w:vAlign w:val="bottom"/>
            <w:hideMark/>
          </w:tcPr>
          <w:p w14:paraId="042F0BDA"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RE11</w:t>
            </w:r>
          </w:p>
        </w:tc>
        <w:tc>
          <w:tcPr>
            <w:tcW w:w="706" w:type="dxa"/>
            <w:tcBorders>
              <w:top w:val="nil"/>
              <w:left w:val="nil"/>
              <w:bottom w:val="single" w:sz="4" w:space="0" w:color="auto"/>
              <w:right w:val="single" w:sz="4" w:space="0" w:color="auto"/>
            </w:tcBorders>
            <w:shd w:val="clear" w:color="auto" w:fill="auto"/>
            <w:noWrap/>
            <w:vAlign w:val="bottom"/>
            <w:hideMark/>
          </w:tcPr>
          <w:p w14:paraId="1BE64B64" w14:textId="2F70EB4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0,89</w:t>
            </w:r>
          </w:p>
        </w:tc>
        <w:tc>
          <w:tcPr>
            <w:tcW w:w="1054" w:type="dxa"/>
            <w:tcBorders>
              <w:top w:val="nil"/>
              <w:left w:val="nil"/>
              <w:bottom w:val="single" w:sz="4" w:space="0" w:color="auto"/>
              <w:right w:val="single" w:sz="4" w:space="0" w:color="auto"/>
            </w:tcBorders>
            <w:shd w:val="clear" w:color="auto" w:fill="auto"/>
            <w:noWrap/>
            <w:vAlign w:val="bottom"/>
            <w:hideMark/>
          </w:tcPr>
          <w:p w14:paraId="6CE700B6" w14:textId="03A7F9D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0,52</w:t>
            </w:r>
          </w:p>
        </w:tc>
        <w:tc>
          <w:tcPr>
            <w:tcW w:w="796" w:type="dxa"/>
            <w:tcBorders>
              <w:top w:val="nil"/>
              <w:left w:val="nil"/>
              <w:bottom w:val="single" w:sz="4" w:space="0" w:color="auto"/>
              <w:right w:val="single" w:sz="4" w:space="0" w:color="auto"/>
            </w:tcBorders>
            <w:shd w:val="clear" w:color="auto" w:fill="auto"/>
            <w:noWrap/>
            <w:vAlign w:val="bottom"/>
            <w:hideMark/>
          </w:tcPr>
          <w:p w14:paraId="75132799" w14:textId="37D8459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0,34</w:t>
            </w:r>
          </w:p>
        </w:tc>
        <w:tc>
          <w:tcPr>
            <w:tcW w:w="490" w:type="dxa"/>
            <w:tcBorders>
              <w:top w:val="nil"/>
              <w:left w:val="nil"/>
              <w:bottom w:val="single" w:sz="4" w:space="0" w:color="auto"/>
              <w:right w:val="single" w:sz="4" w:space="0" w:color="auto"/>
            </w:tcBorders>
            <w:shd w:val="clear" w:color="auto" w:fill="auto"/>
            <w:noWrap/>
            <w:vAlign w:val="bottom"/>
            <w:hideMark/>
          </w:tcPr>
          <w:p w14:paraId="7AE2FE8E" w14:textId="5396D57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40,2</w:t>
            </w:r>
          </w:p>
        </w:tc>
        <w:tc>
          <w:tcPr>
            <w:tcW w:w="490" w:type="dxa"/>
            <w:tcBorders>
              <w:top w:val="nil"/>
              <w:left w:val="nil"/>
              <w:bottom w:val="single" w:sz="4" w:space="0" w:color="auto"/>
              <w:right w:val="single" w:sz="4" w:space="0" w:color="auto"/>
            </w:tcBorders>
            <w:shd w:val="clear" w:color="auto" w:fill="auto"/>
            <w:noWrap/>
            <w:vAlign w:val="bottom"/>
            <w:hideMark/>
          </w:tcPr>
          <w:p w14:paraId="714C960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29</w:t>
            </w:r>
          </w:p>
        </w:tc>
        <w:tc>
          <w:tcPr>
            <w:tcW w:w="490" w:type="dxa"/>
            <w:tcBorders>
              <w:top w:val="nil"/>
              <w:left w:val="nil"/>
              <w:bottom w:val="single" w:sz="4" w:space="0" w:color="auto"/>
              <w:right w:val="single" w:sz="4" w:space="0" w:color="auto"/>
            </w:tcBorders>
            <w:shd w:val="clear" w:color="auto" w:fill="auto"/>
            <w:noWrap/>
            <w:vAlign w:val="bottom"/>
            <w:hideMark/>
          </w:tcPr>
          <w:p w14:paraId="222481E8" w14:textId="43D595B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30,8</w:t>
            </w:r>
          </w:p>
        </w:tc>
        <w:tc>
          <w:tcPr>
            <w:tcW w:w="1007" w:type="dxa"/>
            <w:tcBorders>
              <w:top w:val="nil"/>
              <w:left w:val="nil"/>
              <w:bottom w:val="single" w:sz="4" w:space="0" w:color="auto"/>
              <w:right w:val="single" w:sz="4" w:space="0" w:color="auto"/>
            </w:tcBorders>
            <w:shd w:val="clear" w:color="auto" w:fill="auto"/>
            <w:noWrap/>
            <w:vAlign w:val="bottom"/>
            <w:hideMark/>
          </w:tcPr>
          <w:p w14:paraId="6D986264" w14:textId="40089B2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0,53</w:t>
            </w:r>
          </w:p>
        </w:tc>
        <w:tc>
          <w:tcPr>
            <w:tcW w:w="542" w:type="dxa"/>
            <w:tcBorders>
              <w:top w:val="nil"/>
              <w:left w:val="nil"/>
              <w:bottom w:val="single" w:sz="4" w:space="0" w:color="auto"/>
              <w:right w:val="single" w:sz="4" w:space="0" w:color="auto"/>
            </w:tcBorders>
            <w:shd w:val="clear" w:color="auto" w:fill="auto"/>
            <w:noWrap/>
            <w:vAlign w:val="bottom"/>
            <w:hideMark/>
          </w:tcPr>
          <w:p w14:paraId="0A03909D"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490" w:type="dxa"/>
            <w:tcBorders>
              <w:top w:val="nil"/>
              <w:left w:val="nil"/>
              <w:bottom w:val="single" w:sz="4" w:space="0" w:color="auto"/>
              <w:right w:val="single" w:sz="4" w:space="0" w:color="auto"/>
            </w:tcBorders>
            <w:shd w:val="clear" w:color="auto" w:fill="auto"/>
            <w:noWrap/>
            <w:vAlign w:val="bottom"/>
            <w:hideMark/>
          </w:tcPr>
          <w:p w14:paraId="45CF9B4B" w14:textId="64D796E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1,08</w:t>
            </w:r>
          </w:p>
        </w:tc>
        <w:tc>
          <w:tcPr>
            <w:tcW w:w="782" w:type="dxa"/>
            <w:tcBorders>
              <w:top w:val="nil"/>
              <w:left w:val="nil"/>
              <w:bottom w:val="single" w:sz="4" w:space="0" w:color="auto"/>
              <w:right w:val="single" w:sz="4" w:space="0" w:color="auto"/>
            </w:tcBorders>
            <w:shd w:val="clear" w:color="auto" w:fill="auto"/>
            <w:noWrap/>
            <w:vAlign w:val="bottom"/>
            <w:hideMark/>
          </w:tcPr>
          <w:p w14:paraId="4885784B" w14:textId="2837142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w:t>
            </w:r>
          </w:p>
        </w:tc>
      </w:tr>
      <w:tr w:rsidR="00BE3573" w:rsidRPr="00A1696A" w14:paraId="009A8F3B" w14:textId="77777777" w:rsidTr="002E4C45">
        <w:trPr>
          <w:trHeight w:val="542"/>
          <w:jc w:val="center"/>
        </w:trPr>
        <w:tc>
          <w:tcPr>
            <w:tcW w:w="384" w:type="dxa"/>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461B8B4D"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ТВМЗ</w:t>
            </w:r>
          </w:p>
        </w:tc>
        <w:tc>
          <w:tcPr>
            <w:tcW w:w="1080" w:type="dxa"/>
            <w:tcBorders>
              <w:top w:val="nil"/>
              <w:left w:val="nil"/>
              <w:bottom w:val="single" w:sz="4" w:space="0" w:color="auto"/>
              <w:right w:val="single" w:sz="4" w:space="0" w:color="auto"/>
            </w:tcBorders>
            <w:shd w:val="clear" w:color="000000" w:fill="FCD5B4"/>
            <w:noWrap/>
            <w:vAlign w:val="center"/>
            <w:hideMark/>
          </w:tcPr>
          <w:p w14:paraId="29BBEF54"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84"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29D921A3"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Разкритие</w:t>
            </w:r>
          </w:p>
        </w:tc>
        <w:tc>
          <w:tcPr>
            <w:tcW w:w="629" w:type="dxa"/>
            <w:tcBorders>
              <w:top w:val="nil"/>
              <w:left w:val="nil"/>
              <w:bottom w:val="single" w:sz="4" w:space="0" w:color="auto"/>
              <w:right w:val="single" w:sz="4" w:space="0" w:color="auto"/>
            </w:tcBorders>
            <w:shd w:val="clear" w:color="000000" w:fill="FCD5B4"/>
            <w:noWrap/>
            <w:vAlign w:val="bottom"/>
            <w:hideMark/>
          </w:tcPr>
          <w:p w14:paraId="09EC45EE"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G9</w:t>
            </w:r>
          </w:p>
        </w:tc>
        <w:tc>
          <w:tcPr>
            <w:tcW w:w="596" w:type="dxa"/>
            <w:tcBorders>
              <w:top w:val="nil"/>
              <w:left w:val="nil"/>
              <w:bottom w:val="single" w:sz="4" w:space="0" w:color="auto"/>
              <w:right w:val="single" w:sz="4" w:space="0" w:color="auto"/>
            </w:tcBorders>
            <w:shd w:val="clear" w:color="000000" w:fill="FCD5B4"/>
            <w:noWrap/>
            <w:vAlign w:val="bottom"/>
            <w:hideMark/>
          </w:tcPr>
          <w:p w14:paraId="48437B86"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RE21</w:t>
            </w:r>
          </w:p>
        </w:tc>
        <w:tc>
          <w:tcPr>
            <w:tcW w:w="706" w:type="dxa"/>
            <w:tcBorders>
              <w:top w:val="nil"/>
              <w:left w:val="nil"/>
              <w:bottom w:val="single" w:sz="4" w:space="0" w:color="auto"/>
              <w:right w:val="single" w:sz="4" w:space="0" w:color="auto"/>
            </w:tcBorders>
            <w:shd w:val="clear" w:color="auto" w:fill="auto"/>
            <w:noWrap/>
            <w:vAlign w:val="bottom"/>
            <w:hideMark/>
          </w:tcPr>
          <w:p w14:paraId="5FE6A922"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1054" w:type="dxa"/>
            <w:tcBorders>
              <w:top w:val="nil"/>
              <w:left w:val="nil"/>
              <w:bottom w:val="single" w:sz="4" w:space="0" w:color="auto"/>
              <w:right w:val="single" w:sz="4" w:space="0" w:color="auto"/>
            </w:tcBorders>
            <w:shd w:val="clear" w:color="auto" w:fill="auto"/>
            <w:noWrap/>
            <w:vAlign w:val="bottom"/>
            <w:hideMark/>
          </w:tcPr>
          <w:p w14:paraId="2EF354F2"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796" w:type="dxa"/>
            <w:tcBorders>
              <w:top w:val="nil"/>
              <w:left w:val="nil"/>
              <w:bottom w:val="single" w:sz="4" w:space="0" w:color="auto"/>
              <w:right w:val="single" w:sz="4" w:space="0" w:color="auto"/>
            </w:tcBorders>
            <w:shd w:val="clear" w:color="auto" w:fill="auto"/>
            <w:noWrap/>
            <w:vAlign w:val="bottom"/>
            <w:hideMark/>
          </w:tcPr>
          <w:p w14:paraId="480E885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7091C6A0"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237DD17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490" w:type="dxa"/>
            <w:tcBorders>
              <w:top w:val="nil"/>
              <w:left w:val="nil"/>
              <w:bottom w:val="single" w:sz="4" w:space="0" w:color="auto"/>
              <w:right w:val="single" w:sz="4" w:space="0" w:color="auto"/>
            </w:tcBorders>
            <w:shd w:val="clear" w:color="auto" w:fill="auto"/>
            <w:noWrap/>
            <w:vAlign w:val="bottom"/>
            <w:hideMark/>
          </w:tcPr>
          <w:p w14:paraId="2CD9F7C9"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1007" w:type="dxa"/>
            <w:tcBorders>
              <w:top w:val="nil"/>
              <w:left w:val="nil"/>
              <w:bottom w:val="single" w:sz="4" w:space="0" w:color="auto"/>
              <w:right w:val="single" w:sz="4" w:space="0" w:color="auto"/>
            </w:tcBorders>
            <w:shd w:val="clear" w:color="auto" w:fill="auto"/>
            <w:noWrap/>
            <w:vAlign w:val="bottom"/>
            <w:hideMark/>
          </w:tcPr>
          <w:p w14:paraId="410391EB" w14:textId="01EA78F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0,81</w:t>
            </w:r>
          </w:p>
        </w:tc>
        <w:tc>
          <w:tcPr>
            <w:tcW w:w="542" w:type="dxa"/>
            <w:tcBorders>
              <w:top w:val="nil"/>
              <w:left w:val="nil"/>
              <w:bottom w:val="single" w:sz="4" w:space="0" w:color="auto"/>
              <w:right w:val="single" w:sz="4" w:space="0" w:color="auto"/>
            </w:tcBorders>
            <w:shd w:val="clear" w:color="auto" w:fill="auto"/>
            <w:noWrap/>
            <w:vAlign w:val="bottom"/>
            <w:hideMark/>
          </w:tcPr>
          <w:p w14:paraId="4101AB2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w:t>
            </w:r>
          </w:p>
        </w:tc>
        <w:tc>
          <w:tcPr>
            <w:tcW w:w="490" w:type="dxa"/>
            <w:tcBorders>
              <w:top w:val="nil"/>
              <w:left w:val="nil"/>
              <w:bottom w:val="single" w:sz="4" w:space="0" w:color="auto"/>
              <w:right w:val="single" w:sz="4" w:space="0" w:color="auto"/>
            </w:tcBorders>
            <w:shd w:val="clear" w:color="auto" w:fill="auto"/>
            <w:noWrap/>
            <w:vAlign w:val="bottom"/>
            <w:hideMark/>
          </w:tcPr>
          <w:p w14:paraId="7810D022" w14:textId="5F60392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0,75</w:t>
            </w:r>
          </w:p>
        </w:tc>
        <w:tc>
          <w:tcPr>
            <w:tcW w:w="782" w:type="dxa"/>
            <w:tcBorders>
              <w:top w:val="nil"/>
              <w:left w:val="nil"/>
              <w:bottom w:val="single" w:sz="4" w:space="0" w:color="auto"/>
              <w:right w:val="single" w:sz="4" w:space="0" w:color="auto"/>
            </w:tcBorders>
            <w:shd w:val="clear" w:color="auto" w:fill="auto"/>
            <w:noWrap/>
            <w:vAlign w:val="bottom"/>
            <w:hideMark/>
          </w:tcPr>
          <w:p w14:paraId="380DB30B" w14:textId="099AA8D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0,63</w:t>
            </w:r>
          </w:p>
        </w:tc>
      </w:tr>
      <w:tr w:rsidR="00BE3573" w:rsidRPr="00A1696A" w14:paraId="1DB79CCC" w14:textId="77777777" w:rsidTr="002E4C45">
        <w:trPr>
          <w:trHeight w:val="319"/>
          <w:jc w:val="center"/>
        </w:trPr>
        <w:tc>
          <w:tcPr>
            <w:tcW w:w="384"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6B2CBCA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1080" w:type="dxa"/>
            <w:tcBorders>
              <w:top w:val="nil"/>
              <w:left w:val="nil"/>
              <w:bottom w:val="single" w:sz="4" w:space="0" w:color="auto"/>
              <w:right w:val="single" w:sz="4" w:space="0" w:color="auto"/>
            </w:tcBorders>
            <w:shd w:val="clear" w:color="000000" w:fill="FCD5B4"/>
            <w:noWrap/>
            <w:vAlign w:val="center"/>
            <w:hideMark/>
          </w:tcPr>
          <w:p w14:paraId="2E4E2FF5"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08928307"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77B95FC8"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G11</w:t>
            </w:r>
          </w:p>
        </w:tc>
        <w:tc>
          <w:tcPr>
            <w:tcW w:w="596" w:type="dxa"/>
            <w:tcBorders>
              <w:top w:val="nil"/>
              <w:left w:val="nil"/>
              <w:bottom w:val="single" w:sz="4" w:space="0" w:color="auto"/>
              <w:right w:val="single" w:sz="4" w:space="0" w:color="auto"/>
            </w:tcBorders>
            <w:shd w:val="clear" w:color="000000" w:fill="FCD5B4"/>
            <w:noWrap/>
            <w:vAlign w:val="bottom"/>
            <w:hideMark/>
          </w:tcPr>
          <w:p w14:paraId="1D9C7D5C"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RE26</w:t>
            </w:r>
          </w:p>
        </w:tc>
        <w:tc>
          <w:tcPr>
            <w:tcW w:w="706" w:type="dxa"/>
            <w:tcBorders>
              <w:top w:val="nil"/>
              <w:left w:val="nil"/>
              <w:bottom w:val="single" w:sz="4" w:space="0" w:color="auto"/>
              <w:right w:val="single" w:sz="4" w:space="0" w:color="auto"/>
            </w:tcBorders>
            <w:shd w:val="clear" w:color="auto" w:fill="auto"/>
            <w:noWrap/>
            <w:vAlign w:val="bottom"/>
            <w:hideMark/>
          </w:tcPr>
          <w:p w14:paraId="1781F616" w14:textId="49E2E57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c>
          <w:tcPr>
            <w:tcW w:w="1054" w:type="dxa"/>
            <w:tcBorders>
              <w:top w:val="nil"/>
              <w:left w:val="nil"/>
              <w:bottom w:val="single" w:sz="4" w:space="0" w:color="auto"/>
              <w:right w:val="single" w:sz="4" w:space="0" w:color="auto"/>
            </w:tcBorders>
            <w:shd w:val="clear" w:color="auto" w:fill="auto"/>
            <w:noWrap/>
            <w:vAlign w:val="bottom"/>
            <w:hideMark/>
          </w:tcPr>
          <w:p w14:paraId="6FCA5E4A" w14:textId="3B10E04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c>
          <w:tcPr>
            <w:tcW w:w="796" w:type="dxa"/>
            <w:tcBorders>
              <w:top w:val="nil"/>
              <w:left w:val="nil"/>
              <w:bottom w:val="single" w:sz="4" w:space="0" w:color="auto"/>
              <w:right w:val="single" w:sz="4" w:space="0" w:color="auto"/>
            </w:tcBorders>
            <w:shd w:val="clear" w:color="auto" w:fill="auto"/>
            <w:noWrap/>
            <w:vAlign w:val="bottom"/>
            <w:hideMark/>
          </w:tcPr>
          <w:p w14:paraId="419034D8" w14:textId="4A75719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c>
          <w:tcPr>
            <w:tcW w:w="490" w:type="dxa"/>
            <w:tcBorders>
              <w:top w:val="nil"/>
              <w:left w:val="nil"/>
              <w:bottom w:val="single" w:sz="4" w:space="0" w:color="auto"/>
              <w:right w:val="single" w:sz="4" w:space="0" w:color="auto"/>
            </w:tcBorders>
            <w:shd w:val="clear" w:color="auto" w:fill="auto"/>
            <w:noWrap/>
            <w:vAlign w:val="bottom"/>
            <w:hideMark/>
          </w:tcPr>
          <w:p w14:paraId="544814F7"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31</w:t>
            </w:r>
          </w:p>
        </w:tc>
        <w:tc>
          <w:tcPr>
            <w:tcW w:w="490" w:type="dxa"/>
            <w:tcBorders>
              <w:top w:val="nil"/>
              <w:left w:val="nil"/>
              <w:bottom w:val="single" w:sz="4" w:space="0" w:color="auto"/>
              <w:right w:val="single" w:sz="4" w:space="0" w:color="auto"/>
            </w:tcBorders>
            <w:shd w:val="clear" w:color="auto" w:fill="auto"/>
            <w:noWrap/>
            <w:vAlign w:val="bottom"/>
            <w:hideMark/>
          </w:tcPr>
          <w:p w14:paraId="6C59210B"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29</w:t>
            </w:r>
          </w:p>
        </w:tc>
        <w:tc>
          <w:tcPr>
            <w:tcW w:w="490" w:type="dxa"/>
            <w:tcBorders>
              <w:top w:val="nil"/>
              <w:left w:val="nil"/>
              <w:bottom w:val="single" w:sz="4" w:space="0" w:color="auto"/>
              <w:right w:val="single" w:sz="4" w:space="0" w:color="auto"/>
            </w:tcBorders>
            <w:shd w:val="clear" w:color="auto" w:fill="auto"/>
            <w:noWrap/>
            <w:vAlign w:val="bottom"/>
            <w:hideMark/>
          </w:tcPr>
          <w:p w14:paraId="3255909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40</w:t>
            </w:r>
          </w:p>
        </w:tc>
        <w:tc>
          <w:tcPr>
            <w:tcW w:w="1007" w:type="dxa"/>
            <w:tcBorders>
              <w:top w:val="nil"/>
              <w:left w:val="nil"/>
              <w:bottom w:val="single" w:sz="4" w:space="0" w:color="auto"/>
              <w:right w:val="single" w:sz="4" w:space="0" w:color="auto"/>
            </w:tcBorders>
            <w:shd w:val="clear" w:color="auto" w:fill="auto"/>
            <w:noWrap/>
            <w:vAlign w:val="bottom"/>
            <w:hideMark/>
          </w:tcPr>
          <w:p w14:paraId="1799CD5A" w14:textId="1561931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0,34</w:t>
            </w:r>
          </w:p>
        </w:tc>
        <w:tc>
          <w:tcPr>
            <w:tcW w:w="542" w:type="dxa"/>
            <w:tcBorders>
              <w:top w:val="nil"/>
              <w:left w:val="nil"/>
              <w:bottom w:val="single" w:sz="4" w:space="0" w:color="auto"/>
              <w:right w:val="single" w:sz="4" w:space="0" w:color="auto"/>
            </w:tcBorders>
            <w:shd w:val="clear" w:color="auto" w:fill="auto"/>
            <w:noWrap/>
            <w:vAlign w:val="bottom"/>
            <w:hideMark/>
          </w:tcPr>
          <w:p w14:paraId="0267A1E8" w14:textId="2FFFAAF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c>
          <w:tcPr>
            <w:tcW w:w="490" w:type="dxa"/>
            <w:tcBorders>
              <w:top w:val="nil"/>
              <w:left w:val="nil"/>
              <w:bottom w:val="single" w:sz="4" w:space="0" w:color="auto"/>
              <w:right w:val="single" w:sz="4" w:space="0" w:color="auto"/>
            </w:tcBorders>
            <w:shd w:val="clear" w:color="auto" w:fill="auto"/>
            <w:noWrap/>
            <w:vAlign w:val="bottom"/>
            <w:hideMark/>
          </w:tcPr>
          <w:p w14:paraId="5CBAFB33" w14:textId="034A4B7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0,45</w:t>
            </w:r>
          </w:p>
        </w:tc>
        <w:tc>
          <w:tcPr>
            <w:tcW w:w="782" w:type="dxa"/>
            <w:tcBorders>
              <w:top w:val="nil"/>
              <w:left w:val="nil"/>
              <w:bottom w:val="single" w:sz="4" w:space="0" w:color="auto"/>
              <w:right w:val="single" w:sz="4" w:space="0" w:color="auto"/>
            </w:tcBorders>
            <w:shd w:val="clear" w:color="auto" w:fill="auto"/>
            <w:noWrap/>
            <w:vAlign w:val="bottom"/>
            <w:hideMark/>
          </w:tcPr>
          <w:p w14:paraId="0C43BD08" w14:textId="7BA8CAF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0,47</w:t>
            </w:r>
          </w:p>
        </w:tc>
      </w:tr>
      <w:tr w:rsidR="00BE3573" w:rsidRPr="00A1696A" w14:paraId="5ACF3A7D" w14:textId="77777777" w:rsidTr="002E4C45">
        <w:trPr>
          <w:trHeight w:val="319"/>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2F298540"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p>
        </w:tc>
        <w:tc>
          <w:tcPr>
            <w:tcW w:w="1080" w:type="dxa"/>
            <w:tcBorders>
              <w:top w:val="nil"/>
              <w:left w:val="nil"/>
              <w:bottom w:val="nil"/>
              <w:right w:val="single" w:sz="4" w:space="0" w:color="auto"/>
            </w:tcBorders>
            <w:shd w:val="clear" w:color="000000" w:fill="FCD5B4"/>
            <w:noWrap/>
            <w:vAlign w:val="center"/>
            <w:hideMark/>
          </w:tcPr>
          <w:p w14:paraId="66E9ACCF"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84" w:type="dxa"/>
            <w:vMerge/>
            <w:tcBorders>
              <w:top w:val="single" w:sz="4" w:space="0" w:color="auto"/>
              <w:left w:val="single" w:sz="4" w:space="0" w:color="auto"/>
              <w:bottom w:val="single" w:sz="4" w:space="0" w:color="auto"/>
              <w:right w:val="single" w:sz="4" w:space="0" w:color="auto"/>
            </w:tcBorders>
            <w:vAlign w:val="center"/>
            <w:hideMark/>
          </w:tcPr>
          <w:p w14:paraId="2D9762C2"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p>
        </w:tc>
        <w:tc>
          <w:tcPr>
            <w:tcW w:w="629" w:type="dxa"/>
            <w:tcBorders>
              <w:top w:val="nil"/>
              <w:left w:val="nil"/>
              <w:bottom w:val="nil"/>
              <w:right w:val="single" w:sz="4" w:space="0" w:color="auto"/>
            </w:tcBorders>
            <w:shd w:val="clear" w:color="000000" w:fill="FCD5B4"/>
            <w:noWrap/>
            <w:vAlign w:val="bottom"/>
            <w:hideMark/>
          </w:tcPr>
          <w:p w14:paraId="23B472FC"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G12</w:t>
            </w:r>
          </w:p>
        </w:tc>
        <w:tc>
          <w:tcPr>
            <w:tcW w:w="596" w:type="dxa"/>
            <w:tcBorders>
              <w:top w:val="nil"/>
              <w:left w:val="nil"/>
              <w:bottom w:val="nil"/>
              <w:right w:val="single" w:sz="4" w:space="0" w:color="auto"/>
            </w:tcBorders>
            <w:shd w:val="clear" w:color="000000" w:fill="FCD5B4"/>
            <w:noWrap/>
            <w:vAlign w:val="bottom"/>
            <w:hideMark/>
          </w:tcPr>
          <w:p w14:paraId="5CAC0476"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RE27</w:t>
            </w:r>
          </w:p>
        </w:tc>
        <w:tc>
          <w:tcPr>
            <w:tcW w:w="706" w:type="dxa"/>
            <w:tcBorders>
              <w:top w:val="nil"/>
              <w:left w:val="nil"/>
              <w:bottom w:val="nil"/>
              <w:right w:val="single" w:sz="4" w:space="0" w:color="auto"/>
            </w:tcBorders>
            <w:shd w:val="clear" w:color="auto" w:fill="auto"/>
            <w:noWrap/>
            <w:vAlign w:val="bottom"/>
            <w:hideMark/>
          </w:tcPr>
          <w:p w14:paraId="4E3417AE" w14:textId="47250184"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0,25</w:t>
            </w:r>
          </w:p>
        </w:tc>
        <w:tc>
          <w:tcPr>
            <w:tcW w:w="1054" w:type="dxa"/>
            <w:tcBorders>
              <w:top w:val="nil"/>
              <w:left w:val="nil"/>
              <w:bottom w:val="nil"/>
              <w:right w:val="single" w:sz="4" w:space="0" w:color="auto"/>
            </w:tcBorders>
            <w:shd w:val="clear" w:color="auto" w:fill="auto"/>
            <w:noWrap/>
            <w:vAlign w:val="bottom"/>
            <w:hideMark/>
          </w:tcPr>
          <w:p w14:paraId="3F7D4EDE" w14:textId="3BD3169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0,25</w:t>
            </w:r>
          </w:p>
        </w:tc>
        <w:tc>
          <w:tcPr>
            <w:tcW w:w="796" w:type="dxa"/>
            <w:tcBorders>
              <w:top w:val="nil"/>
              <w:left w:val="nil"/>
              <w:bottom w:val="nil"/>
              <w:right w:val="single" w:sz="4" w:space="0" w:color="auto"/>
            </w:tcBorders>
            <w:shd w:val="clear" w:color="auto" w:fill="auto"/>
            <w:noWrap/>
            <w:vAlign w:val="bottom"/>
            <w:hideMark/>
          </w:tcPr>
          <w:p w14:paraId="454780A0" w14:textId="19AAB18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c>
          <w:tcPr>
            <w:tcW w:w="490" w:type="dxa"/>
            <w:tcBorders>
              <w:top w:val="nil"/>
              <w:left w:val="nil"/>
              <w:bottom w:val="nil"/>
              <w:right w:val="single" w:sz="4" w:space="0" w:color="auto"/>
            </w:tcBorders>
            <w:shd w:val="clear" w:color="auto" w:fill="auto"/>
            <w:noWrap/>
            <w:vAlign w:val="bottom"/>
            <w:hideMark/>
          </w:tcPr>
          <w:p w14:paraId="631E5C21"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w:t>
            </w:r>
          </w:p>
        </w:tc>
        <w:tc>
          <w:tcPr>
            <w:tcW w:w="490" w:type="dxa"/>
            <w:tcBorders>
              <w:top w:val="nil"/>
              <w:left w:val="nil"/>
              <w:bottom w:val="nil"/>
              <w:right w:val="single" w:sz="4" w:space="0" w:color="auto"/>
            </w:tcBorders>
            <w:shd w:val="clear" w:color="auto" w:fill="auto"/>
            <w:noWrap/>
            <w:vAlign w:val="bottom"/>
            <w:hideMark/>
          </w:tcPr>
          <w:p w14:paraId="1EC14E4F"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27</w:t>
            </w:r>
          </w:p>
        </w:tc>
        <w:tc>
          <w:tcPr>
            <w:tcW w:w="490" w:type="dxa"/>
            <w:tcBorders>
              <w:top w:val="nil"/>
              <w:left w:val="nil"/>
              <w:bottom w:val="nil"/>
              <w:right w:val="single" w:sz="4" w:space="0" w:color="auto"/>
            </w:tcBorders>
            <w:shd w:val="clear" w:color="auto" w:fill="auto"/>
            <w:noWrap/>
            <w:vAlign w:val="bottom"/>
            <w:hideMark/>
          </w:tcPr>
          <w:p w14:paraId="78E5EAE3"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50</w:t>
            </w:r>
          </w:p>
        </w:tc>
        <w:tc>
          <w:tcPr>
            <w:tcW w:w="1007" w:type="dxa"/>
            <w:tcBorders>
              <w:top w:val="nil"/>
              <w:left w:val="nil"/>
              <w:bottom w:val="nil"/>
              <w:right w:val="single" w:sz="4" w:space="0" w:color="auto"/>
            </w:tcBorders>
            <w:shd w:val="clear" w:color="auto" w:fill="auto"/>
            <w:noWrap/>
            <w:vAlign w:val="bottom"/>
            <w:hideMark/>
          </w:tcPr>
          <w:p w14:paraId="2770FD87" w14:textId="7FA21AE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0,48</w:t>
            </w:r>
          </w:p>
        </w:tc>
        <w:tc>
          <w:tcPr>
            <w:tcW w:w="542" w:type="dxa"/>
            <w:tcBorders>
              <w:top w:val="nil"/>
              <w:left w:val="nil"/>
              <w:bottom w:val="nil"/>
              <w:right w:val="single" w:sz="4" w:space="0" w:color="auto"/>
            </w:tcBorders>
            <w:shd w:val="clear" w:color="auto" w:fill="auto"/>
            <w:noWrap/>
            <w:vAlign w:val="bottom"/>
            <w:hideMark/>
          </w:tcPr>
          <w:p w14:paraId="34BAEFA6" w14:textId="2D9EDB6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0,11</w:t>
            </w:r>
          </w:p>
        </w:tc>
        <w:tc>
          <w:tcPr>
            <w:tcW w:w="490" w:type="dxa"/>
            <w:tcBorders>
              <w:top w:val="nil"/>
              <w:left w:val="nil"/>
              <w:bottom w:val="nil"/>
              <w:right w:val="single" w:sz="4" w:space="0" w:color="auto"/>
            </w:tcBorders>
            <w:shd w:val="clear" w:color="auto" w:fill="auto"/>
            <w:noWrap/>
            <w:vAlign w:val="bottom"/>
            <w:hideMark/>
          </w:tcPr>
          <w:p w14:paraId="02887159" w14:textId="498D6FA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0,98</w:t>
            </w:r>
          </w:p>
        </w:tc>
        <w:tc>
          <w:tcPr>
            <w:tcW w:w="782" w:type="dxa"/>
            <w:tcBorders>
              <w:top w:val="nil"/>
              <w:left w:val="nil"/>
              <w:bottom w:val="nil"/>
              <w:right w:val="single" w:sz="4" w:space="0" w:color="auto"/>
            </w:tcBorders>
            <w:shd w:val="clear" w:color="auto" w:fill="auto"/>
            <w:noWrap/>
            <w:vAlign w:val="bottom"/>
            <w:hideMark/>
          </w:tcPr>
          <w:p w14:paraId="47712618" w14:textId="3660DDF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0,11</w:t>
            </w:r>
          </w:p>
        </w:tc>
      </w:tr>
      <w:tr w:rsidR="00513A69" w:rsidRPr="00A1696A" w14:paraId="3A13C74E" w14:textId="77777777" w:rsidTr="002E4C45">
        <w:trPr>
          <w:trHeight w:val="241"/>
          <w:jc w:val="center"/>
        </w:trPr>
        <w:tc>
          <w:tcPr>
            <w:tcW w:w="9928" w:type="dxa"/>
            <w:gridSpan w:val="15"/>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5B03C119" w14:textId="77777777" w:rsidR="00513A69" w:rsidRPr="00A1696A" w:rsidRDefault="00513A69"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"свързан" битумоид</w:t>
            </w:r>
          </w:p>
        </w:tc>
      </w:tr>
      <w:tr w:rsidR="00BE3573" w:rsidRPr="00A1696A" w14:paraId="65E13A8D" w14:textId="77777777" w:rsidTr="002E4C45">
        <w:trPr>
          <w:trHeight w:val="241"/>
          <w:jc w:val="center"/>
        </w:trPr>
        <w:tc>
          <w:tcPr>
            <w:tcW w:w="384" w:type="dxa"/>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438195C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1080" w:type="dxa"/>
            <w:tcBorders>
              <w:top w:val="nil"/>
              <w:left w:val="nil"/>
              <w:bottom w:val="single" w:sz="4" w:space="0" w:color="auto"/>
              <w:right w:val="single" w:sz="4" w:space="0" w:color="auto"/>
            </w:tcBorders>
            <w:shd w:val="clear" w:color="000000" w:fill="FCD5B4"/>
            <w:noWrap/>
            <w:vAlign w:val="center"/>
            <w:hideMark/>
          </w:tcPr>
          <w:p w14:paraId="5D5CD840" w14:textId="5D52399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266,5</w:t>
            </w:r>
          </w:p>
        </w:tc>
        <w:tc>
          <w:tcPr>
            <w:tcW w:w="384" w:type="dxa"/>
            <w:vMerge w:val="restart"/>
            <w:tcBorders>
              <w:top w:val="nil"/>
              <w:left w:val="single" w:sz="4" w:space="0" w:color="auto"/>
              <w:bottom w:val="single" w:sz="4" w:space="0" w:color="auto"/>
              <w:right w:val="single" w:sz="4" w:space="0" w:color="auto"/>
            </w:tcBorders>
            <w:shd w:val="clear" w:color="000000" w:fill="FCD5B4"/>
            <w:noWrap/>
            <w:textDirection w:val="btLr"/>
            <w:vAlign w:val="center"/>
            <w:hideMark/>
          </w:tcPr>
          <w:p w14:paraId="4DE0F5F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Ядка</w:t>
            </w:r>
          </w:p>
        </w:tc>
        <w:tc>
          <w:tcPr>
            <w:tcW w:w="629" w:type="dxa"/>
            <w:tcBorders>
              <w:top w:val="nil"/>
              <w:left w:val="nil"/>
              <w:bottom w:val="single" w:sz="4" w:space="0" w:color="auto"/>
              <w:right w:val="single" w:sz="4" w:space="0" w:color="auto"/>
            </w:tcBorders>
            <w:shd w:val="clear" w:color="000000" w:fill="FCD5B4"/>
            <w:noWrap/>
            <w:vAlign w:val="bottom"/>
            <w:hideMark/>
          </w:tcPr>
          <w:p w14:paraId="4A4952C8"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GA1</w:t>
            </w:r>
          </w:p>
        </w:tc>
        <w:tc>
          <w:tcPr>
            <w:tcW w:w="596" w:type="dxa"/>
            <w:tcBorders>
              <w:top w:val="nil"/>
              <w:left w:val="nil"/>
              <w:bottom w:val="single" w:sz="4" w:space="0" w:color="auto"/>
              <w:right w:val="single" w:sz="4" w:space="0" w:color="auto"/>
            </w:tcBorders>
            <w:shd w:val="clear" w:color="000000" w:fill="FCD5B4"/>
            <w:noWrap/>
            <w:vAlign w:val="bottom"/>
            <w:hideMark/>
          </w:tcPr>
          <w:p w14:paraId="79F9B020"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w:t>
            </w:r>
          </w:p>
        </w:tc>
        <w:tc>
          <w:tcPr>
            <w:tcW w:w="706" w:type="dxa"/>
            <w:tcBorders>
              <w:top w:val="nil"/>
              <w:left w:val="nil"/>
              <w:bottom w:val="single" w:sz="4" w:space="0" w:color="auto"/>
              <w:right w:val="single" w:sz="4" w:space="0" w:color="auto"/>
            </w:tcBorders>
            <w:shd w:val="clear" w:color="auto" w:fill="auto"/>
            <w:noWrap/>
            <w:vAlign w:val="bottom"/>
            <w:hideMark/>
          </w:tcPr>
          <w:p w14:paraId="7AE6A3EC" w14:textId="6C8E7FA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0,23</w:t>
            </w:r>
          </w:p>
        </w:tc>
        <w:tc>
          <w:tcPr>
            <w:tcW w:w="1054" w:type="dxa"/>
            <w:tcBorders>
              <w:top w:val="nil"/>
              <w:left w:val="nil"/>
              <w:bottom w:val="single" w:sz="4" w:space="0" w:color="auto"/>
              <w:right w:val="single" w:sz="4" w:space="0" w:color="auto"/>
            </w:tcBorders>
            <w:shd w:val="clear" w:color="auto" w:fill="auto"/>
            <w:noWrap/>
            <w:vAlign w:val="bottom"/>
            <w:hideMark/>
          </w:tcPr>
          <w:p w14:paraId="7D2B8EF0" w14:textId="6723DAB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0,43</w:t>
            </w:r>
          </w:p>
        </w:tc>
        <w:tc>
          <w:tcPr>
            <w:tcW w:w="796" w:type="dxa"/>
            <w:tcBorders>
              <w:top w:val="nil"/>
              <w:left w:val="nil"/>
              <w:bottom w:val="single" w:sz="4" w:space="0" w:color="auto"/>
              <w:right w:val="single" w:sz="4" w:space="0" w:color="auto"/>
            </w:tcBorders>
            <w:shd w:val="clear" w:color="auto" w:fill="auto"/>
            <w:noWrap/>
            <w:vAlign w:val="bottom"/>
            <w:hideMark/>
          </w:tcPr>
          <w:p w14:paraId="0B179749" w14:textId="697BE3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0,16</w:t>
            </w:r>
          </w:p>
        </w:tc>
        <w:tc>
          <w:tcPr>
            <w:tcW w:w="490" w:type="dxa"/>
            <w:tcBorders>
              <w:top w:val="nil"/>
              <w:left w:val="nil"/>
              <w:bottom w:val="single" w:sz="4" w:space="0" w:color="auto"/>
              <w:right w:val="single" w:sz="4" w:space="0" w:color="auto"/>
            </w:tcBorders>
            <w:shd w:val="clear" w:color="auto" w:fill="auto"/>
            <w:noWrap/>
            <w:vAlign w:val="bottom"/>
            <w:hideMark/>
          </w:tcPr>
          <w:p w14:paraId="23137602" w14:textId="2A72A20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34,6</w:t>
            </w:r>
          </w:p>
        </w:tc>
        <w:tc>
          <w:tcPr>
            <w:tcW w:w="490" w:type="dxa"/>
            <w:tcBorders>
              <w:top w:val="nil"/>
              <w:left w:val="nil"/>
              <w:bottom w:val="single" w:sz="4" w:space="0" w:color="auto"/>
              <w:right w:val="single" w:sz="4" w:space="0" w:color="auto"/>
            </w:tcBorders>
            <w:shd w:val="clear" w:color="auto" w:fill="auto"/>
            <w:noWrap/>
            <w:vAlign w:val="bottom"/>
            <w:hideMark/>
          </w:tcPr>
          <w:p w14:paraId="3CA2DDD4" w14:textId="6D1F334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23,5</w:t>
            </w:r>
          </w:p>
        </w:tc>
        <w:tc>
          <w:tcPr>
            <w:tcW w:w="490" w:type="dxa"/>
            <w:tcBorders>
              <w:top w:val="nil"/>
              <w:left w:val="nil"/>
              <w:bottom w:val="single" w:sz="4" w:space="0" w:color="auto"/>
              <w:right w:val="single" w:sz="4" w:space="0" w:color="auto"/>
            </w:tcBorders>
            <w:shd w:val="clear" w:color="auto" w:fill="auto"/>
            <w:noWrap/>
            <w:vAlign w:val="bottom"/>
            <w:hideMark/>
          </w:tcPr>
          <w:p w14:paraId="4F24E335" w14:textId="500916F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41,9</w:t>
            </w:r>
          </w:p>
        </w:tc>
        <w:tc>
          <w:tcPr>
            <w:tcW w:w="1007" w:type="dxa"/>
            <w:tcBorders>
              <w:top w:val="nil"/>
              <w:left w:val="nil"/>
              <w:bottom w:val="single" w:sz="4" w:space="0" w:color="auto"/>
              <w:right w:val="single" w:sz="4" w:space="0" w:color="auto"/>
            </w:tcBorders>
            <w:shd w:val="clear" w:color="auto" w:fill="auto"/>
            <w:noWrap/>
            <w:vAlign w:val="bottom"/>
            <w:hideMark/>
          </w:tcPr>
          <w:p w14:paraId="552D563F" w14:textId="66944A4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0,47</w:t>
            </w:r>
          </w:p>
        </w:tc>
        <w:tc>
          <w:tcPr>
            <w:tcW w:w="542" w:type="dxa"/>
            <w:tcBorders>
              <w:top w:val="nil"/>
              <w:left w:val="nil"/>
              <w:bottom w:val="single" w:sz="4" w:space="0" w:color="auto"/>
              <w:right w:val="single" w:sz="4" w:space="0" w:color="auto"/>
            </w:tcBorders>
            <w:shd w:val="clear" w:color="auto" w:fill="auto"/>
            <w:noWrap/>
            <w:vAlign w:val="bottom"/>
            <w:hideMark/>
          </w:tcPr>
          <w:p w14:paraId="4752A19A" w14:textId="1FEE72E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0,28</w:t>
            </w:r>
          </w:p>
        </w:tc>
        <w:tc>
          <w:tcPr>
            <w:tcW w:w="490" w:type="dxa"/>
            <w:tcBorders>
              <w:top w:val="nil"/>
              <w:left w:val="nil"/>
              <w:bottom w:val="single" w:sz="4" w:space="0" w:color="auto"/>
              <w:right w:val="single" w:sz="4" w:space="0" w:color="auto"/>
            </w:tcBorders>
            <w:shd w:val="clear" w:color="auto" w:fill="auto"/>
            <w:noWrap/>
            <w:vAlign w:val="bottom"/>
            <w:hideMark/>
          </w:tcPr>
          <w:p w14:paraId="480E6E4E" w14:textId="21007E9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w:t>
            </w:r>
          </w:p>
        </w:tc>
        <w:tc>
          <w:tcPr>
            <w:tcW w:w="782" w:type="dxa"/>
            <w:tcBorders>
              <w:top w:val="nil"/>
              <w:left w:val="nil"/>
              <w:bottom w:val="single" w:sz="4" w:space="0" w:color="auto"/>
              <w:right w:val="single" w:sz="4" w:space="0" w:color="auto"/>
            </w:tcBorders>
            <w:shd w:val="clear" w:color="auto" w:fill="auto"/>
            <w:noWrap/>
            <w:vAlign w:val="bottom"/>
            <w:hideMark/>
          </w:tcPr>
          <w:p w14:paraId="6CAA8C9C" w14:textId="22623B5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0,45</w:t>
            </w:r>
          </w:p>
        </w:tc>
      </w:tr>
      <w:tr w:rsidR="00BE3573" w:rsidRPr="00A1696A" w14:paraId="44424F35"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E37E624"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1184B5B1" w14:textId="4FD08BAB"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443,3</w:t>
            </w:r>
          </w:p>
        </w:tc>
        <w:tc>
          <w:tcPr>
            <w:tcW w:w="384" w:type="dxa"/>
            <w:vMerge/>
            <w:tcBorders>
              <w:top w:val="nil"/>
              <w:left w:val="single" w:sz="4" w:space="0" w:color="auto"/>
              <w:bottom w:val="single" w:sz="4" w:space="0" w:color="auto"/>
              <w:right w:val="single" w:sz="4" w:space="0" w:color="auto"/>
            </w:tcBorders>
            <w:vAlign w:val="center"/>
            <w:hideMark/>
          </w:tcPr>
          <w:p w14:paraId="2B3B0D23"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1373B648"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GA3</w:t>
            </w:r>
          </w:p>
        </w:tc>
        <w:tc>
          <w:tcPr>
            <w:tcW w:w="596" w:type="dxa"/>
            <w:tcBorders>
              <w:top w:val="nil"/>
              <w:left w:val="nil"/>
              <w:bottom w:val="single" w:sz="4" w:space="0" w:color="auto"/>
              <w:right w:val="single" w:sz="4" w:space="0" w:color="auto"/>
            </w:tcBorders>
            <w:shd w:val="clear" w:color="000000" w:fill="FCD5B4"/>
            <w:noWrap/>
            <w:vAlign w:val="bottom"/>
            <w:hideMark/>
          </w:tcPr>
          <w:p w14:paraId="5924B555"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RE4</w:t>
            </w:r>
          </w:p>
        </w:tc>
        <w:tc>
          <w:tcPr>
            <w:tcW w:w="706" w:type="dxa"/>
            <w:tcBorders>
              <w:top w:val="nil"/>
              <w:left w:val="nil"/>
              <w:bottom w:val="single" w:sz="4" w:space="0" w:color="auto"/>
              <w:right w:val="single" w:sz="4" w:space="0" w:color="auto"/>
            </w:tcBorders>
            <w:shd w:val="clear" w:color="auto" w:fill="auto"/>
            <w:noWrap/>
            <w:vAlign w:val="bottom"/>
            <w:hideMark/>
          </w:tcPr>
          <w:p w14:paraId="704D5B29" w14:textId="083AFBF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w:t>
            </w:r>
          </w:p>
        </w:tc>
        <w:tc>
          <w:tcPr>
            <w:tcW w:w="1054" w:type="dxa"/>
            <w:tcBorders>
              <w:top w:val="nil"/>
              <w:left w:val="nil"/>
              <w:bottom w:val="single" w:sz="4" w:space="0" w:color="auto"/>
              <w:right w:val="single" w:sz="4" w:space="0" w:color="auto"/>
            </w:tcBorders>
            <w:shd w:val="clear" w:color="auto" w:fill="auto"/>
            <w:noWrap/>
            <w:vAlign w:val="bottom"/>
            <w:hideMark/>
          </w:tcPr>
          <w:p w14:paraId="62AF3991" w14:textId="366A9BE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0,22</w:t>
            </w:r>
          </w:p>
        </w:tc>
        <w:tc>
          <w:tcPr>
            <w:tcW w:w="796" w:type="dxa"/>
            <w:tcBorders>
              <w:top w:val="nil"/>
              <w:left w:val="nil"/>
              <w:bottom w:val="single" w:sz="4" w:space="0" w:color="auto"/>
              <w:right w:val="single" w:sz="4" w:space="0" w:color="auto"/>
            </w:tcBorders>
            <w:shd w:val="clear" w:color="auto" w:fill="auto"/>
            <w:noWrap/>
            <w:vAlign w:val="bottom"/>
            <w:hideMark/>
          </w:tcPr>
          <w:p w14:paraId="77404B4F" w14:textId="3D122098"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0,07</w:t>
            </w:r>
          </w:p>
        </w:tc>
        <w:tc>
          <w:tcPr>
            <w:tcW w:w="490" w:type="dxa"/>
            <w:tcBorders>
              <w:top w:val="nil"/>
              <w:left w:val="nil"/>
              <w:bottom w:val="single" w:sz="4" w:space="0" w:color="auto"/>
              <w:right w:val="single" w:sz="4" w:space="0" w:color="auto"/>
            </w:tcBorders>
            <w:shd w:val="clear" w:color="auto" w:fill="auto"/>
            <w:noWrap/>
            <w:vAlign w:val="bottom"/>
            <w:hideMark/>
          </w:tcPr>
          <w:p w14:paraId="78961B85" w14:textId="728E72F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28,8</w:t>
            </w:r>
          </w:p>
        </w:tc>
        <w:tc>
          <w:tcPr>
            <w:tcW w:w="490" w:type="dxa"/>
            <w:tcBorders>
              <w:top w:val="nil"/>
              <w:left w:val="nil"/>
              <w:bottom w:val="single" w:sz="4" w:space="0" w:color="auto"/>
              <w:right w:val="single" w:sz="4" w:space="0" w:color="auto"/>
            </w:tcBorders>
            <w:shd w:val="clear" w:color="auto" w:fill="auto"/>
            <w:noWrap/>
            <w:vAlign w:val="bottom"/>
            <w:hideMark/>
          </w:tcPr>
          <w:p w14:paraId="31AAA70B"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26</w:t>
            </w:r>
          </w:p>
        </w:tc>
        <w:tc>
          <w:tcPr>
            <w:tcW w:w="490" w:type="dxa"/>
            <w:tcBorders>
              <w:top w:val="nil"/>
              <w:left w:val="nil"/>
              <w:bottom w:val="single" w:sz="4" w:space="0" w:color="auto"/>
              <w:right w:val="single" w:sz="4" w:space="0" w:color="auto"/>
            </w:tcBorders>
            <w:shd w:val="clear" w:color="auto" w:fill="auto"/>
            <w:noWrap/>
            <w:vAlign w:val="bottom"/>
            <w:hideMark/>
          </w:tcPr>
          <w:p w14:paraId="7AD70FDC" w14:textId="21C9CF0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45,2</w:t>
            </w:r>
          </w:p>
        </w:tc>
        <w:tc>
          <w:tcPr>
            <w:tcW w:w="1007" w:type="dxa"/>
            <w:tcBorders>
              <w:top w:val="nil"/>
              <w:left w:val="nil"/>
              <w:bottom w:val="single" w:sz="4" w:space="0" w:color="auto"/>
              <w:right w:val="single" w:sz="4" w:space="0" w:color="auto"/>
            </w:tcBorders>
            <w:shd w:val="clear" w:color="auto" w:fill="auto"/>
            <w:noWrap/>
            <w:vAlign w:val="bottom"/>
            <w:hideMark/>
          </w:tcPr>
          <w:p w14:paraId="278853F9" w14:textId="175071A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0,56</w:t>
            </w:r>
          </w:p>
        </w:tc>
        <w:tc>
          <w:tcPr>
            <w:tcW w:w="542" w:type="dxa"/>
            <w:tcBorders>
              <w:top w:val="nil"/>
              <w:left w:val="nil"/>
              <w:bottom w:val="single" w:sz="4" w:space="0" w:color="auto"/>
              <w:right w:val="single" w:sz="4" w:space="0" w:color="auto"/>
            </w:tcBorders>
            <w:shd w:val="clear" w:color="auto" w:fill="auto"/>
            <w:noWrap/>
            <w:vAlign w:val="bottom"/>
            <w:hideMark/>
          </w:tcPr>
          <w:p w14:paraId="340A4469" w14:textId="1309BBD5"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0,08</w:t>
            </w:r>
          </w:p>
        </w:tc>
        <w:tc>
          <w:tcPr>
            <w:tcW w:w="490" w:type="dxa"/>
            <w:tcBorders>
              <w:top w:val="nil"/>
              <w:left w:val="nil"/>
              <w:bottom w:val="single" w:sz="4" w:space="0" w:color="auto"/>
              <w:right w:val="single" w:sz="4" w:space="0" w:color="auto"/>
            </w:tcBorders>
            <w:shd w:val="clear" w:color="auto" w:fill="auto"/>
            <w:noWrap/>
            <w:vAlign w:val="bottom"/>
            <w:hideMark/>
          </w:tcPr>
          <w:p w14:paraId="08EF3887" w14:textId="3F4ACA9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0,12</w:t>
            </w:r>
          </w:p>
        </w:tc>
        <w:tc>
          <w:tcPr>
            <w:tcW w:w="782" w:type="dxa"/>
            <w:tcBorders>
              <w:top w:val="nil"/>
              <w:left w:val="nil"/>
              <w:bottom w:val="single" w:sz="4" w:space="0" w:color="auto"/>
              <w:right w:val="single" w:sz="4" w:space="0" w:color="auto"/>
            </w:tcBorders>
            <w:shd w:val="clear" w:color="auto" w:fill="auto"/>
            <w:noWrap/>
            <w:vAlign w:val="bottom"/>
            <w:hideMark/>
          </w:tcPr>
          <w:p w14:paraId="5C58585A" w14:textId="53C3323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0,48</w:t>
            </w:r>
          </w:p>
        </w:tc>
      </w:tr>
      <w:tr w:rsidR="00BE3573" w:rsidRPr="00A1696A" w14:paraId="241A89B3"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07901476"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3D6D9E1A" w14:textId="68066A5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495,6</w:t>
            </w:r>
          </w:p>
        </w:tc>
        <w:tc>
          <w:tcPr>
            <w:tcW w:w="384" w:type="dxa"/>
            <w:vMerge/>
            <w:tcBorders>
              <w:top w:val="nil"/>
              <w:left w:val="single" w:sz="4" w:space="0" w:color="auto"/>
              <w:bottom w:val="single" w:sz="4" w:space="0" w:color="auto"/>
              <w:right w:val="single" w:sz="4" w:space="0" w:color="auto"/>
            </w:tcBorders>
            <w:vAlign w:val="center"/>
            <w:hideMark/>
          </w:tcPr>
          <w:p w14:paraId="31571DDE"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76219FFE"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GA4</w:t>
            </w:r>
          </w:p>
        </w:tc>
        <w:tc>
          <w:tcPr>
            <w:tcW w:w="596" w:type="dxa"/>
            <w:tcBorders>
              <w:top w:val="nil"/>
              <w:left w:val="nil"/>
              <w:bottom w:val="single" w:sz="4" w:space="0" w:color="auto"/>
              <w:right w:val="single" w:sz="4" w:space="0" w:color="auto"/>
            </w:tcBorders>
            <w:shd w:val="clear" w:color="000000" w:fill="FCD5B4"/>
            <w:noWrap/>
            <w:vAlign w:val="bottom"/>
            <w:hideMark/>
          </w:tcPr>
          <w:p w14:paraId="0303C505"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RE5</w:t>
            </w:r>
          </w:p>
        </w:tc>
        <w:tc>
          <w:tcPr>
            <w:tcW w:w="706" w:type="dxa"/>
            <w:tcBorders>
              <w:top w:val="nil"/>
              <w:left w:val="nil"/>
              <w:bottom w:val="single" w:sz="4" w:space="0" w:color="auto"/>
              <w:right w:val="single" w:sz="4" w:space="0" w:color="auto"/>
            </w:tcBorders>
            <w:shd w:val="clear" w:color="auto" w:fill="auto"/>
            <w:noWrap/>
            <w:vAlign w:val="bottom"/>
            <w:hideMark/>
          </w:tcPr>
          <w:p w14:paraId="42A9FA1A" w14:textId="489FC4D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0,42</w:t>
            </w:r>
          </w:p>
        </w:tc>
        <w:tc>
          <w:tcPr>
            <w:tcW w:w="1054" w:type="dxa"/>
            <w:tcBorders>
              <w:top w:val="nil"/>
              <w:left w:val="nil"/>
              <w:bottom w:val="single" w:sz="4" w:space="0" w:color="auto"/>
              <w:right w:val="single" w:sz="4" w:space="0" w:color="auto"/>
            </w:tcBorders>
            <w:shd w:val="clear" w:color="auto" w:fill="auto"/>
            <w:noWrap/>
            <w:vAlign w:val="bottom"/>
            <w:hideMark/>
          </w:tcPr>
          <w:p w14:paraId="0DEC9483" w14:textId="3C94A13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0,35</w:t>
            </w:r>
          </w:p>
        </w:tc>
        <w:tc>
          <w:tcPr>
            <w:tcW w:w="796" w:type="dxa"/>
            <w:tcBorders>
              <w:top w:val="nil"/>
              <w:left w:val="nil"/>
              <w:bottom w:val="single" w:sz="4" w:space="0" w:color="auto"/>
              <w:right w:val="single" w:sz="4" w:space="0" w:color="auto"/>
            </w:tcBorders>
            <w:shd w:val="clear" w:color="auto" w:fill="auto"/>
            <w:noWrap/>
            <w:vAlign w:val="bottom"/>
            <w:hideMark/>
          </w:tcPr>
          <w:p w14:paraId="480A20A2" w14:textId="615DF58B"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c>
          <w:tcPr>
            <w:tcW w:w="490" w:type="dxa"/>
            <w:tcBorders>
              <w:top w:val="nil"/>
              <w:left w:val="nil"/>
              <w:bottom w:val="single" w:sz="4" w:space="0" w:color="auto"/>
              <w:right w:val="single" w:sz="4" w:space="0" w:color="auto"/>
            </w:tcBorders>
            <w:shd w:val="clear" w:color="auto" w:fill="auto"/>
            <w:noWrap/>
            <w:vAlign w:val="bottom"/>
            <w:hideMark/>
          </w:tcPr>
          <w:p w14:paraId="4792C5C9" w14:textId="1251A21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29,1</w:t>
            </w:r>
          </w:p>
        </w:tc>
        <w:tc>
          <w:tcPr>
            <w:tcW w:w="490" w:type="dxa"/>
            <w:tcBorders>
              <w:top w:val="nil"/>
              <w:left w:val="nil"/>
              <w:bottom w:val="single" w:sz="4" w:space="0" w:color="auto"/>
              <w:right w:val="single" w:sz="4" w:space="0" w:color="auto"/>
            </w:tcBorders>
            <w:shd w:val="clear" w:color="auto" w:fill="auto"/>
            <w:noWrap/>
            <w:vAlign w:val="bottom"/>
            <w:hideMark/>
          </w:tcPr>
          <w:p w14:paraId="64BA8F2D" w14:textId="669FD14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25,1</w:t>
            </w:r>
          </w:p>
        </w:tc>
        <w:tc>
          <w:tcPr>
            <w:tcW w:w="490" w:type="dxa"/>
            <w:tcBorders>
              <w:top w:val="nil"/>
              <w:left w:val="nil"/>
              <w:bottom w:val="single" w:sz="4" w:space="0" w:color="auto"/>
              <w:right w:val="single" w:sz="4" w:space="0" w:color="auto"/>
            </w:tcBorders>
            <w:shd w:val="clear" w:color="auto" w:fill="auto"/>
            <w:noWrap/>
            <w:vAlign w:val="bottom"/>
            <w:hideMark/>
          </w:tcPr>
          <w:p w14:paraId="6413A569" w14:textId="6B88829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45,8</w:t>
            </w:r>
          </w:p>
        </w:tc>
        <w:tc>
          <w:tcPr>
            <w:tcW w:w="1007" w:type="dxa"/>
            <w:tcBorders>
              <w:top w:val="nil"/>
              <w:left w:val="nil"/>
              <w:bottom w:val="single" w:sz="4" w:space="0" w:color="auto"/>
              <w:right w:val="single" w:sz="4" w:space="0" w:color="auto"/>
            </w:tcBorders>
            <w:shd w:val="clear" w:color="auto" w:fill="auto"/>
            <w:noWrap/>
            <w:vAlign w:val="bottom"/>
            <w:hideMark/>
          </w:tcPr>
          <w:p w14:paraId="60BD94D8" w14:textId="1376C1F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c>
          <w:tcPr>
            <w:tcW w:w="542" w:type="dxa"/>
            <w:tcBorders>
              <w:top w:val="nil"/>
              <w:left w:val="nil"/>
              <w:bottom w:val="single" w:sz="4" w:space="0" w:color="auto"/>
              <w:right w:val="single" w:sz="4" w:space="0" w:color="auto"/>
            </w:tcBorders>
            <w:shd w:val="clear" w:color="auto" w:fill="auto"/>
            <w:noWrap/>
            <w:vAlign w:val="bottom"/>
            <w:hideMark/>
          </w:tcPr>
          <w:p w14:paraId="64040B4B" w14:textId="6F59E9B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0,27</w:t>
            </w:r>
          </w:p>
        </w:tc>
        <w:tc>
          <w:tcPr>
            <w:tcW w:w="490" w:type="dxa"/>
            <w:tcBorders>
              <w:top w:val="nil"/>
              <w:left w:val="nil"/>
              <w:bottom w:val="single" w:sz="4" w:space="0" w:color="auto"/>
              <w:right w:val="single" w:sz="4" w:space="0" w:color="auto"/>
            </w:tcBorders>
            <w:shd w:val="clear" w:color="auto" w:fill="auto"/>
            <w:noWrap/>
            <w:vAlign w:val="bottom"/>
            <w:hideMark/>
          </w:tcPr>
          <w:p w14:paraId="0A321A82" w14:textId="466EAC2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0,36</w:t>
            </w:r>
          </w:p>
        </w:tc>
        <w:tc>
          <w:tcPr>
            <w:tcW w:w="782" w:type="dxa"/>
            <w:tcBorders>
              <w:top w:val="nil"/>
              <w:left w:val="nil"/>
              <w:bottom w:val="single" w:sz="4" w:space="0" w:color="auto"/>
              <w:right w:val="single" w:sz="4" w:space="0" w:color="auto"/>
            </w:tcBorders>
            <w:shd w:val="clear" w:color="auto" w:fill="auto"/>
            <w:noWrap/>
            <w:vAlign w:val="bottom"/>
            <w:hideMark/>
          </w:tcPr>
          <w:p w14:paraId="3F2FB409" w14:textId="352C675A"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0,28</w:t>
            </w:r>
          </w:p>
        </w:tc>
      </w:tr>
      <w:tr w:rsidR="00BE3573" w:rsidRPr="00A1696A" w14:paraId="5A169DC7" w14:textId="77777777" w:rsidTr="002E4C45">
        <w:trPr>
          <w:trHeight w:val="250"/>
          <w:jc w:val="center"/>
        </w:trPr>
        <w:tc>
          <w:tcPr>
            <w:tcW w:w="384" w:type="dxa"/>
            <w:vMerge/>
            <w:tcBorders>
              <w:top w:val="single" w:sz="4" w:space="0" w:color="auto"/>
              <w:left w:val="single" w:sz="4" w:space="0" w:color="auto"/>
              <w:bottom w:val="single" w:sz="4" w:space="0" w:color="auto"/>
              <w:right w:val="single" w:sz="4" w:space="0" w:color="auto"/>
            </w:tcBorders>
            <w:vAlign w:val="center"/>
            <w:hideMark/>
          </w:tcPr>
          <w:p w14:paraId="7EECD36D"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1080" w:type="dxa"/>
            <w:tcBorders>
              <w:top w:val="nil"/>
              <w:left w:val="nil"/>
              <w:bottom w:val="single" w:sz="4" w:space="0" w:color="auto"/>
              <w:right w:val="single" w:sz="4" w:space="0" w:color="auto"/>
            </w:tcBorders>
            <w:shd w:val="clear" w:color="000000" w:fill="FCD5B4"/>
            <w:noWrap/>
            <w:vAlign w:val="center"/>
            <w:hideMark/>
          </w:tcPr>
          <w:p w14:paraId="5E77FADA" w14:textId="3D899481"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553,0</w:t>
            </w:r>
          </w:p>
        </w:tc>
        <w:tc>
          <w:tcPr>
            <w:tcW w:w="384" w:type="dxa"/>
            <w:vMerge/>
            <w:tcBorders>
              <w:top w:val="nil"/>
              <w:left w:val="single" w:sz="4" w:space="0" w:color="auto"/>
              <w:bottom w:val="single" w:sz="4" w:space="0" w:color="auto"/>
              <w:right w:val="single" w:sz="4" w:space="0" w:color="auto"/>
            </w:tcBorders>
            <w:vAlign w:val="center"/>
            <w:hideMark/>
          </w:tcPr>
          <w:p w14:paraId="3BDF5995"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p>
        </w:tc>
        <w:tc>
          <w:tcPr>
            <w:tcW w:w="629" w:type="dxa"/>
            <w:tcBorders>
              <w:top w:val="nil"/>
              <w:left w:val="nil"/>
              <w:bottom w:val="single" w:sz="4" w:space="0" w:color="auto"/>
              <w:right w:val="single" w:sz="4" w:space="0" w:color="auto"/>
            </w:tcBorders>
            <w:shd w:val="clear" w:color="000000" w:fill="FCD5B4"/>
            <w:noWrap/>
            <w:vAlign w:val="bottom"/>
            <w:hideMark/>
          </w:tcPr>
          <w:p w14:paraId="027C818C"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GA5</w:t>
            </w:r>
          </w:p>
        </w:tc>
        <w:tc>
          <w:tcPr>
            <w:tcW w:w="596" w:type="dxa"/>
            <w:tcBorders>
              <w:top w:val="nil"/>
              <w:left w:val="nil"/>
              <w:bottom w:val="single" w:sz="4" w:space="0" w:color="auto"/>
              <w:right w:val="single" w:sz="4" w:space="0" w:color="auto"/>
            </w:tcBorders>
            <w:shd w:val="clear" w:color="000000" w:fill="FCD5B4"/>
            <w:noWrap/>
            <w:vAlign w:val="bottom"/>
            <w:hideMark/>
          </w:tcPr>
          <w:p w14:paraId="7D829838"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RE6</w:t>
            </w:r>
          </w:p>
        </w:tc>
        <w:tc>
          <w:tcPr>
            <w:tcW w:w="706" w:type="dxa"/>
            <w:tcBorders>
              <w:top w:val="nil"/>
              <w:left w:val="nil"/>
              <w:bottom w:val="single" w:sz="4" w:space="0" w:color="auto"/>
              <w:right w:val="single" w:sz="4" w:space="0" w:color="auto"/>
            </w:tcBorders>
            <w:shd w:val="clear" w:color="auto" w:fill="auto"/>
            <w:noWrap/>
            <w:vAlign w:val="bottom"/>
            <w:hideMark/>
          </w:tcPr>
          <w:p w14:paraId="16169DAD" w14:textId="0860BE5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0,45</w:t>
            </w:r>
          </w:p>
        </w:tc>
        <w:tc>
          <w:tcPr>
            <w:tcW w:w="1054" w:type="dxa"/>
            <w:tcBorders>
              <w:top w:val="nil"/>
              <w:left w:val="nil"/>
              <w:bottom w:val="single" w:sz="4" w:space="0" w:color="auto"/>
              <w:right w:val="single" w:sz="4" w:space="0" w:color="auto"/>
            </w:tcBorders>
            <w:shd w:val="clear" w:color="auto" w:fill="auto"/>
            <w:noWrap/>
            <w:vAlign w:val="bottom"/>
            <w:hideMark/>
          </w:tcPr>
          <w:p w14:paraId="7CABADAA" w14:textId="6C6CA86E"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0,32</w:t>
            </w:r>
          </w:p>
        </w:tc>
        <w:tc>
          <w:tcPr>
            <w:tcW w:w="796" w:type="dxa"/>
            <w:tcBorders>
              <w:top w:val="nil"/>
              <w:left w:val="nil"/>
              <w:bottom w:val="single" w:sz="4" w:space="0" w:color="auto"/>
              <w:right w:val="single" w:sz="4" w:space="0" w:color="auto"/>
            </w:tcBorders>
            <w:shd w:val="clear" w:color="auto" w:fill="auto"/>
            <w:noWrap/>
            <w:vAlign w:val="bottom"/>
            <w:hideMark/>
          </w:tcPr>
          <w:p w14:paraId="61325F52" w14:textId="060D8D9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w:t>
            </w:r>
          </w:p>
        </w:tc>
        <w:tc>
          <w:tcPr>
            <w:tcW w:w="490" w:type="dxa"/>
            <w:tcBorders>
              <w:top w:val="nil"/>
              <w:left w:val="nil"/>
              <w:bottom w:val="single" w:sz="4" w:space="0" w:color="auto"/>
              <w:right w:val="single" w:sz="4" w:space="0" w:color="auto"/>
            </w:tcBorders>
            <w:shd w:val="clear" w:color="auto" w:fill="auto"/>
            <w:noWrap/>
            <w:vAlign w:val="bottom"/>
            <w:hideMark/>
          </w:tcPr>
          <w:p w14:paraId="647FC3B3" w14:textId="10928E0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28,3</w:t>
            </w:r>
          </w:p>
        </w:tc>
        <w:tc>
          <w:tcPr>
            <w:tcW w:w="490" w:type="dxa"/>
            <w:tcBorders>
              <w:top w:val="nil"/>
              <w:left w:val="nil"/>
              <w:bottom w:val="single" w:sz="4" w:space="0" w:color="auto"/>
              <w:right w:val="single" w:sz="4" w:space="0" w:color="auto"/>
            </w:tcBorders>
            <w:shd w:val="clear" w:color="auto" w:fill="auto"/>
            <w:noWrap/>
            <w:vAlign w:val="bottom"/>
            <w:hideMark/>
          </w:tcPr>
          <w:p w14:paraId="14838DFC"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25</w:t>
            </w:r>
          </w:p>
        </w:tc>
        <w:tc>
          <w:tcPr>
            <w:tcW w:w="490" w:type="dxa"/>
            <w:tcBorders>
              <w:top w:val="nil"/>
              <w:left w:val="nil"/>
              <w:bottom w:val="single" w:sz="4" w:space="0" w:color="auto"/>
              <w:right w:val="single" w:sz="4" w:space="0" w:color="auto"/>
            </w:tcBorders>
            <w:shd w:val="clear" w:color="auto" w:fill="auto"/>
            <w:noWrap/>
            <w:vAlign w:val="bottom"/>
            <w:hideMark/>
          </w:tcPr>
          <w:p w14:paraId="15EABBDD" w14:textId="24D50890"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46,7</w:t>
            </w:r>
          </w:p>
        </w:tc>
        <w:tc>
          <w:tcPr>
            <w:tcW w:w="1007" w:type="dxa"/>
            <w:tcBorders>
              <w:top w:val="nil"/>
              <w:left w:val="nil"/>
              <w:bottom w:val="single" w:sz="4" w:space="0" w:color="auto"/>
              <w:right w:val="single" w:sz="4" w:space="0" w:color="auto"/>
            </w:tcBorders>
            <w:shd w:val="clear" w:color="auto" w:fill="auto"/>
            <w:noWrap/>
            <w:vAlign w:val="bottom"/>
            <w:hideMark/>
          </w:tcPr>
          <w:p w14:paraId="6935D36A" w14:textId="3B171EBB"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0,28</w:t>
            </w:r>
          </w:p>
        </w:tc>
        <w:tc>
          <w:tcPr>
            <w:tcW w:w="542" w:type="dxa"/>
            <w:tcBorders>
              <w:top w:val="nil"/>
              <w:left w:val="nil"/>
              <w:bottom w:val="single" w:sz="4" w:space="0" w:color="auto"/>
              <w:right w:val="single" w:sz="4" w:space="0" w:color="auto"/>
            </w:tcBorders>
            <w:shd w:val="clear" w:color="auto" w:fill="auto"/>
            <w:noWrap/>
            <w:vAlign w:val="bottom"/>
            <w:hideMark/>
          </w:tcPr>
          <w:p w14:paraId="50FC8A4F" w14:textId="626CEE78"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0,38</w:t>
            </w:r>
          </w:p>
        </w:tc>
        <w:tc>
          <w:tcPr>
            <w:tcW w:w="490" w:type="dxa"/>
            <w:tcBorders>
              <w:top w:val="nil"/>
              <w:left w:val="nil"/>
              <w:bottom w:val="single" w:sz="4" w:space="0" w:color="auto"/>
              <w:right w:val="single" w:sz="4" w:space="0" w:color="auto"/>
            </w:tcBorders>
            <w:shd w:val="clear" w:color="auto" w:fill="auto"/>
            <w:noWrap/>
            <w:vAlign w:val="bottom"/>
            <w:hideMark/>
          </w:tcPr>
          <w:p w14:paraId="0352DBC2" w14:textId="533C2422"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0,39</w:t>
            </w:r>
          </w:p>
        </w:tc>
        <w:tc>
          <w:tcPr>
            <w:tcW w:w="782" w:type="dxa"/>
            <w:tcBorders>
              <w:top w:val="nil"/>
              <w:left w:val="nil"/>
              <w:bottom w:val="single" w:sz="4" w:space="0" w:color="auto"/>
              <w:right w:val="single" w:sz="4" w:space="0" w:color="auto"/>
            </w:tcBorders>
            <w:shd w:val="clear" w:color="auto" w:fill="auto"/>
            <w:noWrap/>
            <w:vAlign w:val="bottom"/>
            <w:hideMark/>
          </w:tcPr>
          <w:p w14:paraId="1CC559E6" w14:textId="393A017D"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0,3</w:t>
            </w:r>
          </w:p>
        </w:tc>
      </w:tr>
      <w:tr w:rsidR="00BE3573" w:rsidRPr="00A1696A" w14:paraId="0B92292B" w14:textId="77777777" w:rsidTr="002E4C45">
        <w:trPr>
          <w:trHeight w:val="476"/>
          <w:jc w:val="center"/>
        </w:trPr>
        <w:tc>
          <w:tcPr>
            <w:tcW w:w="384" w:type="dxa"/>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14:paraId="62A1AA0B"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ГМЗ</w:t>
            </w:r>
          </w:p>
        </w:tc>
        <w:tc>
          <w:tcPr>
            <w:tcW w:w="1080" w:type="dxa"/>
            <w:tcBorders>
              <w:top w:val="nil"/>
              <w:left w:val="nil"/>
              <w:bottom w:val="single" w:sz="4" w:space="0" w:color="auto"/>
              <w:right w:val="single" w:sz="4" w:space="0" w:color="auto"/>
            </w:tcBorders>
            <w:shd w:val="clear" w:color="000000" w:fill="FCD5B4"/>
            <w:noWrap/>
            <w:vAlign w:val="center"/>
            <w:hideMark/>
          </w:tcPr>
          <w:p w14:paraId="6F0558B0"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w:t>
            </w:r>
          </w:p>
        </w:tc>
        <w:tc>
          <w:tcPr>
            <w:tcW w:w="384" w:type="dxa"/>
            <w:tcBorders>
              <w:top w:val="nil"/>
              <w:left w:val="nil"/>
              <w:bottom w:val="single" w:sz="4" w:space="0" w:color="auto"/>
              <w:right w:val="single" w:sz="4" w:space="0" w:color="auto"/>
            </w:tcBorders>
            <w:shd w:val="clear" w:color="000000" w:fill="FCD5B4"/>
            <w:noWrap/>
            <w:textDirection w:val="btLr"/>
            <w:vAlign w:val="bottom"/>
            <w:hideMark/>
          </w:tcPr>
          <w:p w14:paraId="3B2838F8"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Р-тие</w:t>
            </w:r>
          </w:p>
        </w:tc>
        <w:tc>
          <w:tcPr>
            <w:tcW w:w="629" w:type="dxa"/>
            <w:tcBorders>
              <w:top w:val="nil"/>
              <w:left w:val="nil"/>
              <w:bottom w:val="single" w:sz="4" w:space="0" w:color="auto"/>
              <w:right w:val="single" w:sz="4" w:space="0" w:color="auto"/>
            </w:tcBorders>
            <w:shd w:val="clear" w:color="000000" w:fill="FCD5B4"/>
            <w:noWrap/>
            <w:vAlign w:val="bottom"/>
            <w:hideMark/>
          </w:tcPr>
          <w:p w14:paraId="111E64A1"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GA12</w:t>
            </w:r>
          </w:p>
        </w:tc>
        <w:tc>
          <w:tcPr>
            <w:tcW w:w="596" w:type="dxa"/>
            <w:tcBorders>
              <w:top w:val="nil"/>
              <w:left w:val="nil"/>
              <w:bottom w:val="single" w:sz="4" w:space="0" w:color="auto"/>
              <w:right w:val="single" w:sz="4" w:space="0" w:color="auto"/>
            </w:tcBorders>
            <w:shd w:val="clear" w:color="000000" w:fill="FCD5B4"/>
            <w:noWrap/>
            <w:vAlign w:val="bottom"/>
            <w:hideMark/>
          </w:tcPr>
          <w:p w14:paraId="5607227E" w14:textId="77777777" w:rsidR="002443AB" w:rsidRPr="00A1696A" w:rsidRDefault="002443AB" w:rsidP="006B6EBF">
            <w:pPr>
              <w:spacing w:after="0" w:line="240" w:lineRule="auto"/>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RE27</w:t>
            </w:r>
          </w:p>
        </w:tc>
        <w:tc>
          <w:tcPr>
            <w:tcW w:w="706" w:type="dxa"/>
            <w:tcBorders>
              <w:top w:val="nil"/>
              <w:left w:val="nil"/>
              <w:bottom w:val="single" w:sz="4" w:space="0" w:color="auto"/>
              <w:right w:val="single" w:sz="4" w:space="0" w:color="auto"/>
            </w:tcBorders>
            <w:shd w:val="clear" w:color="auto" w:fill="auto"/>
            <w:noWrap/>
            <w:vAlign w:val="bottom"/>
            <w:hideMark/>
          </w:tcPr>
          <w:p w14:paraId="6AC329D7" w14:textId="2462E508"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0,41</w:t>
            </w:r>
          </w:p>
        </w:tc>
        <w:tc>
          <w:tcPr>
            <w:tcW w:w="1054" w:type="dxa"/>
            <w:tcBorders>
              <w:top w:val="nil"/>
              <w:left w:val="nil"/>
              <w:bottom w:val="single" w:sz="4" w:space="0" w:color="auto"/>
              <w:right w:val="single" w:sz="4" w:space="0" w:color="auto"/>
            </w:tcBorders>
            <w:shd w:val="clear" w:color="auto" w:fill="auto"/>
            <w:noWrap/>
            <w:vAlign w:val="bottom"/>
            <w:hideMark/>
          </w:tcPr>
          <w:p w14:paraId="5C2916CA" w14:textId="6F2B25F6"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0,41</w:t>
            </w:r>
          </w:p>
        </w:tc>
        <w:tc>
          <w:tcPr>
            <w:tcW w:w="796" w:type="dxa"/>
            <w:tcBorders>
              <w:top w:val="nil"/>
              <w:left w:val="nil"/>
              <w:bottom w:val="single" w:sz="4" w:space="0" w:color="auto"/>
              <w:right w:val="single" w:sz="4" w:space="0" w:color="auto"/>
            </w:tcBorders>
            <w:shd w:val="clear" w:color="auto" w:fill="auto"/>
            <w:noWrap/>
            <w:vAlign w:val="bottom"/>
            <w:hideMark/>
          </w:tcPr>
          <w:p w14:paraId="2F5C1CA0" w14:textId="207A2D13"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0,21</w:t>
            </w:r>
          </w:p>
        </w:tc>
        <w:tc>
          <w:tcPr>
            <w:tcW w:w="490" w:type="dxa"/>
            <w:tcBorders>
              <w:top w:val="nil"/>
              <w:left w:val="nil"/>
              <w:bottom w:val="single" w:sz="4" w:space="0" w:color="auto"/>
              <w:right w:val="single" w:sz="4" w:space="0" w:color="auto"/>
            </w:tcBorders>
            <w:shd w:val="clear" w:color="auto" w:fill="auto"/>
            <w:noWrap/>
            <w:vAlign w:val="bottom"/>
            <w:hideMark/>
          </w:tcPr>
          <w:p w14:paraId="7BC2E669"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38</w:t>
            </w:r>
          </w:p>
        </w:tc>
        <w:tc>
          <w:tcPr>
            <w:tcW w:w="490" w:type="dxa"/>
            <w:tcBorders>
              <w:top w:val="nil"/>
              <w:left w:val="nil"/>
              <w:bottom w:val="single" w:sz="4" w:space="0" w:color="auto"/>
              <w:right w:val="single" w:sz="4" w:space="0" w:color="auto"/>
            </w:tcBorders>
            <w:shd w:val="clear" w:color="auto" w:fill="auto"/>
            <w:noWrap/>
            <w:vAlign w:val="bottom"/>
            <w:hideMark/>
          </w:tcPr>
          <w:p w14:paraId="7F0E4480"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21</w:t>
            </w:r>
          </w:p>
        </w:tc>
        <w:tc>
          <w:tcPr>
            <w:tcW w:w="490" w:type="dxa"/>
            <w:tcBorders>
              <w:top w:val="nil"/>
              <w:left w:val="nil"/>
              <w:bottom w:val="single" w:sz="4" w:space="0" w:color="auto"/>
              <w:right w:val="single" w:sz="4" w:space="0" w:color="auto"/>
            </w:tcBorders>
            <w:shd w:val="clear" w:color="auto" w:fill="auto"/>
            <w:noWrap/>
            <w:vAlign w:val="bottom"/>
            <w:hideMark/>
          </w:tcPr>
          <w:p w14:paraId="6166D42A" w14:textId="77777777"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41</w:t>
            </w:r>
          </w:p>
        </w:tc>
        <w:tc>
          <w:tcPr>
            <w:tcW w:w="1007" w:type="dxa"/>
            <w:tcBorders>
              <w:top w:val="nil"/>
              <w:left w:val="nil"/>
              <w:bottom w:val="single" w:sz="4" w:space="0" w:color="auto"/>
              <w:right w:val="single" w:sz="4" w:space="0" w:color="auto"/>
            </w:tcBorders>
            <w:shd w:val="clear" w:color="auto" w:fill="auto"/>
            <w:noWrap/>
            <w:vAlign w:val="bottom"/>
            <w:hideMark/>
          </w:tcPr>
          <w:p w14:paraId="40E63E3A" w14:textId="05FFDCC8"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0,49</w:t>
            </w:r>
          </w:p>
        </w:tc>
        <w:tc>
          <w:tcPr>
            <w:tcW w:w="542" w:type="dxa"/>
            <w:tcBorders>
              <w:top w:val="nil"/>
              <w:left w:val="nil"/>
              <w:bottom w:val="single" w:sz="4" w:space="0" w:color="auto"/>
              <w:right w:val="single" w:sz="4" w:space="0" w:color="auto"/>
            </w:tcBorders>
            <w:shd w:val="clear" w:color="auto" w:fill="auto"/>
            <w:noWrap/>
            <w:vAlign w:val="bottom"/>
            <w:hideMark/>
          </w:tcPr>
          <w:p w14:paraId="5BEE1148" w14:textId="10D42639"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0,13</w:t>
            </w:r>
          </w:p>
        </w:tc>
        <w:tc>
          <w:tcPr>
            <w:tcW w:w="490" w:type="dxa"/>
            <w:tcBorders>
              <w:top w:val="nil"/>
              <w:left w:val="nil"/>
              <w:bottom w:val="single" w:sz="4" w:space="0" w:color="auto"/>
              <w:right w:val="single" w:sz="4" w:space="0" w:color="auto"/>
            </w:tcBorders>
            <w:shd w:val="clear" w:color="auto" w:fill="auto"/>
            <w:noWrap/>
            <w:vAlign w:val="bottom"/>
            <w:hideMark/>
          </w:tcPr>
          <w:p w14:paraId="5719EBAB" w14:textId="49011FDC"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0,14</w:t>
            </w:r>
          </w:p>
        </w:tc>
        <w:tc>
          <w:tcPr>
            <w:tcW w:w="782" w:type="dxa"/>
            <w:tcBorders>
              <w:top w:val="nil"/>
              <w:left w:val="nil"/>
              <w:bottom w:val="single" w:sz="4" w:space="0" w:color="auto"/>
              <w:right w:val="single" w:sz="4" w:space="0" w:color="auto"/>
            </w:tcBorders>
            <w:shd w:val="clear" w:color="auto" w:fill="auto"/>
            <w:noWrap/>
            <w:vAlign w:val="bottom"/>
            <w:hideMark/>
          </w:tcPr>
          <w:p w14:paraId="1872EA45" w14:textId="0E00F55F" w:rsidR="002443AB" w:rsidRPr="00A1696A" w:rsidRDefault="002443AB" w:rsidP="006B6EBF">
            <w:pPr>
              <w:spacing w:after="0" w:line="240" w:lineRule="auto"/>
              <w:jc w:val="center"/>
              <w:rPr>
                <w:rFonts w:ascii="Times New Roman" w:eastAsia="Times New Roman" w:hAnsi="Times New Roman" w:cs="Times New Roman"/>
                <w:color w:val="000000"/>
                <w:sz w:val="20"/>
                <w:szCs w:val="20"/>
                <w:lang w:eastAsia="bg-BG"/>
              </w:rPr>
            </w:pPr>
            <w:r w:rsidRPr="00A1696A">
              <w:rPr>
                <w:rFonts w:ascii="Times New Roman" w:eastAsia="Times New Roman" w:hAnsi="Times New Roman" w:cs="Times New Roman"/>
                <w:color w:val="000000"/>
                <w:sz w:val="20"/>
                <w:szCs w:val="20"/>
                <w:lang w:eastAsia="bg-BG"/>
              </w:rPr>
              <w:t>0,57</w:t>
            </w:r>
          </w:p>
        </w:tc>
      </w:tr>
    </w:tbl>
    <w:p w14:paraId="5BED2220" w14:textId="45772B5E" w:rsidR="00BE3573" w:rsidRPr="00A1696A" w:rsidRDefault="00521394" w:rsidP="00BE3573">
      <w:pPr>
        <w:pStyle w:val="Default"/>
        <w:jc w:val="both"/>
        <w:rPr>
          <w:rFonts w:eastAsia="Times New Roman"/>
          <w:i/>
          <w:sz w:val="18"/>
          <w:szCs w:val="18"/>
        </w:rPr>
      </w:pPr>
      <w:r w:rsidRPr="00A1696A">
        <w:rPr>
          <w:rFonts w:eastAsia="Times New Roman"/>
          <w:i/>
          <w:sz w:val="18"/>
          <w:szCs w:val="18"/>
        </w:rPr>
        <w:t>DiaS/S (отношение диастерани/стерани) = βα-Dia-C</w:t>
      </w:r>
      <w:r w:rsidRPr="00A1696A">
        <w:rPr>
          <w:rFonts w:eastAsia="Times New Roman"/>
          <w:i/>
          <w:sz w:val="18"/>
          <w:szCs w:val="18"/>
          <w:vertAlign w:val="subscript"/>
        </w:rPr>
        <w:t>27</w:t>
      </w:r>
      <w:r w:rsidRPr="00A1696A">
        <w:rPr>
          <w:rFonts w:eastAsia="Times New Roman"/>
          <w:i/>
          <w:sz w:val="18"/>
          <w:szCs w:val="18"/>
        </w:rPr>
        <w:t>(S+R)/ααC</w:t>
      </w:r>
      <w:r w:rsidRPr="00A1696A">
        <w:rPr>
          <w:rFonts w:eastAsia="Times New Roman"/>
          <w:i/>
          <w:sz w:val="18"/>
          <w:szCs w:val="18"/>
          <w:vertAlign w:val="subscript"/>
        </w:rPr>
        <w:t>27</w:t>
      </w:r>
      <w:r w:rsidRPr="00A1696A">
        <w:rPr>
          <w:rFonts w:eastAsia="Times New Roman"/>
          <w:i/>
          <w:sz w:val="18"/>
          <w:szCs w:val="18"/>
        </w:rPr>
        <w:t xml:space="preserve">(S+R); </w:t>
      </w:r>
      <w:r w:rsidR="00BE3573" w:rsidRPr="00A1696A">
        <w:rPr>
          <w:rFonts w:eastAsia="Times New Roman"/>
          <w:i/>
          <w:sz w:val="18"/>
          <w:szCs w:val="18"/>
        </w:rPr>
        <w:t xml:space="preserve">    </w:t>
      </w:r>
      <w:r w:rsidRPr="00A1696A">
        <w:rPr>
          <w:rFonts w:eastAsia="Times New Roman"/>
          <w:i/>
          <w:sz w:val="18"/>
          <w:szCs w:val="18"/>
        </w:rPr>
        <w:t>S/(S+R ) – отношение стерани = C</w:t>
      </w:r>
      <w:r w:rsidRPr="00A1696A">
        <w:rPr>
          <w:rFonts w:eastAsia="Times New Roman"/>
          <w:i/>
          <w:sz w:val="18"/>
          <w:szCs w:val="18"/>
          <w:vertAlign w:val="subscript"/>
        </w:rPr>
        <w:t>29</w:t>
      </w:r>
      <w:r w:rsidRPr="00A1696A">
        <w:rPr>
          <w:rFonts w:eastAsia="Times New Roman"/>
          <w:i/>
          <w:sz w:val="18"/>
          <w:szCs w:val="18"/>
        </w:rPr>
        <w:t xml:space="preserve">αα S/(S+R) </w:t>
      </w:r>
    </w:p>
    <w:p w14:paraId="2D1A6A2F" w14:textId="09BE130A" w:rsidR="00521394" w:rsidRPr="00A1696A" w:rsidRDefault="00521394" w:rsidP="00BE3573">
      <w:pPr>
        <w:pStyle w:val="Default"/>
        <w:jc w:val="both"/>
        <w:rPr>
          <w:rFonts w:eastAsia="Times New Roman"/>
          <w:i/>
          <w:sz w:val="18"/>
          <w:szCs w:val="18"/>
        </w:rPr>
      </w:pPr>
      <w:r w:rsidRPr="00A1696A">
        <w:rPr>
          <w:rFonts w:eastAsia="Times New Roman"/>
          <w:i/>
          <w:sz w:val="18"/>
          <w:szCs w:val="18"/>
        </w:rPr>
        <w:t>ββ/(αα+ββ) = C</w:t>
      </w:r>
      <w:r w:rsidRPr="00A1696A">
        <w:rPr>
          <w:rFonts w:eastAsia="Times New Roman"/>
          <w:i/>
          <w:sz w:val="18"/>
          <w:szCs w:val="18"/>
          <w:vertAlign w:val="subscript"/>
        </w:rPr>
        <w:t>29</w:t>
      </w:r>
      <w:r w:rsidRPr="00A1696A">
        <w:rPr>
          <w:rFonts w:eastAsia="Times New Roman"/>
          <w:i/>
          <w:sz w:val="18"/>
          <w:szCs w:val="18"/>
        </w:rPr>
        <w:t>ββ(S+R)/[C</w:t>
      </w:r>
      <w:r w:rsidRPr="00A1696A">
        <w:rPr>
          <w:rFonts w:eastAsia="Times New Roman"/>
          <w:i/>
          <w:sz w:val="18"/>
          <w:szCs w:val="18"/>
          <w:vertAlign w:val="subscript"/>
        </w:rPr>
        <w:t>29</w:t>
      </w:r>
      <w:r w:rsidRPr="00A1696A">
        <w:rPr>
          <w:rFonts w:eastAsia="Times New Roman"/>
          <w:i/>
          <w:sz w:val="18"/>
          <w:szCs w:val="18"/>
        </w:rPr>
        <w:t>αα(S+R) + C</w:t>
      </w:r>
      <w:r w:rsidRPr="00A1696A">
        <w:rPr>
          <w:rFonts w:eastAsia="Times New Roman"/>
          <w:i/>
          <w:sz w:val="18"/>
          <w:szCs w:val="18"/>
          <w:vertAlign w:val="subscript"/>
        </w:rPr>
        <w:t>29</w:t>
      </w:r>
      <w:r w:rsidRPr="00A1696A">
        <w:rPr>
          <w:rFonts w:eastAsia="Times New Roman"/>
          <w:i/>
          <w:sz w:val="18"/>
          <w:szCs w:val="18"/>
        </w:rPr>
        <w:t>ββ(S+R)];</w:t>
      </w:r>
    </w:p>
    <w:p w14:paraId="014210C5" w14:textId="07C787CC" w:rsidR="00513A69" w:rsidRPr="00A1696A" w:rsidRDefault="00513A69" w:rsidP="00BE3573">
      <w:pPr>
        <w:pStyle w:val="Default"/>
        <w:jc w:val="both"/>
        <w:rPr>
          <w:rFonts w:eastAsia="Times New Roman"/>
          <w:i/>
          <w:sz w:val="18"/>
          <w:szCs w:val="18"/>
        </w:rPr>
      </w:pPr>
      <w:r w:rsidRPr="00A1696A">
        <w:rPr>
          <w:rFonts w:eastAsia="Times New Roman"/>
          <w:i/>
          <w:sz w:val="18"/>
          <w:szCs w:val="18"/>
        </w:rPr>
        <w:t>Ts - 18α(H),22,29,30-Trisnorneohopane;</w:t>
      </w:r>
      <w:r w:rsidRPr="00A1696A">
        <w:rPr>
          <w:rFonts w:eastAsia="Times New Roman"/>
          <w:i/>
          <w:sz w:val="18"/>
          <w:szCs w:val="18"/>
        </w:rPr>
        <w:tab/>
      </w:r>
      <w:r w:rsidRPr="00A1696A">
        <w:rPr>
          <w:rFonts w:eastAsia="Times New Roman"/>
          <w:i/>
          <w:sz w:val="18"/>
          <w:szCs w:val="18"/>
        </w:rPr>
        <w:tab/>
      </w:r>
      <w:r w:rsidRPr="00A1696A">
        <w:rPr>
          <w:rFonts w:eastAsia="Times New Roman"/>
          <w:i/>
          <w:sz w:val="18"/>
          <w:szCs w:val="18"/>
        </w:rPr>
        <w:tab/>
        <w:t xml:space="preserve"> </w:t>
      </w:r>
      <w:r w:rsidR="00521394" w:rsidRPr="00A1696A">
        <w:rPr>
          <w:rFonts w:eastAsia="Times New Roman"/>
          <w:i/>
          <w:sz w:val="18"/>
          <w:szCs w:val="18"/>
        </w:rPr>
        <w:tab/>
      </w:r>
      <w:r w:rsidRPr="00A1696A">
        <w:rPr>
          <w:rFonts w:eastAsia="Times New Roman"/>
          <w:i/>
          <w:sz w:val="18"/>
          <w:szCs w:val="18"/>
        </w:rPr>
        <w:t xml:space="preserve">Tm - 17α(H)22,29,30-Trisnorhopane </w:t>
      </w:r>
    </w:p>
    <w:p w14:paraId="5E8A073E" w14:textId="0CB15E00" w:rsidR="00513A69" w:rsidRPr="00A1696A" w:rsidRDefault="00565E39" w:rsidP="00BE3573">
      <w:pPr>
        <w:pStyle w:val="Default"/>
        <w:jc w:val="both"/>
        <w:rPr>
          <w:rFonts w:eastAsia="Times New Roman"/>
          <w:i/>
          <w:sz w:val="18"/>
          <w:szCs w:val="18"/>
        </w:rPr>
      </w:pPr>
      <w:r w:rsidRPr="00A1696A">
        <w:rPr>
          <w:rFonts w:eastAsia="Times New Roman"/>
          <w:i/>
          <w:sz w:val="18"/>
          <w:szCs w:val="18"/>
        </w:rPr>
        <w:t>M/H (Отношение моретан</w:t>
      </w:r>
      <w:r w:rsidR="00513A69" w:rsidRPr="00A1696A">
        <w:rPr>
          <w:rFonts w:eastAsia="Times New Roman"/>
          <w:i/>
          <w:sz w:val="18"/>
          <w:szCs w:val="18"/>
        </w:rPr>
        <w:t>/</w:t>
      </w:r>
      <w:r w:rsidRPr="00A1696A">
        <w:rPr>
          <w:rFonts w:eastAsia="Times New Roman"/>
          <w:i/>
          <w:sz w:val="18"/>
          <w:szCs w:val="18"/>
        </w:rPr>
        <w:t>хопан)</w:t>
      </w:r>
      <w:r w:rsidR="00513A69" w:rsidRPr="00A1696A">
        <w:rPr>
          <w:rFonts w:eastAsia="Times New Roman"/>
          <w:i/>
          <w:sz w:val="18"/>
          <w:szCs w:val="18"/>
        </w:rPr>
        <w:t xml:space="preserve"> = H30βα/H30αβ; </w:t>
      </w:r>
      <w:r w:rsidR="00513A69" w:rsidRPr="00A1696A">
        <w:rPr>
          <w:rFonts w:eastAsia="Times New Roman"/>
          <w:i/>
          <w:sz w:val="18"/>
          <w:szCs w:val="18"/>
        </w:rPr>
        <w:tab/>
      </w:r>
      <w:r w:rsidR="00513A69" w:rsidRPr="00A1696A">
        <w:rPr>
          <w:rFonts w:eastAsia="Times New Roman"/>
          <w:i/>
          <w:sz w:val="18"/>
          <w:szCs w:val="18"/>
        </w:rPr>
        <w:tab/>
      </w:r>
      <w:r w:rsidR="00513A69" w:rsidRPr="00A1696A">
        <w:rPr>
          <w:rFonts w:eastAsia="Times New Roman"/>
          <w:i/>
          <w:sz w:val="18"/>
          <w:szCs w:val="18"/>
        </w:rPr>
        <w:tab/>
        <w:t>H</w:t>
      </w:r>
      <w:r w:rsidR="00521394" w:rsidRPr="00A1696A">
        <w:rPr>
          <w:rFonts w:eastAsia="Times New Roman"/>
          <w:i/>
          <w:sz w:val="18"/>
          <w:szCs w:val="18"/>
        </w:rPr>
        <w:t xml:space="preserve"> (отношение хопани</w:t>
      </w:r>
      <w:r w:rsidR="00513A69" w:rsidRPr="00A1696A">
        <w:rPr>
          <w:rFonts w:eastAsia="Times New Roman"/>
          <w:i/>
          <w:sz w:val="18"/>
          <w:szCs w:val="18"/>
        </w:rPr>
        <w:t xml:space="preserve">) = H29αβ/H30αβ </w:t>
      </w:r>
    </w:p>
    <w:p w14:paraId="30914850" w14:textId="60DD033F" w:rsidR="00513A69" w:rsidRPr="00A1696A" w:rsidRDefault="00513A69" w:rsidP="00BE3573">
      <w:pPr>
        <w:spacing w:after="0" w:line="240" w:lineRule="auto"/>
        <w:jc w:val="both"/>
        <w:rPr>
          <w:rFonts w:ascii="Times New Roman" w:eastAsia="Times New Roman" w:hAnsi="Times New Roman" w:cs="Times New Roman"/>
          <w:i/>
          <w:color w:val="000000"/>
          <w:sz w:val="18"/>
          <w:szCs w:val="18"/>
        </w:rPr>
      </w:pPr>
      <w:r w:rsidRPr="00A1696A">
        <w:rPr>
          <w:rFonts w:ascii="Times New Roman" w:eastAsia="Times New Roman" w:hAnsi="Times New Roman" w:cs="Times New Roman"/>
          <w:i/>
          <w:color w:val="000000"/>
          <w:sz w:val="18"/>
          <w:szCs w:val="18"/>
        </w:rPr>
        <w:t>Homo</w:t>
      </w:r>
      <w:r w:rsidR="00565E39" w:rsidRPr="00A1696A">
        <w:rPr>
          <w:rFonts w:ascii="Times New Roman" w:eastAsia="Times New Roman" w:hAnsi="Times New Roman" w:cs="Times New Roman"/>
          <w:i/>
          <w:color w:val="000000"/>
          <w:sz w:val="18"/>
          <w:szCs w:val="18"/>
        </w:rPr>
        <w:t>H</w:t>
      </w:r>
      <w:r w:rsidRPr="00A1696A">
        <w:rPr>
          <w:rFonts w:ascii="Times New Roman" w:eastAsia="Times New Roman" w:hAnsi="Times New Roman" w:cs="Times New Roman"/>
          <w:i/>
          <w:color w:val="000000"/>
          <w:sz w:val="18"/>
          <w:szCs w:val="18"/>
        </w:rPr>
        <w:t xml:space="preserve"> index </w:t>
      </w:r>
      <w:r w:rsidR="00565E39" w:rsidRPr="00A1696A">
        <w:rPr>
          <w:rFonts w:ascii="Times New Roman" w:eastAsia="Times New Roman" w:hAnsi="Times New Roman" w:cs="Times New Roman"/>
          <w:i/>
          <w:color w:val="000000"/>
          <w:sz w:val="18"/>
          <w:szCs w:val="18"/>
        </w:rPr>
        <w:t xml:space="preserve">(Хомохопанов индекс) </w:t>
      </w:r>
      <w:r w:rsidRPr="00A1696A">
        <w:rPr>
          <w:rFonts w:ascii="Times New Roman" w:eastAsia="Times New Roman" w:hAnsi="Times New Roman" w:cs="Times New Roman"/>
          <w:i/>
          <w:color w:val="000000"/>
          <w:sz w:val="18"/>
          <w:szCs w:val="18"/>
        </w:rPr>
        <w:t>= H31αβ S/(S+R)</w:t>
      </w:r>
    </w:p>
    <w:p w14:paraId="697690D9" w14:textId="7F3AA6FD" w:rsidR="00513A69" w:rsidRPr="00A1696A" w:rsidRDefault="00C20A28" w:rsidP="00C20A28">
      <w:pPr>
        <w:spacing w:after="0" w:line="240" w:lineRule="auto"/>
        <w:ind w:firstLine="709"/>
        <w:jc w:val="both"/>
        <w:rPr>
          <w:rFonts w:ascii="Times New Roman" w:hAnsi="Times New Roman" w:cs="Times New Roman"/>
          <w:sz w:val="24"/>
          <w:szCs w:val="24"/>
        </w:rPr>
      </w:pPr>
      <w:bookmarkStart w:id="95" w:name="_Hlk7814498"/>
      <w:bookmarkStart w:id="96" w:name="_Hlk533174240"/>
      <w:r w:rsidRPr="00A1696A">
        <w:rPr>
          <w:rFonts w:ascii="Times New Roman" w:hAnsi="Times New Roman" w:cs="Times New Roman"/>
          <w:sz w:val="24"/>
          <w:szCs w:val="24"/>
        </w:rPr>
        <w:lastRenderedPageBreak/>
        <w:t>Като цяло данните за състава на регулярните стерани потвърждават направено</w:t>
      </w:r>
      <w:r w:rsidR="0007130C" w:rsidRPr="00A1696A">
        <w:rPr>
          <w:rFonts w:ascii="Times New Roman" w:hAnsi="Times New Roman" w:cs="Times New Roman"/>
          <w:sz w:val="24"/>
          <w:szCs w:val="24"/>
        </w:rPr>
        <w:t>то</w:t>
      </w:r>
      <w:r w:rsidRPr="00A1696A">
        <w:rPr>
          <w:rFonts w:ascii="Times New Roman" w:hAnsi="Times New Roman" w:cs="Times New Roman"/>
          <w:sz w:val="24"/>
          <w:szCs w:val="24"/>
        </w:rPr>
        <w:t xml:space="preserve"> по-горе допускането на база разпределението на </w:t>
      </w:r>
      <w:r w:rsidRPr="00A1696A">
        <w:rPr>
          <w:rFonts w:ascii="Times New Roman" w:hAnsi="Times New Roman" w:cs="Times New Roman"/>
          <w:i/>
          <w:sz w:val="24"/>
          <w:szCs w:val="24"/>
        </w:rPr>
        <w:t>n</w:t>
      </w:r>
      <w:r w:rsidRPr="00A1696A">
        <w:rPr>
          <w:rFonts w:ascii="Times New Roman" w:hAnsi="Times New Roman" w:cs="Times New Roman"/>
          <w:sz w:val="24"/>
          <w:szCs w:val="24"/>
        </w:rPr>
        <w:t xml:space="preserve">-алканите, а именно за смесен произход на ОВ т.е. морска и сухоземна растителност, с различни пропорции в зависимост от дълбочината. </w:t>
      </w:r>
      <w:r w:rsidR="00513A69" w:rsidRPr="00A1696A">
        <w:rPr>
          <w:rFonts w:ascii="Times New Roman" w:hAnsi="Times New Roman" w:cs="Times New Roman"/>
          <w:sz w:val="24"/>
          <w:szCs w:val="24"/>
        </w:rPr>
        <w:t>За оценка преобразуваността на ОВ на базата на данните за регулярните стерани е изчислен биомаркерния коефициент К</w:t>
      </w:r>
      <w:r w:rsidR="00513A69" w:rsidRPr="00A1696A">
        <w:rPr>
          <w:rFonts w:ascii="Times New Roman" w:hAnsi="Times New Roman" w:cs="Times New Roman"/>
          <w:sz w:val="24"/>
          <w:szCs w:val="24"/>
          <w:vertAlign w:val="subscript"/>
        </w:rPr>
        <w:t>зрялост</w:t>
      </w:r>
      <w:r w:rsidR="00513A69" w:rsidRPr="00A1696A">
        <w:rPr>
          <w:rFonts w:ascii="Times New Roman" w:hAnsi="Times New Roman" w:cs="Times New Roman"/>
          <w:sz w:val="24"/>
          <w:szCs w:val="24"/>
        </w:rPr>
        <w:t xml:space="preserve"> - 20S/(20S+20R) (табл.</w:t>
      </w:r>
      <w:r w:rsidR="00367986" w:rsidRPr="00A1696A">
        <w:rPr>
          <w:rFonts w:ascii="Times New Roman" w:hAnsi="Times New Roman" w:cs="Times New Roman"/>
          <w:sz w:val="24"/>
          <w:szCs w:val="24"/>
        </w:rPr>
        <w:t xml:space="preserve"> </w:t>
      </w:r>
      <w:r w:rsidR="00251325" w:rsidRPr="00A1696A">
        <w:rPr>
          <w:rFonts w:ascii="Times New Roman" w:hAnsi="Times New Roman" w:cs="Times New Roman"/>
          <w:sz w:val="24"/>
          <w:szCs w:val="24"/>
        </w:rPr>
        <w:t>3</w:t>
      </w:r>
      <w:r w:rsidR="00513A69" w:rsidRPr="00A1696A">
        <w:rPr>
          <w:rFonts w:ascii="Times New Roman" w:hAnsi="Times New Roman" w:cs="Times New Roman"/>
          <w:sz w:val="24"/>
          <w:szCs w:val="24"/>
        </w:rPr>
        <w:t>).</w:t>
      </w:r>
      <w:r w:rsidR="00251325" w:rsidRPr="00A1696A">
        <w:rPr>
          <w:rFonts w:ascii="Times New Roman" w:hAnsi="Times New Roman" w:cs="Times New Roman"/>
          <w:sz w:val="24"/>
          <w:szCs w:val="24"/>
        </w:rPr>
        <w:t xml:space="preserve"> </w:t>
      </w:r>
      <w:r w:rsidR="00513A69" w:rsidRPr="00A1696A">
        <w:rPr>
          <w:rFonts w:ascii="Times New Roman" w:hAnsi="Times New Roman" w:cs="Times New Roman"/>
          <w:sz w:val="24"/>
          <w:szCs w:val="24"/>
        </w:rPr>
        <w:t xml:space="preserve">Изчислените стойности </w:t>
      </w:r>
      <w:r w:rsidR="00251325" w:rsidRPr="00A1696A">
        <w:rPr>
          <w:rFonts w:ascii="Times New Roman" w:hAnsi="Times New Roman" w:cs="Times New Roman"/>
          <w:sz w:val="24"/>
          <w:szCs w:val="24"/>
        </w:rPr>
        <w:t>н</w:t>
      </w:r>
      <w:r w:rsidR="00513A69" w:rsidRPr="00A1696A">
        <w:rPr>
          <w:rFonts w:ascii="Times New Roman" w:hAnsi="Times New Roman" w:cs="Times New Roman"/>
          <w:sz w:val="24"/>
          <w:szCs w:val="24"/>
        </w:rPr>
        <w:t>а това отношение</w:t>
      </w:r>
      <w:r w:rsidR="00251325" w:rsidRPr="00A1696A">
        <w:rPr>
          <w:rFonts w:ascii="Times New Roman" w:hAnsi="Times New Roman" w:cs="Times New Roman"/>
          <w:sz w:val="24"/>
          <w:szCs w:val="24"/>
        </w:rPr>
        <w:t xml:space="preserve"> за αα-стеран С</w:t>
      </w:r>
      <w:r w:rsidR="00251325" w:rsidRPr="00A1696A">
        <w:rPr>
          <w:rFonts w:ascii="Times New Roman" w:hAnsi="Times New Roman" w:cs="Times New Roman"/>
          <w:sz w:val="24"/>
          <w:szCs w:val="24"/>
          <w:vertAlign w:val="subscript"/>
        </w:rPr>
        <w:t>29</w:t>
      </w:r>
      <w:r w:rsidR="00513A69" w:rsidRPr="00A1696A">
        <w:rPr>
          <w:rFonts w:ascii="Times New Roman" w:hAnsi="Times New Roman" w:cs="Times New Roman"/>
          <w:sz w:val="24"/>
          <w:szCs w:val="24"/>
        </w:rPr>
        <w:t xml:space="preserve"> са много ниски, а в някои проби епимера 20S липсва, което се отразява директно на отношението С</w:t>
      </w:r>
      <w:r w:rsidR="00513A69" w:rsidRPr="00A1696A">
        <w:rPr>
          <w:rFonts w:ascii="Times New Roman" w:hAnsi="Times New Roman" w:cs="Times New Roman"/>
          <w:sz w:val="24"/>
          <w:szCs w:val="24"/>
          <w:vertAlign w:val="subscript"/>
        </w:rPr>
        <w:t>29</w:t>
      </w:r>
      <w:r w:rsidR="00513A69" w:rsidRPr="00A1696A">
        <w:rPr>
          <w:rFonts w:ascii="Times New Roman" w:hAnsi="Times New Roman" w:cs="Times New Roman"/>
          <w:sz w:val="24"/>
          <w:szCs w:val="24"/>
        </w:rPr>
        <w:t xml:space="preserve">20S/(20S+20R) и то е равно на 0. С удълбочаване на пробата се </w:t>
      </w:r>
      <w:r w:rsidR="00DB4B01" w:rsidRPr="00A1696A">
        <w:rPr>
          <w:rFonts w:ascii="Times New Roman" w:hAnsi="Times New Roman" w:cs="Times New Roman"/>
          <w:sz w:val="24"/>
          <w:szCs w:val="24"/>
        </w:rPr>
        <w:t>образува</w:t>
      </w:r>
      <w:r w:rsidR="00513A69" w:rsidRPr="00A1696A">
        <w:rPr>
          <w:rFonts w:ascii="Times New Roman" w:hAnsi="Times New Roman" w:cs="Times New Roman"/>
          <w:sz w:val="24"/>
          <w:szCs w:val="24"/>
        </w:rPr>
        <w:t xml:space="preserve"> епимера 20S и отношението достига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34. Стойностите на пробите от разкрития и на „свързаните“ битумоиди също са ниски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07 –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 xml:space="preserve">21) и отново се потвърждава незрелостта на ОВ, </w:t>
      </w:r>
      <w:r w:rsidR="0007130C" w:rsidRPr="00A1696A">
        <w:rPr>
          <w:rFonts w:ascii="Times New Roman" w:hAnsi="Times New Roman" w:cs="Times New Roman"/>
          <w:sz w:val="24"/>
          <w:szCs w:val="24"/>
        </w:rPr>
        <w:t>тъй като при стойности между</w:t>
      </w:r>
      <w:r w:rsidR="00513A69" w:rsidRPr="00A1696A">
        <w:rPr>
          <w:rFonts w:ascii="Times New Roman" w:hAnsi="Times New Roman" w:cs="Times New Roman"/>
          <w:sz w:val="24"/>
          <w:szCs w:val="24"/>
        </w:rPr>
        <w:t xml:space="preserve"> 43-55% </w:t>
      </w:r>
      <w:r w:rsidR="00251325" w:rsidRPr="00A1696A">
        <w:rPr>
          <w:rFonts w:ascii="Times New Roman" w:hAnsi="Times New Roman" w:cs="Times New Roman"/>
          <w:sz w:val="24"/>
          <w:szCs w:val="24"/>
        </w:rPr>
        <w:t xml:space="preserve">се </w:t>
      </w:r>
      <w:r w:rsidR="00513A69" w:rsidRPr="00A1696A">
        <w:rPr>
          <w:rFonts w:ascii="Times New Roman" w:hAnsi="Times New Roman" w:cs="Times New Roman"/>
          <w:sz w:val="24"/>
          <w:szCs w:val="24"/>
        </w:rPr>
        <w:t xml:space="preserve">навлиза в нефтения прозорец (Waples </w:t>
      </w:r>
      <w:r w:rsidR="00367986" w:rsidRPr="00A1696A">
        <w:rPr>
          <w:rFonts w:ascii="Times New Roman" w:hAnsi="Times New Roman" w:cs="Times New Roman"/>
          <w:sz w:val="24"/>
          <w:szCs w:val="24"/>
        </w:rPr>
        <w:t>and</w:t>
      </w:r>
      <w:r w:rsidR="00513A69" w:rsidRPr="00A1696A">
        <w:rPr>
          <w:rFonts w:ascii="Times New Roman" w:hAnsi="Times New Roman" w:cs="Times New Roman"/>
          <w:sz w:val="24"/>
          <w:szCs w:val="24"/>
        </w:rPr>
        <w:t xml:space="preserve"> Machihara, 1991). Наблюдава се и характерно изменение на стойностите на отношението C</w:t>
      </w:r>
      <w:r w:rsidR="00513A69" w:rsidRPr="00A1696A">
        <w:rPr>
          <w:rFonts w:ascii="Times New Roman" w:hAnsi="Times New Roman" w:cs="Times New Roman"/>
          <w:sz w:val="24"/>
          <w:szCs w:val="24"/>
          <w:vertAlign w:val="subscript"/>
        </w:rPr>
        <w:t>29</w:t>
      </w:r>
      <w:r w:rsidR="00513A69" w:rsidRPr="00A1696A">
        <w:rPr>
          <w:rFonts w:ascii="Times New Roman" w:hAnsi="Times New Roman" w:cs="Times New Roman"/>
          <w:sz w:val="24"/>
          <w:szCs w:val="24"/>
        </w:rPr>
        <w:t xml:space="preserve"> ββ/(αα+ββ) спрямо дълбочината. </w:t>
      </w:r>
      <w:r w:rsidR="0007130C" w:rsidRPr="00A1696A">
        <w:rPr>
          <w:rFonts w:ascii="Times New Roman" w:hAnsi="Times New Roman" w:cs="Times New Roman"/>
          <w:sz w:val="24"/>
          <w:szCs w:val="24"/>
        </w:rPr>
        <w:t>Те</w:t>
      </w:r>
      <w:r w:rsidR="00513A69" w:rsidRPr="00A1696A">
        <w:rPr>
          <w:rFonts w:ascii="Times New Roman" w:hAnsi="Times New Roman" w:cs="Times New Roman"/>
          <w:sz w:val="24"/>
          <w:szCs w:val="24"/>
        </w:rPr>
        <w:t xml:space="preserve"> варират в диапазона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3-0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5 (табл.</w:t>
      </w:r>
      <w:r w:rsidR="00367986" w:rsidRPr="00A1696A">
        <w:rPr>
          <w:rFonts w:ascii="Times New Roman" w:hAnsi="Times New Roman" w:cs="Times New Roman"/>
          <w:sz w:val="24"/>
          <w:szCs w:val="24"/>
        </w:rPr>
        <w:t xml:space="preserve"> </w:t>
      </w:r>
      <w:r w:rsidR="00251325" w:rsidRPr="00A1696A">
        <w:rPr>
          <w:rFonts w:ascii="Times New Roman" w:hAnsi="Times New Roman" w:cs="Times New Roman"/>
          <w:sz w:val="24"/>
          <w:szCs w:val="24"/>
        </w:rPr>
        <w:t>3</w:t>
      </w:r>
      <w:r w:rsidR="00513A69" w:rsidRPr="00A1696A">
        <w:rPr>
          <w:rFonts w:ascii="Times New Roman" w:hAnsi="Times New Roman" w:cs="Times New Roman"/>
          <w:sz w:val="24"/>
          <w:szCs w:val="24"/>
        </w:rPr>
        <w:t xml:space="preserve">), </w:t>
      </w:r>
      <w:r w:rsidR="00251325" w:rsidRPr="00A1696A">
        <w:rPr>
          <w:rFonts w:ascii="Times New Roman" w:hAnsi="Times New Roman" w:cs="Times New Roman"/>
          <w:sz w:val="24"/>
          <w:szCs w:val="24"/>
        </w:rPr>
        <w:t>к</w:t>
      </w:r>
      <w:r w:rsidR="00513A69" w:rsidRPr="00A1696A">
        <w:rPr>
          <w:rFonts w:ascii="Times New Roman" w:hAnsi="Times New Roman" w:cs="Times New Roman"/>
          <w:sz w:val="24"/>
          <w:szCs w:val="24"/>
        </w:rPr>
        <w:t>а</w:t>
      </w:r>
      <w:r w:rsidR="00251325" w:rsidRPr="00A1696A">
        <w:rPr>
          <w:rFonts w:ascii="Times New Roman" w:hAnsi="Times New Roman" w:cs="Times New Roman"/>
          <w:sz w:val="24"/>
          <w:szCs w:val="24"/>
        </w:rPr>
        <w:t>то</w:t>
      </w:r>
      <w:r w:rsidR="00513A69" w:rsidRPr="00A1696A">
        <w:rPr>
          <w:rFonts w:ascii="Times New Roman" w:hAnsi="Times New Roman" w:cs="Times New Roman"/>
          <w:sz w:val="24"/>
          <w:szCs w:val="24"/>
        </w:rPr>
        <w:t xml:space="preserve"> за пробите от сондажна ядка растат с дълбочината, което е доказателство за прогрес в съзряването.</w:t>
      </w:r>
      <w:r w:rsidR="00251325" w:rsidRPr="00A1696A">
        <w:rPr>
          <w:rFonts w:ascii="Times New Roman" w:hAnsi="Times New Roman" w:cs="Times New Roman"/>
          <w:sz w:val="24"/>
          <w:szCs w:val="24"/>
        </w:rPr>
        <w:t xml:space="preserve"> Известно е</w:t>
      </w:r>
      <w:bookmarkStart w:id="97" w:name="_Hlk534452963"/>
      <w:r w:rsidR="00251325" w:rsidRPr="00A1696A">
        <w:rPr>
          <w:rFonts w:ascii="Times New Roman" w:hAnsi="Times New Roman" w:cs="Times New Roman"/>
          <w:sz w:val="24"/>
          <w:szCs w:val="24"/>
        </w:rPr>
        <w:t xml:space="preserve"> (Peters and Moldowan, 1993)</w:t>
      </w:r>
      <w:bookmarkEnd w:id="97"/>
      <w:r w:rsidR="00513A69" w:rsidRPr="00A1696A">
        <w:rPr>
          <w:rFonts w:ascii="Times New Roman" w:hAnsi="Times New Roman" w:cs="Times New Roman"/>
          <w:sz w:val="24"/>
          <w:szCs w:val="24"/>
        </w:rPr>
        <w:t xml:space="preserve">, че съзряването, окислителната среда и каталитичната роля на глините благоприятстват пренареждането на стераните с образуване на диастерани. За изследваните образци от сондажна ядка </w:t>
      </w:r>
      <w:r w:rsidR="0007130C" w:rsidRPr="00A1696A">
        <w:rPr>
          <w:rFonts w:ascii="Times New Roman" w:hAnsi="Times New Roman" w:cs="Times New Roman"/>
          <w:sz w:val="24"/>
          <w:szCs w:val="24"/>
        </w:rPr>
        <w:t>в</w:t>
      </w:r>
      <w:r w:rsidR="00513A69" w:rsidRPr="00A1696A">
        <w:rPr>
          <w:rFonts w:ascii="Times New Roman" w:hAnsi="Times New Roman" w:cs="Times New Roman"/>
          <w:sz w:val="24"/>
          <w:szCs w:val="24"/>
        </w:rPr>
        <w:t xml:space="preserve"> </w:t>
      </w:r>
      <w:r w:rsidR="0007130C" w:rsidRPr="00A1696A">
        <w:rPr>
          <w:rFonts w:ascii="Times New Roman" w:hAnsi="Times New Roman" w:cs="Times New Roman"/>
          <w:sz w:val="24"/>
          <w:szCs w:val="24"/>
        </w:rPr>
        <w:t xml:space="preserve">сондаж </w:t>
      </w:r>
      <w:r w:rsidR="00513A69" w:rsidRPr="00A1696A">
        <w:rPr>
          <w:rFonts w:ascii="Times New Roman" w:hAnsi="Times New Roman" w:cs="Times New Roman"/>
          <w:sz w:val="24"/>
          <w:szCs w:val="24"/>
        </w:rPr>
        <w:t>Р-1 Свиленград са изчислени съотношенията диа</w:t>
      </w:r>
      <w:r w:rsidR="00F70026" w:rsidRPr="00A1696A">
        <w:rPr>
          <w:rFonts w:ascii="Times New Roman" w:hAnsi="Times New Roman" w:cs="Times New Roman"/>
          <w:sz w:val="24"/>
          <w:szCs w:val="24"/>
        </w:rPr>
        <w:t>с</w:t>
      </w:r>
      <w:r w:rsidR="00513A69" w:rsidRPr="00A1696A">
        <w:rPr>
          <w:rFonts w:ascii="Times New Roman" w:hAnsi="Times New Roman" w:cs="Times New Roman"/>
          <w:sz w:val="24"/>
          <w:szCs w:val="24"/>
        </w:rPr>
        <w:t xml:space="preserve">терани/регулярни стерани (табл. </w:t>
      </w:r>
      <w:r w:rsidR="00251325" w:rsidRPr="00A1696A">
        <w:rPr>
          <w:rFonts w:ascii="Times New Roman" w:hAnsi="Times New Roman" w:cs="Times New Roman"/>
          <w:sz w:val="24"/>
          <w:szCs w:val="24"/>
        </w:rPr>
        <w:t>3</w:t>
      </w:r>
      <w:r w:rsidR="00513A69" w:rsidRPr="00A1696A">
        <w:rPr>
          <w:rFonts w:ascii="Times New Roman" w:hAnsi="Times New Roman" w:cs="Times New Roman"/>
          <w:sz w:val="24"/>
          <w:szCs w:val="24"/>
        </w:rPr>
        <w:t>), като стойностите са в интервала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4 –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5 и растат с дълбочината до ~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9, паралелно със съзряването.</w:t>
      </w:r>
      <w:r w:rsidR="004D45E8" w:rsidRPr="00A1696A">
        <w:rPr>
          <w:rFonts w:ascii="Times New Roman" w:hAnsi="Times New Roman" w:cs="Times New Roman"/>
          <w:sz w:val="24"/>
          <w:szCs w:val="24"/>
        </w:rPr>
        <w:t xml:space="preserve"> Освен това се наблюдава и по-голямото им съдържание в образците от глинесто-мергелната задруга</w:t>
      </w:r>
      <w:r w:rsidR="00E06AEE" w:rsidRPr="00A1696A">
        <w:rPr>
          <w:rFonts w:ascii="Times New Roman" w:hAnsi="Times New Roman" w:cs="Times New Roman"/>
          <w:sz w:val="24"/>
          <w:szCs w:val="24"/>
        </w:rPr>
        <w:t xml:space="preserve"> в сравнение с пробата от теригенно-варовико-мергелната задруга. Това може да се дължи на каталитичното дейстие на глините, което провокира формирането им в теригенните скали</w:t>
      </w:r>
      <w:r w:rsidR="000B0EEB" w:rsidRPr="00A1696A">
        <w:rPr>
          <w:rFonts w:ascii="Times New Roman" w:hAnsi="Times New Roman" w:cs="Times New Roman"/>
          <w:sz w:val="24"/>
          <w:szCs w:val="24"/>
        </w:rPr>
        <w:t>, за сметка на присъствието им в карбонатните скали.</w:t>
      </w:r>
    </w:p>
    <w:bookmarkEnd w:id="95"/>
    <w:p w14:paraId="049FCAFF" w14:textId="77777777" w:rsidR="00513A69" w:rsidRPr="00A1696A" w:rsidRDefault="00513A69" w:rsidP="006B6EBF">
      <w:pPr>
        <w:spacing w:after="0" w:line="240" w:lineRule="auto"/>
        <w:jc w:val="both"/>
        <w:rPr>
          <w:rFonts w:ascii="Times New Roman" w:hAnsi="Times New Roman" w:cs="Times New Roman"/>
          <w:sz w:val="24"/>
          <w:szCs w:val="24"/>
        </w:rPr>
      </w:pPr>
    </w:p>
    <w:bookmarkEnd w:id="96"/>
    <w:p w14:paraId="013B5D46" w14:textId="77777777" w:rsidR="00513A69" w:rsidRPr="00A1696A" w:rsidRDefault="00513A69" w:rsidP="001D3ADD">
      <w:pPr>
        <w:numPr>
          <w:ilvl w:val="0"/>
          <w:numId w:val="6"/>
        </w:numPr>
        <w:autoSpaceDE w:val="0"/>
        <w:autoSpaceDN w:val="0"/>
        <w:adjustRightInd w:val="0"/>
        <w:spacing w:after="0" w:line="240" w:lineRule="auto"/>
        <w:jc w:val="both"/>
        <w:rPr>
          <w:rFonts w:ascii="Times New Roman" w:hAnsi="Times New Roman" w:cs="Times New Roman"/>
          <w:b/>
          <w:sz w:val="24"/>
          <w:szCs w:val="24"/>
        </w:rPr>
      </w:pPr>
      <w:r w:rsidRPr="00A1696A">
        <w:rPr>
          <w:rFonts w:ascii="Times New Roman" w:hAnsi="Times New Roman" w:cs="Times New Roman"/>
          <w:b/>
          <w:sz w:val="24"/>
          <w:szCs w:val="24"/>
        </w:rPr>
        <w:t>Тритерпеноиди</w:t>
      </w:r>
    </w:p>
    <w:p w14:paraId="3F501D00" w14:textId="10AA9AE3" w:rsidR="00944F6E" w:rsidRDefault="00513A69" w:rsidP="00C20A28">
      <w:pPr>
        <w:spacing w:after="0" w:line="240" w:lineRule="auto"/>
        <w:ind w:firstLine="708"/>
        <w:jc w:val="both"/>
        <w:rPr>
          <w:rFonts w:ascii="Times New Roman" w:hAnsi="Times New Roman" w:cs="Times New Roman"/>
          <w:sz w:val="24"/>
          <w:szCs w:val="24"/>
        </w:rPr>
      </w:pPr>
      <w:bookmarkStart w:id="98" w:name="_Hlk7814778"/>
      <w:r w:rsidRPr="00A1696A">
        <w:rPr>
          <w:rFonts w:ascii="Times New Roman" w:hAnsi="Times New Roman" w:cs="Times New Roman"/>
          <w:sz w:val="24"/>
          <w:szCs w:val="24"/>
        </w:rPr>
        <w:t xml:space="preserve">В изследваните образци </w:t>
      </w:r>
      <w:r w:rsidR="00C20A28" w:rsidRPr="00A1696A">
        <w:rPr>
          <w:rFonts w:ascii="Times New Roman" w:hAnsi="Times New Roman" w:cs="Times New Roman"/>
          <w:sz w:val="24"/>
          <w:szCs w:val="24"/>
        </w:rPr>
        <w:t>от</w:t>
      </w:r>
      <w:r w:rsidRPr="00A1696A">
        <w:rPr>
          <w:rFonts w:ascii="Times New Roman" w:hAnsi="Times New Roman" w:cs="Times New Roman"/>
          <w:sz w:val="24"/>
          <w:szCs w:val="24"/>
        </w:rPr>
        <w:t xml:space="preserve"> сондажна ядка </w:t>
      </w:r>
      <w:r w:rsidR="0007130C" w:rsidRPr="00A1696A">
        <w:rPr>
          <w:rFonts w:ascii="Times New Roman" w:hAnsi="Times New Roman" w:cs="Times New Roman"/>
          <w:sz w:val="24"/>
          <w:szCs w:val="24"/>
        </w:rPr>
        <w:t>в сондаж</w:t>
      </w:r>
      <w:r w:rsidRPr="00A1696A">
        <w:rPr>
          <w:rFonts w:ascii="Times New Roman" w:hAnsi="Times New Roman" w:cs="Times New Roman"/>
          <w:sz w:val="24"/>
          <w:szCs w:val="24"/>
        </w:rPr>
        <w:t xml:space="preserve"> Р-1 Свиленград тритерпеноидите от хопанов тип са проследени чрез характерния за тях фрагмент </w:t>
      </w:r>
      <w:r w:rsidRPr="00A1696A">
        <w:rPr>
          <w:rFonts w:ascii="Times New Roman" w:hAnsi="Times New Roman" w:cs="Times New Roman"/>
          <w:i/>
          <w:sz w:val="24"/>
          <w:szCs w:val="24"/>
        </w:rPr>
        <w:t>m/z</w:t>
      </w:r>
      <w:r w:rsidRPr="00A1696A">
        <w:rPr>
          <w:rFonts w:ascii="Times New Roman" w:hAnsi="Times New Roman" w:cs="Times New Roman"/>
          <w:sz w:val="24"/>
          <w:szCs w:val="24"/>
        </w:rPr>
        <w:t xml:space="preserve"> 191 (фиг. </w:t>
      </w:r>
      <w:r w:rsidR="00E256CA">
        <w:rPr>
          <w:rFonts w:ascii="Times New Roman" w:hAnsi="Times New Roman" w:cs="Times New Roman"/>
          <w:sz w:val="24"/>
          <w:szCs w:val="24"/>
          <w:lang w:val="en-US"/>
        </w:rPr>
        <w:t>24</w:t>
      </w:r>
      <w:r w:rsidRPr="00A1696A">
        <w:rPr>
          <w:rFonts w:ascii="Times New Roman" w:hAnsi="Times New Roman" w:cs="Times New Roman"/>
          <w:sz w:val="24"/>
          <w:szCs w:val="24"/>
        </w:rPr>
        <w:t xml:space="preserve">). </w:t>
      </w:r>
    </w:p>
    <w:p w14:paraId="7C049E53" w14:textId="77777777" w:rsidR="00944F6E" w:rsidRDefault="00944F6E" w:rsidP="00C20A28">
      <w:pPr>
        <w:spacing w:after="0" w:line="240" w:lineRule="auto"/>
        <w:ind w:firstLine="708"/>
        <w:jc w:val="both"/>
        <w:rPr>
          <w:rFonts w:ascii="Times New Roman" w:hAnsi="Times New Roman" w:cs="Times New Roman"/>
          <w:sz w:val="24"/>
          <w:szCs w:val="24"/>
        </w:rPr>
      </w:pPr>
    </w:p>
    <w:p w14:paraId="7611B4D1" w14:textId="77777777" w:rsidR="00944F6E" w:rsidRPr="00A1696A" w:rsidRDefault="00944F6E" w:rsidP="00944F6E">
      <w:pPr>
        <w:spacing w:after="0" w:line="240" w:lineRule="auto"/>
        <w:jc w:val="center"/>
        <w:rPr>
          <w:rFonts w:ascii="Times New Roman" w:hAnsi="Times New Roman" w:cs="Times New Roman"/>
          <w:i/>
          <w:sz w:val="24"/>
          <w:szCs w:val="24"/>
        </w:rPr>
      </w:pPr>
      <w:r w:rsidRPr="00A1696A">
        <w:rPr>
          <w:rFonts w:ascii="Times New Roman" w:hAnsi="Times New Roman" w:cs="Times New Roman"/>
          <w:i/>
          <w:noProof/>
          <w:sz w:val="24"/>
          <w:szCs w:val="24"/>
          <w:lang w:eastAsia="bg-BG"/>
        </w:rPr>
        <w:drawing>
          <wp:inline distT="0" distB="0" distL="0" distR="0" wp14:anchorId="1E4A76F2" wp14:editId="29C1F396">
            <wp:extent cx="6122546" cy="3964474"/>
            <wp:effectExtent l="19050" t="19050" r="12065" b="17145"/>
            <wp:docPr id="4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24833" t="20513" r="27489" b="24607"/>
                    <a:stretch>
                      <a:fillRect/>
                    </a:stretch>
                  </pic:blipFill>
                  <pic:spPr bwMode="auto">
                    <a:xfrm>
                      <a:off x="0" y="0"/>
                      <a:ext cx="6197792" cy="4013198"/>
                    </a:xfrm>
                    <a:prstGeom prst="rect">
                      <a:avLst/>
                    </a:prstGeom>
                    <a:noFill/>
                    <a:ln w="12700">
                      <a:solidFill>
                        <a:schemeClr val="bg2">
                          <a:lumMod val="50000"/>
                        </a:schemeClr>
                      </a:solidFill>
                      <a:miter lim="800000"/>
                      <a:headEnd/>
                      <a:tailEnd/>
                    </a:ln>
                  </pic:spPr>
                </pic:pic>
              </a:graphicData>
            </a:graphic>
          </wp:inline>
        </w:drawing>
      </w:r>
    </w:p>
    <w:p w14:paraId="2052A9D8" w14:textId="77777777" w:rsidR="00944F6E" w:rsidRPr="00A1696A" w:rsidRDefault="00944F6E" w:rsidP="00944F6E">
      <w:pPr>
        <w:spacing w:after="0" w:line="240" w:lineRule="auto"/>
        <w:ind w:firstLine="709"/>
        <w:jc w:val="center"/>
        <w:rPr>
          <w:rFonts w:ascii="Times New Roman" w:hAnsi="Times New Roman" w:cs="Times New Roman"/>
          <w:i/>
          <w:sz w:val="24"/>
          <w:szCs w:val="24"/>
        </w:rPr>
      </w:pPr>
      <w:r w:rsidRPr="00A1696A">
        <w:rPr>
          <w:rFonts w:ascii="Times New Roman" w:hAnsi="Times New Roman" w:cs="Times New Roman"/>
          <w:i/>
          <w:sz w:val="24"/>
          <w:szCs w:val="24"/>
        </w:rPr>
        <w:t>Фиг.</w:t>
      </w:r>
      <w:r>
        <w:rPr>
          <w:rFonts w:ascii="Times New Roman" w:hAnsi="Times New Roman" w:cs="Times New Roman"/>
          <w:i/>
          <w:sz w:val="24"/>
          <w:szCs w:val="24"/>
          <w:lang w:val="en-US"/>
        </w:rPr>
        <w:t>24</w:t>
      </w:r>
      <w:r w:rsidRPr="00A1696A">
        <w:rPr>
          <w:rFonts w:ascii="Times New Roman" w:hAnsi="Times New Roman" w:cs="Times New Roman"/>
          <w:i/>
          <w:sz w:val="24"/>
          <w:szCs w:val="24"/>
        </w:rPr>
        <w:t>. Разпределение на хопани в образците по m/z 191</w:t>
      </w:r>
    </w:p>
    <w:p w14:paraId="54CDEA3E" w14:textId="77777777" w:rsidR="00944F6E" w:rsidRDefault="00944F6E" w:rsidP="00C20A28">
      <w:pPr>
        <w:spacing w:after="0" w:line="240" w:lineRule="auto"/>
        <w:ind w:firstLine="708"/>
        <w:jc w:val="both"/>
        <w:rPr>
          <w:rFonts w:ascii="Times New Roman" w:hAnsi="Times New Roman" w:cs="Times New Roman"/>
          <w:sz w:val="24"/>
          <w:szCs w:val="24"/>
        </w:rPr>
      </w:pPr>
    </w:p>
    <w:p w14:paraId="30ABC1EA" w14:textId="7F755F17" w:rsidR="00C20A28" w:rsidRPr="00A1696A" w:rsidRDefault="00756080" w:rsidP="00C20A28">
      <w:pPr>
        <w:spacing w:after="0" w:line="240" w:lineRule="auto"/>
        <w:ind w:firstLine="708"/>
        <w:jc w:val="both"/>
        <w:rPr>
          <w:rFonts w:ascii="Times New Roman" w:hAnsi="Times New Roman" w:cs="Times New Roman"/>
          <w:sz w:val="24"/>
          <w:szCs w:val="24"/>
        </w:rPr>
      </w:pPr>
      <w:r w:rsidRPr="00A1696A">
        <w:rPr>
          <w:rFonts w:ascii="Times New Roman" w:hAnsi="Times New Roman" w:cs="Times New Roman"/>
          <w:sz w:val="24"/>
          <w:szCs w:val="24"/>
        </w:rPr>
        <w:lastRenderedPageBreak/>
        <w:t>К</w:t>
      </w:r>
      <w:r w:rsidR="00513A69" w:rsidRPr="00A1696A">
        <w:rPr>
          <w:rFonts w:ascii="Times New Roman" w:hAnsi="Times New Roman" w:cs="Times New Roman"/>
          <w:sz w:val="24"/>
          <w:szCs w:val="24"/>
        </w:rPr>
        <w:t>ато се отчете разпределението на хопаните в изследваните образци, ОВ може да се определи като „незряло”. Общото относително съдържание на ββ хопани спрямо общото съдържание на хопани, т.е. отношението ββ/(αβ+βα+ββ) e в интервала 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20-0</w:t>
      </w:r>
      <w:r w:rsidR="00367986" w:rsidRPr="00A1696A">
        <w:rPr>
          <w:rFonts w:ascii="Times New Roman" w:hAnsi="Times New Roman" w:cs="Times New Roman"/>
          <w:sz w:val="24"/>
          <w:szCs w:val="24"/>
        </w:rPr>
        <w:t>,</w:t>
      </w:r>
      <w:r w:rsidR="00513A69" w:rsidRPr="00A1696A">
        <w:rPr>
          <w:rFonts w:ascii="Times New Roman" w:hAnsi="Times New Roman" w:cs="Times New Roman"/>
          <w:sz w:val="24"/>
          <w:szCs w:val="24"/>
        </w:rPr>
        <w:t>24</w:t>
      </w:r>
      <w:r w:rsidR="00357A48" w:rsidRPr="00A1696A">
        <w:rPr>
          <w:rFonts w:ascii="Times New Roman" w:hAnsi="Times New Roman" w:cs="Times New Roman"/>
          <w:sz w:val="24"/>
          <w:szCs w:val="24"/>
        </w:rPr>
        <w:t>. Това</w:t>
      </w:r>
      <w:r w:rsidR="00513A69" w:rsidRPr="00A1696A">
        <w:rPr>
          <w:rFonts w:ascii="Times New Roman" w:hAnsi="Times New Roman" w:cs="Times New Roman"/>
          <w:sz w:val="24"/>
          <w:szCs w:val="24"/>
        </w:rPr>
        <w:t xml:space="preserve"> означава, че близо една четвърт са „биохопани”, което</w:t>
      </w:r>
      <w:r w:rsidRPr="00A1696A">
        <w:rPr>
          <w:rFonts w:ascii="Times New Roman" w:hAnsi="Times New Roman" w:cs="Times New Roman"/>
          <w:sz w:val="24"/>
          <w:szCs w:val="24"/>
        </w:rPr>
        <w:t xml:space="preserve"> </w:t>
      </w:r>
      <w:r w:rsidR="00357A48" w:rsidRPr="00A1696A">
        <w:rPr>
          <w:rFonts w:ascii="Times New Roman" w:hAnsi="Times New Roman" w:cs="Times New Roman"/>
          <w:sz w:val="24"/>
          <w:szCs w:val="24"/>
        </w:rPr>
        <w:t xml:space="preserve">определя </w:t>
      </w:r>
      <w:r w:rsidRPr="00A1696A">
        <w:rPr>
          <w:rFonts w:ascii="Times New Roman" w:hAnsi="Times New Roman" w:cs="Times New Roman"/>
          <w:sz w:val="24"/>
          <w:szCs w:val="24"/>
        </w:rPr>
        <w:t>ОВ като „незряло”</w:t>
      </w:r>
      <w:r w:rsidR="00513A69" w:rsidRPr="00A1696A">
        <w:rPr>
          <w:rFonts w:ascii="Times New Roman" w:hAnsi="Times New Roman" w:cs="Times New Roman"/>
          <w:sz w:val="24"/>
          <w:szCs w:val="24"/>
        </w:rPr>
        <w:t xml:space="preserve">. </w:t>
      </w:r>
      <w:r w:rsidRPr="00A1696A">
        <w:rPr>
          <w:rFonts w:ascii="Times New Roman" w:hAnsi="Times New Roman" w:cs="Times New Roman"/>
          <w:sz w:val="24"/>
          <w:szCs w:val="24"/>
        </w:rPr>
        <w:t>Това</w:t>
      </w:r>
      <w:r w:rsidR="00513A69" w:rsidRPr="00A1696A">
        <w:rPr>
          <w:rFonts w:ascii="Times New Roman" w:hAnsi="Times New Roman" w:cs="Times New Roman"/>
          <w:sz w:val="24"/>
          <w:szCs w:val="24"/>
        </w:rPr>
        <w:t xml:space="preserve"> се потвърждава и от по-голямото съдържание на R стереоизомер в сравнение с S при 22 хирален въглероден атом.</w:t>
      </w:r>
      <w:r w:rsidR="00481384" w:rsidRPr="00A1696A">
        <w:rPr>
          <w:rFonts w:ascii="Times New Roman" w:hAnsi="Times New Roman" w:cs="Times New Roman"/>
          <w:sz w:val="24"/>
          <w:szCs w:val="24"/>
        </w:rPr>
        <w:t xml:space="preserve"> </w:t>
      </w:r>
      <w:r w:rsidR="004A002A" w:rsidRPr="00A1696A">
        <w:rPr>
          <w:rFonts w:ascii="Times New Roman" w:hAnsi="Times New Roman" w:cs="Times New Roman"/>
          <w:sz w:val="24"/>
          <w:szCs w:val="24"/>
        </w:rPr>
        <w:t>Отсъствието на биомаркера 17α(H)-28,30-bisnorhopane показва, че скалите са се отлагали в езерна среда при окислителни или преходни (sub-oxic) условия на образуване. Това допускане се противопоставя малко на дискутираните по-горе отношения Pr/Ph и C</w:t>
      </w:r>
      <w:r w:rsidR="004A002A" w:rsidRPr="00A1696A">
        <w:rPr>
          <w:rFonts w:ascii="Times New Roman" w:hAnsi="Times New Roman" w:cs="Times New Roman"/>
          <w:sz w:val="24"/>
          <w:szCs w:val="24"/>
          <w:vertAlign w:val="subscript"/>
        </w:rPr>
        <w:t>29</w:t>
      </w:r>
      <w:r w:rsidR="004A002A" w:rsidRPr="00A1696A">
        <w:rPr>
          <w:rFonts w:ascii="Times New Roman" w:hAnsi="Times New Roman" w:cs="Times New Roman"/>
          <w:sz w:val="24"/>
          <w:szCs w:val="24"/>
        </w:rPr>
        <w:t>/C</w:t>
      </w:r>
      <w:r w:rsidR="004A002A" w:rsidRPr="00A1696A">
        <w:rPr>
          <w:rFonts w:ascii="Times New Roman" w:hAnsi="Times New Roman" w:cs="Times New Roman"/>
          <w:sz w:val="24"/>
          <w:szCs w:val="24"/>
          <w:vertAlign w:val="subscript"/>
        </w:rPr>
        <w:t>27</w:t>
      </w:r>
      <w:r w:rsidR="004A002A" w:rsidRPr="00A1696A">
        <w:rPr>
          <w:rFonts w:ascii="Times New Roman" w:hAnsi="Times New Roman" w:cs="Times New Roman"/>
          <w:sz w:val="24"/>
          <w:szCs w:val="24"/>
        </w:rPr>
        <w:t xml:space="preserve">, където са определени редукционни условия на образуване. </w:t>
      </w:r>
      <w:r w:rsidR="00EC0DBE" w:rsidRPr="00A1696A">
        <w:rPr>
          <w:rFonts w:ascii="Times New Roman" w:hAnsi="Times New Roman" w:cs="Times New Roman"/>
          <w:sz w:val="24"/>
          <w:szCs w:val="24"/>
        </w:rPr>
        <w:t>Стойностите на отношението T</w:t>
      </w:r>
      <w:r w:rsidR="00EC0DBE" w:rsidRPr="00A1696A">
        <w:rPr>
          <w:rFonts w:ascii="Times New Roman" w:hAnsi="Times New Roman" w:cs="Times New Roman"/>
          <w:sz w:val="24"/>
          <w:szCs w:val="24"/>
          <w:vertAlign w:val="subscript"/>
        </w:rPr>
        <w:t>s</w:t>
      </w:r>
      <w:r w:rsidR="00EC0DBE" w:rsidRPr="00A1696A">
        <w:rPr>
          <w:rFonts w:ascii="Times New Roman" w:hAnsi="Times New Roman" w:cs="Times New Roman"/>
          <w:sz w:val="24"/>
          <w:szCs w:val="24"/>
        </w:rPr>
        <w:t>/(T</w:t>
      </w:r>
      <w:r w:rsidR="00EC0DBE" w:rsidRPr="00A1696A">
        <w:rPr>
          <w:rFonts w:ascii="Times New Roman" w:hAnsi="Times New Roman" w:cs="Times New Roman"/>
          <w:sz w:val="24"/>
          <w:szCs w:val="24"/>
          <w:vertAlign w:val="subscript"/>
        </w:rPr>
        <w:t>s</w:t>
      </w:r>
      <w:r w:rsidR="00EC0DBE" w:rsidRPr="00A1696A">
        <w:rPr>
          <w:rFonts w:ascii="Times New Roman" w:hAnsi="Times New Roman" w:cs="Times New Roman"/>
          <w:sz w:val="24"/>
          <w:szCs w:val="24"/>
        </w:rPr>
        <w:t>+T</w:t>
      </w:r>
      <w:r w:rsidR="00EC0DBE" w:rsidRPr="00A1696A">
        <w:rPr>
          <w:rFonts w:ascii="Times New Roman" w:hAnsi="Times New Roman" w:cs="Times New Roman"/>
          <w:sz w:val="24"/>
          <w:szCs w:val="24"/>
          <w:vertAlign w:val="subscript"/>
        </w:rPr>
        <w:t>m</w:t>
      </w:r>
      <w:r w:rsidR="00EC0DBE" w:rsidRPr="00A1696A">
        <w:rPr>
          <w:rFonts w:ascii="Times New Roman" w:hAnsi="Times New Roman" w:cs="Times New Roman"/>
          <w:sz w:val="24"/>
          <w:szCs w:val="24"/>
        </w:rPr>
        <w:t xml:space="preserve">) за изследваните проби от сондажна ядка (G1-G7) нараства паралелно с увеличаване на дълбочината на погребване (табл. 3 и фиг. </w:t>
      </w:r>
      <w:r w:rsidR="00E256CA">
        <w:rPr>
          <w:rFonts w:ascii="Times New Roman" w:hAnsi="Times New Roman" w:cs="Times New Roman"/>
          <w:sz w:val="24"/>
          <w:szCs w:val="24"/>
          <w:lang w:val="en-US"/>
        </w:rPr>
        <w:t>24</w:t>
      </w:r>
      <w:r w:rsidR="00EC0DBE" w:rsidRPr="00A1696A">
        <w:rPr>
          <w:rFonts w:ascii="Times New Roman" w:hAnsi="Times New Roman" w:cs="Times New Roman"/>
          <w:sz w:val="24"/>
          <w:szCs w:val="24"/>
        </w:rPr>
        <w:t>), което е указание за увеличаване на степента на преобразуваност. С увеличаване на дълбочината степента на съотношението на хопаните и хомохопановия индекс също се увеличава. Ясно се наблюдава връзката на отношението 22S/(22S+22R) за C</w:t>
      </w:r>
      <w:r w:rsidR="00EC0DBE" w:rsidRPr="00A1696A">
        <w:rPr>
          <w:rFonts w:ascii="Times New Roman" w:hAnsi="Times New Roman" w:cs="Times New Roman"/>
          <w:sz w:val="24"/>
          <w:szCs w:val="24"/>
          <w:vertAlign w:val="subscript"/>
        </w:rPr>
        <w:t>31</w:t>
      </w:r>
      <w:r w:rsidR="00EC0DBE" w:rsidRPr="00A1696A">
        <w:rPr>
          <w:rFonts w:ascii="Times New Roman" w:hAnsi="Times New Roman" w:cs="Times New Roman"/>
          <w:sz w:val="24"/>
          <w:szCs w:val="24"/>
        </w:rPr>
        <w:t>17α(H),21β(H)-хопан спрямо дълбочината, чийто стойности постепенно нарастват от 0,10 до 0,60, показвайки, че на дълбочина 1685,3 m равновесието на хопановия епимер е достигнато.</w:t>
      </w:r>
      <w:r w:rsidR="00C20A28" w:rsidRPr="00A1696A">
        <w:rPr>
          <w:rFonts w:ascii="Times New Roman" w:hAnsi="Times New Roman" w:cs="Times New Roman"/>
          <w:sz w:val="24"/>
          <w:szCs w:val="24"/>
        </w:rPr>
        <w:t xml:space="preserve"> В проба G5 са регистрирани пентациклични тритерпани от нехопанов тип - три изомера на мононенаситени олеанани и един диненаситен, в т.ч. олеан-18-ен, олеан-13/18/-ен, олеан-12-ен и олеан-11,13/18/-диен. Присъствието на тези съединения е доказателство за участие на теригенен материал при формиране на ОВ. </w:t>
      </w:r>
    </w:p>
    <w:p w14:paraId="483AF74A" w14:textId="583AC844" w:rsidR="00C20A28" w:rsidRDefault="00C20A28" w:rsidP="00C20A28">
      <w:pPr>
        <w:spacing w:after="0" w:line="240" w:lineRule="auto"/>
        <w:ind w:firstLine="708"/>
        <w:jc w:val="both"/>
        <w:rPr>
          <w:rFonts w:ascii="Times New Roman" w:hAnsi="Times New Roman" w:cs="Times New Roman"/>
          <w:sz w:val="24"/>
          <w:szCs w:val="24"/>
        </w:rPr>
      </w:pPr>
      <w:r w:rsidRPr="00A1696A">
        <w:rPr>
          <w:rFonts w:ascii="Times New Roman" w:hAnsi="Times New Roman" w:cs="Times New Roman"/>
          <w:sz w:val="24"/>
          <w:szCs w:val="24"/>
        </w:rPr>
        <w:t xml:space="preserve">За определяне степента на зрялост на керогена е използвано отношението стерани/тритерпани в диаграма (Peters and Moldowan, 1993), която показва, че болшинството проби попадат в зоната на незрял стадии (фиг. </w:t>
      </w:r>
      <w:r w:rsidR="00E256CA">
        <w:rPr>
          <w:rFonts w:ascii="Times New Roman" w:hAnsi="Times New Roman" w:cs="Times New Roman"/>
          <w:sz w:val="24"/>
          <w:szCs w:val="24"/>
          <w:lang w:val="en-US"/>
        </w:rPr>
        <w:t>25</w:t>
      </w:r>
      <w:r w:rsidRPr="00A1696A">
        <w:rPr>
          <w:rFonts w:ascii="Times New Roman" w:hAnsi="Times New Roman" w:cs="Times New Roman"/>
          <w:sz w:val="24"/>
          <w:szCs w:val="24"/>
        </w:rPr>
        <w:t>), а само проби G6 и G7 (най-дълбоко разположените образци) се характеризират с кероген в ранна зрялост, но нито една не попада в нефтения прозорец.</w:t>
      </w:r>
    </w:p>
    <w:p w14:paraId="6221CB1E" w14:textId="77777777" w:rsidR="00944F6E" w:rsidRPr="00A1696A" w:rsidRDefault="00944F6E" w:rsidP="00C20A28">
      <w:pPr>
        <w:spacing w:after="0" w:line="240" w:lineRule="auto"/>
        <w:ind w:firstLine="708"/>
        <w:jc w:val="both"/>
        <w:rPr>
          <w:rFonts w:ascii="Times New Roman" w:hAnsi="Times New Roman" w:cs="Times New Roman"/>
          <w:sz w:val="24"/>
          <w:szCs w:val="24"/>
        </w:rPr>
      </w:pPr>
    </w:p>
    <w:bookmarkEnd w:id="98"/>
    <w:p w14:paraId="358713BC" w14:textId="77777777" w:rsidR="00944F6E" w:rsidRPr="00A1696A" w:rsidRDefault="00944F6E" w:rsidP="00944F6E">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7AA7C3C4" wp14:editId="110E32AA">
            <wp:extent cx="5114322" cy="2891247"/>
            <wp:effectExtent l="19050" t="19050" r="10160" b="23495"/>
            <wp:docPr id="4120" name="Картина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7528" t="4472" r="4408" b="5904"/>
                    <a:stretch/>
                  </pic:blipFill>
                  <pic:spPr bwMode="auto">
                    <a:xfrm>
                      <a:off x="0" y="0"/>
                      <a:ext cx="5149636" cy="2911211"/>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14:paraId="1A0CDDDA" w14:textId="77777777" w:rsidR="00944F6E" w:rsidRPr="00A1696A" w:rsidRDefault="00944F6E" w:rsidP="00944F6E">
      <w:pPr>
        <w:spacing w:after="0" w:line="240" w:lineRule="auto"/>
        <w:ind w:firstLine="709"/>
        <w:jc w:val="center"/>
        <w:rPr>
          <w:rFonts w:ascii="Times New Roman" w:hAnsi="Times New Roman" w:cs="Times New Roman"/>
          <w:i/>
          <w:sz w:val="24"/>
          <w:szCs w:val="24"/>
        </w:rPr>
      </w:pPr>
      <w:r w:rsidRPr="00A1696A">
        <w:rPr>
          <w:rFonts w:ascii="Times New Roman" w:hAnsi="Times New Roman" w:cs="Times New Roman"/>
          <w:i/>
          <w:sz w:val="24"/>
          <w:szCs w:val="24"/>
        </w:rPr>
        <w:t>Фиг. 2</w:t>
      </w:r>
      <w:r>
        <w:rPr>
          <w:rFonts w:ascii="Times New Roman" w:hAnsi="Times New Roman" w:cs="Times New Roman"/>
          <w:i/>
          <w:sz w:val="24"/>
          <w:szCs w:val="24"/>
        </w:rPr>
        <w:t>5</w:t>
      </w:r>
      <w:r w:rsidRPr="00A1696A">
        <w:rPr>
          <w:rFonts w:ascii="Times New Roman" w:hAnsi="Times New Roman" w:cs="Times New Roman"/>
          <w:i/>
          <w:sz w:val="24"/>
          <w:szCs w:val="24"/>
        </w:rPr>
        <w:t>. Определяне на степента на зрялост на керогена чрез съпоставяне на съотношенията хомохопанов индекс към С</w:t>
      </w:r>
      <w:r w:rsidRPr="00A1696A">
        <w:rPr>
          <w:rFonts w:ascii="Times New Roman" w:hAnsi="Times New Roman" w:cs="Times New Roman"/>
          <w:i/>
          <w:sz w:val="24"/>
          <w:szCs w:val="24"/>
          <w:vertAlign w:val="subscript"/>
        </w:rPr>
        <w:t>29</w:t>
      </w:r>
      <w:r w:rsidRPr="00A1696A">
        <w:rPr>
          <w:rFonts w:ascii="Times New Roman" w:hAnsi="Times New Roman" w:cs="Times New Roman"/>
          <w:i/>
          <w:sz w:val="24"/>
          <w:szCs w:val="24"/>
        </w:rPr>
        <w:t xml:space="preserve"> S/(S+R)</w:t>
      </w:r>
    </w:p>
    <w:p w14:paraId="0DBA3B40" w14:textId="77777777" w:rsidR="00EC0DBE" w:rsidRPr="00A1696A" w:rsidRDefault="00EC0DBE" w:rsidP="006B6EBF">
      <w:pPr>
        <w:spacing w:after="0" w:line="240" w:lineRule="auto"/>
        <w:ind w:firstLine="708"/>
        <w:jc w:val="both"/>
        <w:rPr>
          <w:rFonts w:ascii="Times New Roman" w:hAnsi="Times New Roman" w:cs="Times New Roman"/>
          <w:sz w:val="24"/>
          <w:szCs w:val="24"/>
        </w:rPr>
      </w:pPr>
    </w:p>
    <w:p w14:paraId="0CC62DE1" w14:textId="77777777" w:rsidR="00C20A28" w:rsidRPr="00A1696A" w:rsidRDefault="00C20A28" w:rsidP="001D3ADD">
      <w:pPr>
        <w:numPr>
          <w:ilvl w:val="0"/>
          <w:numId w:val="6"/>
        </w:numPr>
        <w:autoSpaceDE w:val="0"/>
        <w:autoSpaceDN w:val="0"/>
        <w:adjustRightInd w:val="0"/>
        <w:spacing w:after="0" w:line="240" w:lineRule="auto"/>
        <w:jc w:val="both"/>
        <w:rPr>
          <w:rFonts w:ascii="Times New Roman" w:hAnsi="Times New Roman" w:cs="Times New Roman"/>
          <w:b/>
          <w:sz w:val="24"/>
          <w:szCs w:val="24"/>
        </w:rPr>
      </w:pPr>
      <w:r w:rsidRPr="00A1696A">
        <w:rPr>
          <w:rFonts w:ascii="Times New Roman" w:hAnsi="Times New Roman" w:cs="Times New Roman"/>
          <w:b/>
          <w:sz w:val="24"/>
          <w:szCs w:val="24"/>
        </w:rPr>
        <w:t>Ароматни съединения</w:t>
      </w:r>
    </w:p>
    <w:p w14:paraId="29DAD3BA" w14:textId="1808862A" w:rsidR="00C20A28" w:rsidRDefault="00C20A28" w:rsidP="00C20A28">
      <w:pPr>
        <w:spacing w:after="0" w:line="240" w:lineRule="auto"/>
        <w:ind w:firstLine="708"/>
        <w:jc w:val="both"/>
        <w:rPr>
          <w:rFonts w:ascii="Times New Roman" w:hAnsi="Times New Roman" w:cs="Times New Roman"/>
          <w:sz w:val="24"/>
          <w:szCs w:val="24"/>
        </w:rPr>
      </w:pPr>
      <w:bookmarkStart w:id="99" w:name="_Hlk7815524"/>
      <w:r w:rsidRPr="00A1696A">
        <w:rPr>
          <w:rFonts w:ascii="Times New Roman" w:hAnsi="Times New Roman" w:cs="Times New Roman"/>
          <w:sz w:val="24"/>
          <w:szCs w:val="24"/>
        </w:rPr>
        <w:t>Ароматни съединения са установени във вторите фракции от разделяне на битумоидите. В голямата си част те са продукти от диагенетична трансформация на тритерпеноиди. От тях с висока информативна стойност е триметилтетрахидрохризен, олеананов тип - М</w:t>
      </w:r>
      <w:r w:rsidRPr="00A1696A">
        <w:rPr>
          <w:rFonts w:ascii="Times New Roman" w:hAnsi="Times New Roman" w:cs="Times New Roman"/>
          <w:sz w:val="24"/>
          <w:szCs w:val="24"/>
          <w:vertAlign w:val="superscript"/>
        </w:rPr>
        <w:t>+</w:t>
      </w:r>
      <w:r w:rsidRPr="00A1696A">
        <w:rPr>
          <w:rFonts w:ascii="Times New Roman" w:hAnsi="Times New Roman" w:cs="Times New Roman"/>
          <w:sz w:val="24"/>
          <w:szCs w:val="24"/>
        </w:rPr>
        <w:t xml:space="preserve"> 274 и </w:t>
      </w:r>
      <w:r w:rsidRPr="00A1696A">
        <w:rPr>
          <w:rFonts w:ascii="Times New Roman" w:hAnsi="Times New Roman" w:cs="Times New Roman"/>
          <w:i/>
          <w:sz w:val="24"/>
          <w:szCs w:val="24"/>
        </w:rPr>
        <w:t>m/z</w:t>
      </w:r>
      <w:r w:rsidRPr="00A1696A">
        <w:rPr>
          <w:rFonts w:ascii="Times New Roman" w:hAnsi="Times New Roman" w:cs="Times New Roman"/>
          <w:sz w:val="24"/>
          <w:szCs w:val="24"/>
        </w:rPr>
        <w:t xml:space="preserve"> 218 (100%). Неговото количество е по-високо в сравнение с двойките лупанов и урсанов тип (М</w:t>
      </w:r>
      <w:r w:rsidRPr="00A1696A">
        <w:rPr>
          <w:rFonts w:ascii="Times New Roman" w:hAnsi="Times New Roman" w:cs="Times New Roman"/>
          <w:sz w:val="24"/>
          <w:szCs w:val="24"/>
          <w:vertAlign w:val="superscript"/>
        </w:rPr>
        <w:t>+</w:t>
      </w:r>
      <w:r w:rsidRPr="00A1696A">
        <w:rPr>
          <w:rFonts w:ascii="Times New Roman" w:hAnsi="Times New Roman" w:cs="Times New Roman"/>
          <w:sz w:val="24"/>
          <w:szCs w:val="24"/>
        </w:rPr>
        <w:t xml:space="preserve"> 274, </w:t>
      </w:r>
      <w:r w:rsidRPr="00A1696A">
        <w:rPr>
          <w:rFonts w:ascii="Times New Roman" w:hAnsi="Times New Roman" w:cs="Times New Roman"/>
          <w:i/>
          <w:sz w:val="24"/>
          <w:szCs w:val="24"/>
        </w:rPr>
        <w:t>m/z</w:t>
      </w:r>
      <w:r w:rsidRPr="00A1696A">
        <w:rPr>
          <w:rFonts w:ascii="Times New Roman" w:hAnsi="Times New Roman" w:cs="Times New Roman"/>
          <w:sz w:val="24"/>
          <w:szCs w:val="24"/>
        </w:rPr>
        <w:t xml:space="preserve"> 231 (100%) и М</w:t>
      </w:r>
      <w:r w:rsidRPr="00A1696A">
        <w:rPr>
          <w:rFonts w:ascii="Times New Roman" w:hAnsi="Times New Roman" w:cs="Times New Roman"/>
          <w:sz w:val="24"/>
          <w:szCs w:val="24"/>
          <w:vertAlign w:val="superscript"/>
        </w:rPr>
        <w:t>+</w:t>
      </w:r>
      <w:r w:rsidRPr="00A1696A">
        <w:rPr>
          <w:rFonts w:ascii="Times New Roman" w:hAnsi="Times New Roman" w:cs="Times New Roman"/>
          <w:sz w:val="24"/>
          <w:szCs w:val="24"/>
        </w:rPr>
        <w:t xml:space="preserve"> 274, </w:t>
      </w:r>
      <w:r w:rsidRPr="00A1696A">
        <w:rPr>
          <w:rFonts w:ascii="Times New Roman" w:hAnsi="Times New Roman" w:cs="Times New Roman"/>
          <w:i/>
          <w:sz w:val="24"/>
          <w:szCs w:val="24"/>
        </w:rPr>
        <w:t>m/z</w:t>
      </w:r>
      <w:r w:rsidRPr="00A1696A">
        <w:rPr>
          <w:rFonts w:ascii="Times New Roman" w:hAnsi="Times New Roman" w:cs="Times New Roman"/>
          <w:sz w:val="24"/>
          <w:szCs w:val="24"/>
        </w:rPr>
        <w:t xml:space="preserve"> 259 (100%)). Това свидетелства, че условията на образуване вероятно са били делтови, с каквито се свързва </w:t>
      </w:r>
      <w:r w:rsidRPr="00A1696A">
        <w:rPr>
          <w:rFonts w:ascii="Times New Roman" w:hAnsi="Times New Roman" w:cs="Times New Roman"/>
          <w:sz w:val="24"/>
          <w:szCs w:val="24"/>
        </w:rPr>
        <w:lastRenderedPageBreak/>
        <w:t>образуването на олеанан. Въпреки, че не бе възможно количественото определяне на висшите ароматни съединения поради тяхната ниска концентрация в пробите, бе пресметнат индекса определящ степента на зрялост, т.н. метилфенантренов индекс, MPI-3. Изчислените стойности за сондажните образци са в интервала 1,42 – 1,60, докато за образците от разкрития са в интервала 1,35 – 1,65. Не се наблюдава осезаемо изменение на този индекс с удълбочаване на пробите.</w:t>
      </w:r>
    </w:p>
    <w:p w14:paraId="674A2B1B" w14:textId="63FB4D0F" w:rsidR="009F1BAB" w:rsidRPr="00A1696A" w:rsidRDefault="009F1BAB" w:rsidP="009F1BAB">
      <w:pPr>
        <w:spacing w:after="0" w:line="240" w:lineRule="auto"/>
        <w:ind w:firstLine="709"/>
        <w:jc w:val="both"/>
        <w:rPr>
          <w:rFonts w:ascii="Times New Roman" w:hAnsi="Times New Roman" w:cs="Times New Roman"/>
          <w:i/>
          <w:sz w:val="24"/>
          <w:szCs w:val="24"/>
        </w:rPr>
      </w:pPr>
      <w:r w:rsidRPr="00A1696A">
        <w:rPr>
          <w:rFonts w:ascii="Times New Roman" w:hAnsi="Times New Roman" w:cs="Times New Roman"/>
          <w:i/>
          <w:sz w:val="24"/>
          <w:szCs w:val="24"/>
        </w:rPr>
        <w:t>При прогнозната оценка за генерационната способност на скалите са съпоставени данните, получени от двата различни подхода - чрез RockEval техниката и компонентния анализ на  битумоидите. Част от изследваните образци</w:t>
      </w:r>
      <w:r w:rsidR="00E86F06">
        <w:rPr>
          <w:rFonts w:ascii="Times New Roman" w:hAnsi="Times New Roman" w:cs="Times New Roman"/>
          <w:i/>
          <w:sz w:val="24"/>
          <w:szCs w:val="24"/>
        </w:rPr>
        <w:t>,</w:t>
      </w:r>
      <w:r w:rsidRPr="00A1696A">
        <w:rPr>
          <w:rFonts w:ascii="Times New Roman" w:hAnsi="Times New Roman" w:cs="Times New Roman"/>
          <w:i/>
          <w:sz w:val="24"/>
          <w:szCs w:val="24"/>
        </w:rPr>
        <w:t xml:space="preserve"> от сондажна ядка </w:t>
      </w:r>
      <w:r>
        <w:rPr>
          <w:rFonts w:ascii="Times New Roman" w:hAnsi="Times New Roman" w:cs="Times New Roman"/>
          <w:i/>
          <w:sz w:val="24"/>
          <w:szCs w:val="24"/>
        </w:rPr>
        <w:t>на глинесто-мергелната задруга</w:t>
      </w:r>
      <w:r w:rsidR="00E86F06">
        <w:rPr>
          <w:rFonts w:ascii="Times New Roman" w:hAnsi="Times New Roman" w:cs="Times New Roman"/>
          <w:i/>
          <w:sz w:val="24"/>
          <w:szCs w:val="24"/>
        </w:rPr>
        <w:t>,</w:t>
      </w:r>
      <w:r>
        <w:rPr>
          <w:rFonts w:ascii="Times New Roman" w:hAnsi="Times New Roman" w:cs="Times New Roman"/>
          <w:i/>
          <w:sz w:val="24"/>
          <w:szCs w:val="24"/>
        </w:rPr>
        <w:t xml:space="preserve"> </w:t>
      </w:r>
      <w:r w:rsidRPr="00A1696A">
        <w:rPr>
          <w:rFonts w:ascii="Times New Roman" w:hAnsi="Times New Roman" w:cs="Times New Roman"/>
          <w:i/>
          <w:sz w:val="24"/>
          <w:szCs w:val="24"/>
        </w:rPr>
        <w:t>показват средно до богато съдържание на ОВ</w:t>
      </w:r>
      <w:r>
        <w:rPr>
          <w:rFonts w:ascii="Times New Roman" w:hAnsi="Times New Roman" w:cs="Times New Roman"/>
          <w:i/>
          <w:sz w:val="24"/>
          <w:szCs w:val="24"/>
        </w:rPr>
        <w:t xml:space="preserve"> (1,28-2,31%)</w:t>
      </w:r>
      <w:r w:rsidRPr="00A1696A">
        <w:rPr>
          <w:rFonts w:ascii="Times New Roman" w:hAnsi="Times New Roman" w:cs="Times New Roman"/>
          <w:i/>
          <w:sz w:val="24"/>
          <w:szCs w:val="24"/>
        </w:rPr>
        <w:t>. По съдържание на ОВ, скалите могат да бъдат окачествени като скали с добър нефтогазогенерационен потенциал, като органичното вещество е от Тип ІІІ и с ниска степен на преобразуваност (Early mature). Получените резултати дават основание да се предполага, че потенциалните нефтогазогенериращи формации от седиментния комплекс в изучавания район биха могли да генерират биогенен газ. В случай, че в дълбоководната част на басейна скалните комплекси, аналогични на изследваните задруги са попаднали в  подходящите термобарични условия, то те биха могли да генерират термокаталитичен газ.</w:t>
      </w:r>
    </w:p>
    <w:bookmarkEnd w:id="99"/>
    <w:p w14:paraId="46009A47" w14:textId="77777777" w:rsidR="00852222" w:rsidRPr="00A1696A" w:rsidRDefault="00852222" w:rsidP="00756080">
      <w:pPr>
        <w:spacing w:after="0" w:line="240" w:lineRule="auto"/>
        <w:ind w:firstLine="709"/>
        <w:jc w:val="both"/>
        <w:rPr>
          <w:rFonts w:ascii="Times New Roman" w:hAnsi="Times New Roman" w:cs="Times New Roman"/>
          <w:i/>
          <w:sz w:val="24"/>
          <w:szCs w:val="24"/>
        </w:rPr>
      </w:pPr>
    </w:p>
    <w:p w14:paraId="33D293C4" w14:textId="7FFB7079" w:rsidR="00674470" w:rsidRPr="00A1696A" w:rsidRDefault="00674470" w:rsidP="006B6EBF">
      <w:pPr>
        <w:pStyle w:val="Style1"/>
        <w:jc w:val="both"/>
        <w:rPr>
          <w:lang w:val="bg-BG"/>
        </w:rPr>
      </w:pPr>
      <w:bookmarkStart w:id="100" w:name="_Toc7820648"/>
      <w:r w:rsidRPr="00A1696A">
        <w:rPr>
          <w:lang w:val="bg-BG"/>
        </w:rPr>
        <w:t>4.</w:t>
      </w:r>
      <w:r w:rsidR="001846B3" w:rsidRPr="00A1696A">
        <w:rPr>
          <w:lang w:val="bg-BG"/>
        </w:rPr>
        <w:t>6</w:t>
      </w:r>
      <w:r w:rsidRPr="00A1696A">
        <w:rPr>
          <w:lang w:val="bg-BG"/>
        </w:rPr>
        <w:t>. Реконструкция на историята на потъване и геотермичната история на района на изследване</w:t>
      </w:r>
      <w:bookmarkEnd w:id="100"/>
    </w:p>
    <w:p w14:paraId="0D43840C" w14:textId="08F6379C" w:rsidR="0071667E" w:rsidRPr="00A1696A" w:rsidRDefault="0071667E" w:rsidP="00234290">
      <w:pPr>
        <w:spacing w:after="0" w:line="240" w:lineRule="auto"/>
        <w:ind w:firstLine="709"/>
        <w:jc w:val="both"/>
        <w:rPr>
          <w:rFonts w:ascii="Times New Roman" w:hAnsi="Times New Roman" w:cs="Times New Roman"/>
          <w:sz w:val="24"/>
          <w:szCs w:val="24"/>
          <w:lang w:eastAsia="bg-BG"/>
        </w:rPr>
      </w:pPr>
      <w:bookmarkStart w:id="101" w:name="_Hlk7815873"/>
      <w:r w:rsidRPr="00A1696A">
        <w:rPr>
          <w:rFonts w:ascii="Times New Roman" w:hAnsi="Times New Roman" w:cs="Times New Roman"/>
          <w:b/>
          <w:i/>
          <w:sz w:val="24"/>
          <w:szCs w:val="24"/>
          <w:lang w:eastAsia="bg-BG"/>
        </w:rPr>
        <w:t>При реконструкцията на историята на потъване на изучаваната част от басейна</w:t>
      </w:r>
      <w:r w:rsidRPr="00A1696A">
        <w:rPr>
          <w:rFonts w:ascii="Times New Roman" w:hAnsi="Times New Roman" w:cs="Times New Roman"/>
          <w:sz w:val="24"/>
          <w:szCs w:val="24"/>
          <w:lang w:eastAsia="bg-BG"/>
        </w:rPr>
        <w:t xml:space="preserve"> се наблюдават периоди на седиментация, последвани от периоди на </w:t>
      </w:r>
      <w:r w:rsidR="00040D5D" w:rsidRPr="00A1696A">
        <w:rPr>
          <w:rFonts w:ascii="Times New Roman" w:hAnsi="Times New Roman" w:cs="Times New Roman"/>
          <w:sz w:val="24"/>
          <w:szCs w:val="24"/>
          <w:lang w:eastAsia="bg-BG"/>
        </w:rPr>
        <w:t>прекъ</w:t>
      </w:r>
      <w:r w:rsidR="00756080" w:rsidRPr="00A1696A">
        <w:rPr>
          <w:rFonts w:ascii="Times New Roman" w:hAnsi="Times New Roman" w:cs="Times New Roman"/>
          <w:sz w:val="24"/>
          <w:szCs w:val="24"/>
          <w:lang w:eastAsia="bg-BG"/>
        </w:rPr>
        <w:t>с</w:t>
      </w:r>
      <w:r w:rsidR="00040D5D" w:rsidRPr="00A1696A">
        <w:rPr>
          <w:rFonts w:ascii="Times New Roman" w:hAnsi="Times New Roman" w:cs="Times New Roman"/>
          <w:sz w:val="24"/>
          <w:szCs w:val="24"/>
          <w:lang w:eastAsia="bg-BG"/>
        </w:rPr>
        <w:t>ване</w:t>
      </w:r>
      <w:r w:rsidRPr="00A1696A">
        <w:rPr>
          <w:rFonts w:ascii="Times New Roman" w:hAnsi="Times New Roman" w:cs="Times New Roman"/>
          <w:sz w:val="24"/>
          <w:szCs w:val="24"/>
          <w:lang w:eastAsia="bg-BG"/>
        </w:rPr>
        <w:t xml:space="preserve"> или ерозия. Регистрирано е голямо несъгласие през среден-</w:t>
      </w:r>
      <w:r w:rsidR="00357A48" w:rsidRPr="00A1696A">
        <w:rPr>
          <w:rFonts w:ascii="Times New Roman" w:hAnsi="Times New Roman" w:cs="Times New Roman"/>
          <w:sz w:val="24"/>
          <w:szCs w:val="24"/>
          <w:lang w:eastAsia="bg-BG"/>
        </w:rPr>
        <w:t>късен</w:t>
      </w:r>
      <w:r w:rsidRPr="00A1696A">
        <w:rPr>
          <w:rFonts w:ascii="Times New Roman" w:hAnsi="Times New Roman" w:cs="Times New Roman"/>
          <w:sz w:val="24"/>
          <w:szCs w:val="24"/>
          <w:lang w:eastAsia="bg-BG"/>
        </w:rPr>
        <w:t xml:space="preserve"> </w:t>
      </w:r>
      <w:r w:rsidR="0078683E" w:rsidRPr="00A1696A">
        <w:rPr>
          <w:rFonts w:ascii="Times New Roman" w:hAnsi="Times New Roman" w:cs="Times New Roman"/>
          <w:sz w:val="24"/>
          <w:szCs w:val="24"/>
          <w:lang w:eastAsia="bg-BG"/>
        </w:rPr>
        <w:t>е</w:t>
      </w:r>
      <w:r w:rsidRPr="00A1696A">
        <w:rPr>
          <w:rFonts w:ascii="Times New Roman" w:hAnsi="Times New Roman" w:cs="Times New Roman"/>
          <w:sz w:val="24"/>
          <w:szCs w:val="24"/>
          <w:lang w:eastAsia="bg-BG"/>
        </w:rPr>
        <w:t>оцен</w:t>
      </w:r>
      <w:r w:rsidR="0092228E" w:rsidRPr="00A1696A">
        <w:rPr>
          <w:rFonts w:ascii="Times New Roman" w:hAnsi="Times New Roman" w:cs="Times New Roman"/>
          <w:sz w:val="24"/>
          <w:szCs w:val="24"/>
          <w:lang w:eastAsia="bg-BG"/>
        </w:rPr>
        <w:t xml:space="preserve"> и д</w:t>
      </w:r>
      <w:r w:rsidRPr="00A1696A">
        <w:rPr>
          <w:rFonts w:ascii="Times New Roman" w:hAnsi="Times New Roman" w:cs="Times New Roman"/>
          <w:sz w:val="24"/>
          <w:szCs w:val="24"/>
          <w:lang w:eastAsia="bg-BG"/>
        </w:rPr>
        <w:t xml:space="preserve">руго характерно за периода на миоценската епоха, което индикира процес на издигане. </w:t>
      </w:r>
      <w:r w:rsidR="00234290" w:rsidRPr="00A1696A">
        <w:rPr>
          <w:rFonts w:ascii="Times New Roman" w:hAnsi="Times New Roman" w:cs="Times New Roman"/>
          <w:sz w:val="24"/>
          <w:szCs w:val="24"/>
          <w:lang w:eastAsia="bg-BG"/>
        </w:rPr>
        <w:t>О</w:t>
      </w:r>
      <w:r w:rsidRPr="00A1696A">
        <w:rPr>
          <w:rFonts w:ascii="Times New Roman" w:hAnsi="Times New Roman" w:cs="Times New Roman"/>
          <w:sz w:val="24"/>
          <w:szCs w:val="24"/>
          <w:lang w:eastAsia="bg-BG"/>
        </w:rPr>
        <w:t>чертава</w:t>
      </w:r>
      <w:r w:rsidR="00234290" w:rsidRPr="00A1696A">
        <w:rPr>
          <w:rFonts w:ascii="Times New Roman" w:hAnsi="Times New Roman" w:cs="Times New Roman"/>
          <w:sz w:val="24"/>
          <w:szCs w:val="24"/>
          <w:lang w:eastAsia="bg-BG"/>
        </w:rPr>
        <w:t>т се</w:t>
      </w:r>
      <w:r w:rsidRPr="00A1696A">
        <w:rPr>
          <w:rFonts w:ascii="Times New Roman" w:hAnsi="Times New Roman" w:cs="Times New Roman"/>
          <w:sz w:val="24"/>
          <w:szCs w:val="24"/>
          <w:lang w:eastAsia="bg-BG"/>
        </w:rPr>
        <w:t xml:space="preserve"> </w:t>
      </w:r>
      <w:r w:rsidR="00D45A5C" w:rsidRPr="00A1696A">
        <w:rPr>
          <w:rFonts w:ascii="Times New Roman" w:hAnsi="Times New Roman" w:cs="Times New Roman"/>
          <w:sz w:val="24"/>
          <w:szCs w:val="24"/>
          <w:lang w:eastAsia="bg-BG"/>
        </w:rPr>
        <w:t>д</w:t>
      </w:r>
      <w:r w:rsidRPr="00A1696A">
        <w:rPr>
          <w:rFonts w:ascii="Times New Roman" w:hAnsi="Times New Roman" w:cs="Times New Roman"/>
          <w:sz w:val="24"/>
          <w:szCs w:val="24"/>
          <w:lang w:eastAsia="bg-BG"/>
        </w:rPr>
        <w:t>ве синрифтови фази</w:t>
      </w:r>
      <w:r w:rsidR="00234290"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с приблизително еднаква степен на седиментация, образуващи сравнително дебели седиментни комплекси, докато по време на пострифтовата фаза скоростта на седиментация намалява значително. Настъпилата трансгресия в края на </w:t>
      </w:r>
      <w:r w:rsidR="00385C01" w:rsidRPr="00A1696A">
        <w:rPr>
          <w:rFonts w:ascii="Times New Roman" w:hAnsi="Times New Roman" w:cs="Times New Roman"/>
          <w:sz w:val="24"/>
          <w:szCs w:val="24"/>
          <w:lang w:eastAsia="bg-BG"/>
        </w:rPr>
        <w:t>п</w:t>
      </w:r>
      <w:r w:rsidRPr="00A1696A">
        <w:rPr>
          <w:rFonts w:ascii="Times New Roman" w:hAnsi="Times New Roman" w:cs="Times New Roman"/>
          <w:sz w:val="24"/>
          <w:szCs w:val="24"/>
          <w:lang w:eastAsia="bg-BG"/>
        </w:rPr>
        <w:t>алеоцен</w:t>
      </w:r>
      <w:r w:rsidR="00385C01" w:rsidRPr="00A1696A">
        <w:rPr>
          <w:rFonts w:ascii="Times New Roman" w:hAnsi="Times New Roman" w:cs="Times New Roman"/>
          <w:sz w:val="24"/>
          <w:szCs w:val="24"/>
          <w:lang w:eastAsia="bg-BG"/>
        </w:rPr>
        <w:t xml:space="preserve">ската </w:t>
      </w:r>
      <w:r w:rsidRPr="00A1696A">
        <w:rPr>
          <w:rFonts w:ascii="Times New Roman" w:hAnsi="Times New Roman" w:cs="Times New Roman"/>
          <w:sz w:val="24"/>
          <w:szCs w:val="24"/>
          <w:lang w:eastAsia="bg-BG"/>
        </w:rPr>
        <w:t xml:space="preserve">- началото на </w:t>
      </w:r>
      <w:r w:rsidR="00385C01" w:rsidRPr="00A1696A">
        <w:rPr>
          <w:rFonts w:ascii="Times New Roman" w:hAnsi="Times New Roman" w:cs="Times New Roman"/>
          <w:sz w:val="24"/>
          <w:szCs w:val="24"/>
          <w:lang w:eastAsia="bg-BG"/>
        </w:rPr>
        <w:t>е</w:t>
      </w:r>
      <w:r w:rsidRPr="00A1696A">
        <w:rPr>
          <w:rFonts w:ascii="Times New Roman" w:hAnsi="Times New Roman" w:cs="Times New Roman"/>
          <w:sz w:val="24"/>
          <w:szCs w:val="24"/>
          <w:lang w:eastAsia="bg-BG"/>
        </w:rPr>
        <w:t>оцен</w:t>
      </w:r>
      <w:r w:rsidR="00385C01" w:rsidRPr="00A1696A">
        <w:rPr>
          <w:rFonts w:ascii="Times New Roman" w:hAnsi="Times New Roman" w:cs="Times New Roman"/>
          <w:sz w:val="24"/>
          <w:szCs w:val="24"/>
          <w:lang w:eastAsia="bg-BG"/>
        </w:rPr>
        <w:t>ската епох</w:t>
      </w:r>
      <w:r w:rsidR="00D45A5C" w:rsidRPr="00A1696A">
        <w:rPr>
          <w:rFonts w:ascii="Times New Roman" w:hAnsi="Times New Roman" w:cs="Times New Roman"/>
          <w:sz w:val="24"/>
          <w:szCs w:val="24"/>
          <w:lang w:eastAsia="bg-BG"/>
        </w:rPr>
        <w:t>и</w:t>
      </w:r>
      <w:r w:rsidR="00385C01" w:rsidRPr="00A1696A">
        <w:rPr>
          <w:rFonts w:ascii="Times New Roman" w:hAnsi="Times New Roman" w:cs="Times New Roman"/>
          <w:sz w:val="24"/>
          <w:szCs w:val="24"/>
          <w:lang w:eastAsia="bg-BG"/>
        </w:rPr>
        <w:t xml:space="preserve"> </w:t>
      </w:r>
      <w:r w:rsidRPr="00A1696A">
        <w:rPr>
          <w:rFonts w:ascii="Times New Roman" w:hAnsi="Times New Roman" w:cs="Times New Roman"/>
          <w:sz w:val="24"/>
          <w:szCs w:val="24"/>
          <w:lang w:eastAsia="bg-BG"/>
        </w:rPr>
        <w:t xml:space="preserve">(?), изразяваща се в бързо потъване на басейна води до образуване на дебел около 1000 m седиментен комплекс </w:t>
      </w:r>
      <w:r w:rsidR="00D45A5C" w:rsidRPr="00A1696A">
        <w:rPr>
          <w:rFonts w:ascii="Times New Roman" w:hAnsi="Times New Roman" w:cs="Times New Roman"/>
          <w:sz w:val="24"/>
          <w:szCs w:val="24"/>
          <w:lang w:eastAsia="bg-BG"/>
        </w:rPr>
        <w:t xml:space="preserve">(~65 m на млн. г.) </w:t>
      </w:r>
      <w:r w:rsidRPr="00A1696A">
        <w:rPr>
          <w:rFonts w:ascii="Times New Roman" w:hAnsi="Times New Roman" w:cs="Times New Roman"/>
          <w:sz w:val="24"/>
          <w:szCs w:val="24"/>
          <w:lang w:eastAsia="bg-BG"/>
        </w:rPr>
        <w:t xml:space="preserve">в по-голямата част от изучавания район (фиг. </w:t>
      </w:r>
      <w:r w:rsidR="00E86F06">
        <w:rPr>
          <w:rFonts w:ascii="Times New Roman" w:hAnsi="Times New Roman" w:cs="Times New Roman"/>
          <w:sz w:val="24"/>
          <w:szCs w:val="24"/>
          <w:lang w:eastAsia="bg-BG"/>
        </w:rPr>
        <w:t>26</w:t>
      </w:r>
      <w:r w:rsidRPr="00A1696A">
        <w:rPr>
          <w:rFonts w:ascii="Times New Roman" w:hAnsi="Times New Roman" w:cs="Times New Roman"/>
          <w:sz w:val="24"/>
          <w:szCs w:val="24"/>
          <w:lang w:eastAsia="bg-BG"/>
        </w:rPr>
        <w:t xml:space="preserve">, псевдо- </w:t>
      </w:r>
      <w:r w:rsidR="00C60C4F">
        <w:rPr>
          <w:rFonts w:ascii="Times New Roman" w:hAnsi="Times New Roman" w:cs="Times New Roman"/>
          <w:sz w:val="24"/>
          <w:szCs w:val="24"/>
          <w:lang w:eastAsia="bg-BG"/>
        </w:rPr>
        <w:t xml:space="preserve">сондаж </w:t>
      </w:r>
      <w:r w:rsidRPr="00A1696A">
        <w:rPr>
          <w:rFonts w:ascii="Times New Roman" w:hAnsi="Times New Roman" w:cs="Times New Roman"/>
          <w:sz w:val="24"/>
          <w:szCs w:val="24"/>
          <w:lang w:eastAsia="bg-BG"/>
        </w:rPr>
        <w:t xml:space="preserve">и Р-1, Р-2, Р-3). След това за целия басейн настъпва кратък период с </w:t>
      </w:r>
      <w:r w:rsidR="0078683E" w:rsidRPr="00A1696A">
        <w:rPr>
          <w:rFonts w:ascii="Times New Roman" w:hAnsi="Times New Roman" w:cs="Times New Roman"/>
          <w:sz w:val="24"/>
          <w:szCs w:val="24"/>
          <w:lang w:eastAsia="bg-BG"/>
        </w:rPr>
        <w:t>отсъствие</w:t>
      </w:r>
      <w:r w:rsidRPr="00A1696A">
        <w:rPr>
          <w:rFonts w:ascii="Times New Roman" w:hAnsi="Times New Roman" w:cs="Times New Roman"/>
          <w:sz w:val="24"/>
          <w:szCs w:val="24"/>
          <w:lang w:eastAsia="bg-BG"/>
        </w:rPr>
        <w:t xml:space="preserve"> на седиментация (фиг.</w:t>
      </w:r>
      <w:r w:rsidR="00385C01" w:rsidRPr="00A1696A">
        <w:rPr>
          <w:rFonts w:ascii="Times New Roman" w:hAnsi="Times New Roman" w:cs="Times New Roman"/>
          <w:sz w:val="24"/>
          <w:szCs w:val="24"/>
          <w:lang w:eastAsia="bg-BG"/>
        </w:rPr>
        <w:t xml:space="preserve"> </w:t>
      </w:r>
      <w:r w:rsidR="00D45A5C" w:rsidRPr="00A1696A">
        <w:rPr>
          <w:rFonts w:ascii="Times New Roman" w:hAnsi="Times New Roman" w:cs="Times New Roman"/>
          <w:sz w:val="24"/>
          <w:szCs w:val="24"/>
          <w:lang w:eastAsia="bg-BG"/>
        </w:rPr>
        <w:t>24</w:t>
      </w:r>
      <w:r w:rsidRPr="00A1696A">
        <w:rPr>
          <w:rFonts w:ascii="Times New Roman" w:hAnsi="Times New Roman" w:cs="Times New Roman"/>
          <w:sz w:val="24"/>
          <w:szCs w:val="24"/>
          <w:lang w:eastAsia="bg-BG"/>
        </w:rPr>
        <w:t>, сондаж Р-1 Свиленград), а на места - и с размив (фиг.</w:t>
      </w:r>
      <w:r w:rsidR="00385C01" w:rsidRPr="00A1696A">
        <w:rPr>
          <w:rFonts w:ascii="Times New Roman" w:hAnsi="Times New Roman" w:cs="Times New Roman"/>
          <w:sz w:val="24"/>
          <w:szCs w:val="24"/>
          <w:lang w:eastAsia="bg-BG"/>
        </w:rPr>
        <w:t xml:space="preserve"> </w:t>
      </w:r>
      <w:r w:rsidR="00E86F06">
        <w:rPr>
          <w:rFonts w:ascii="Times New Roman" w:hAnsi="Times New Roman" w:cs="Times New Roman"/>
          <w:sz w:val="24"/>
          <w:szCs w:val="24"/>
          <w:lang w:eastAsia="bg-BG"/>
        </w:rPr>
        <w:t>26</w:t>
      </w:r>
      <w:r w:rsidRPr="00A1696A">
        <w:rPr>
          <w:rFonts w:ascii="Times New Roman" w:hAnsi="Times New Roman" w:cs="Times New Roman"/>
          <w:sz w:val="24"/>
          <w:szCs w:val="24"/>
          <w:lang w:eastAsia="bg-BG"/>
        </w:rPr>
        <w:t>, псевдо-сондажи). През приабонския век отново настъпва период на интензивна седиментация</w:t>
      </w:r>
      <w:r w:rsidR="00D45A5C" w:rsidRPr="00A1696A">
        <w:rPr>
          <w:rFonts w:ascii="Times New Roman" w:hAnsi="Times New Roman" w:cs="Times New Roman"/>
          <w:sz w:val="24"/>
          <w:szCs w:val="24"/>
          <w:lang w:eastAsia="bg-BG"/>
        </w:rPr>
        <w:t xml:space="preserve"> (~78 m на млн. г.)</w:t>
      </w:r>
      <w:r w:rsidRPr="00A1696A">
        <w:rPr>
          <w:rFonts w:ascii="Times New Roman" w:hAnsi="Times New Roman" w:cs="Times New Roman"/>
          <w:sz w:val="24"/>
          <w:szCs w:val="24"/>
          <w:lang w:eastAsia="bg-BG"/>
        </w:rPr>
        <w:t xml:space="preserve"> и потъване на седиментния басейн, който продължава до края на ранния миоцен</w:t>
      </w:r>
      <w:r w:rsidR="008F6905" w:rsidRPr="00A1696A">
        <w:rPr>
          <w:rFonts w:ascii="Times New Roman" w:hAnsi="Times New Roman" w:cs="Times New Roman"/>
          <w:sz w:val="24"/>
          <w:szCs w:val="24"/>
          <w:lang w:eastAsia="bg-BG"/>
        </w:rPr>
        <w:t xml:space="preserve">. Това </w:t>
      </w:r>
      <w:r w:rsidR="006C28AD" w:rsidRPr="00A1696A">
        <w:rPr>
          <w:rFonts w:ascii="Times New Roman" w:hAnsi="Times New Roman" w:cs="Times New Roman"/>
          <w:sz w:val="24"/>
          <w:szCs w:val="24"/>
          <w:lang w:eastAsia="bg-BG"/>
        </w:rPr>
        <w:t>води до</w:t>
      </w:r>
      <w:r w:rsidRPr="00A1696A">
        <w:rPr>
          <w:rFonts w:ascii="Times New Roman" w:hAnsi="Times New Roman" w:cs="Times New Roman"/>
          <w:sz w:val="24"/>
          <w:szCs w:val="24"/>
          <w:lang w:eastAsia="bg-BG"/>
        </w:rPr>
        <w:t xml:space="preserve"> образува</w:t>
      </w:r>
      <w:r w:rsidR="006C28AD" w:rsidRPr="00A1696A">
        <w:rPr>
          <w:rFonts w:ascii="Times New Roman" w:hAnsi="Times New Roman" w:cs="Times New Roman"/>
          <w:sz w:val="24"/>
          <w:szCs w:val="24"/>
          <w:lang w:eastAsia="bg-BG"/>
        </w:rPr>
        <w:t>не на</w:t>
      </w:r>
      <w:r w:rsidRPr="00A1696A">
        <w:rPr>
          <w:rFonts w:ascii="Times New Roman" w:hAnsi="Times New Roman" w:cs="Times New Roman"/>
          <w:sz w:val="24"/>
          <w:szCs w:val="24"/>
          <w:lang w:eastAsia="bg-BG"/>
        </w:rPr>
        <w:t xml:space="preserve"> седиментен комплекс с дебелина в наши дни до около 1300 m. </w:t>
      </w:r>
      <w:r w:rsidR="006C28AD" w:rsidRPr="00A1696A">
        <w:rPr>
          <w:rFonts w:ascii="Times New Roman" w:hAnsi="Times New Roman" w:cs="Times New Roman"/>
          <w:sz w:val="24"/>
          <w:szCs w:val="24"/>
          <w:lang w:eastAsia="bg-BG"/>
        </w:rPr>
        <w:t>Всичко т</w:t>
      </w:r>
      <w:r w:rsidRPr="00A1696A">
        <w:rPr>
          <w:rFonts w:ascii="Times New Roman" w:hAnsi="Times New Roman" w:cs="Times New Roman"/>
          <w:sz w:val="24"/>
          <w:szCs w:val="24"/>
          <w:lang w:eastAsia="bg-BG"/>
        </w:rPr>
        <w:t xml:space="preserve">ова </w:t>
      </w:r>
      <w:r w:rsidR="006C28AD" w:rsidRPr="00A1696A">
        <w:rPr>
          <w:rFonts w:ascii="Times New Roman" w:hAnsi="Times New Roman" w:cs="Times New Roman"/>
          <w:sz w:val="24"/>
          <w:szCs w:val="24"/>
          <w:lang w:eastAsia="bg-BG"/>
        </w:rPr>
        <w:t>е</w:t>
      </w:r>
      <w:r w:rsidRPr="00A1696A">
        <w:rPr>
          <w:rFonts w:ascii="Times New Roman" w:hAnsi="Times New Roman" w:cs="Times New Roman"/>
          <w:sz w:val="24"/>
          <w:szCs w:val="24"/>
          <w:lang w:eastAsia="bg-BG"/>
        </w:rPr>
        <w:t xml:space="preserve"> индикация за екстензионна тектонска дейност при образуването на басейна. </w:t>
      </w:r>
      <w:r w:rsidR="006C28AD" w:rsidRPr="00A1696A">
        <w:rPr>
          <w:rFonts w:ascii="Times New Roman" w:hAnsi="Times New Roman" w:cs="Times New Roman"/>
          <w:sz w:val="24"/>
          <w:szCs w:val="24"/>
          <w:lang w:eastAsia="bg-BG"/>
        </w:rPr>
        <w:t xml:space="preserve">През средно-миоценската епоха </w:t>
      </w:r>
      <w:r w:rsidRPr="00A1696A">
        <w:rPr>
          <w:rFonts w:ascii="Times New Roman" w:hAnsi="Times New Roman" w:cs="Times New Roman"/>
          <w:sz w:val="24"/>
          <w:szCs w:val="24"/>
          <w:lang w:eastAsia="bg-BG"/>
        </w:rPr>
        <w:t>се наблюдава кратък период, през който седиментите се издигат на повърхността и част от отложените скали отново биват отмити. Този период се свързва с широкообхватна тектонска фаза, през която голяма част от образуваните в предишната тектонска фаза разломи</w:t>
      </w:r>
      <w:r w:rsidR="00040D5D"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се реактивират и образуват множество гънки и структурни форми. </w:t>
      </w:r>
      <w:r w:rsidR="006C28AD" w:rsidRPr="00A1696A">
        <w:rPr>
          <w:rFonts w:ascii="Times New Roman" w:hAnsi="Times New Roman" w:cs="Times New Roman"/>
          <w:sz w:val="24"/>
          <w:szCs w:val="24"/>
          <w:lang w:eastAsia="bg-BG"/>
        </w:rPr>
        <w:t>С</w:t>
      </w:r>
      <w:r w:rsidRPr="00A1696A">
        <w:rPr>
          <w:rFonts w:ascii="Times New Roman" w:hAnsi="Times New Roman" w:cs="Times New Roman"/>
          <w:sz w:val="24"/>
          <w:szCs w:val="24"/>
          <w:lang w:eastAsia="bg-BG"/>
        </w:rPr>
        <w:t>лед края на късн</w:t>
      </w:r>
      <w:r w:rsidR="00385C01" w:rsidRPr="00A1696A">
        <w:rPr>
          <w:rFonts w:ascii="Times New Roman" w:hAnsi="Times New Roman" w:cs="Times New Roman"/>
          <w:sz w:val="24"/>
          <w:szCs w:val="24"/>
          <w:lang w:eastAsia="bg-BG"/>
        </w:rPr>
        <w:t>о-м</w:t>
      </w:r>
      <w:r w:rsidRPr="00A1696A">
        <w:rPr>
          <w:rFonts w:ascii="Times New Roman" w:hAnsi="Times New Roman" w:cs="Times New Roman"/>
          <w:sz w:val="24"/>
          <w:szCs w:val="24"/>
          <w:lang w:eastAsia="bg-BG"/>
        </w:rPr>
        <w:t>иоцен</w:t>
      </w:r>
      <w:r w:rsidR="00385C01" w:rsidRPr="00A1696A">
        <w:rPr>
          <w:rFonts w:ascii="Times New Roman" w:hAnsi="Times New Roman" w:cs="Times New Roman"/>
          <w:sz w:val="24"/>
          <w:szCs w:val="24"/>
          <w:lang w:eastAsia="bg-BG"/>
        </w:rPr>
        <w:t>ската епоха</w:t>
      </w:r>
      <w:r w:rsidRPr="00A1696A">
        <w:rPr>
          <w:rFonts w:ascii="Times New Roman" w:hAnsi="Times New Roman" w:cs="Times New Roman"/>
          <w:sz w:val="24"/>
          <w:szCs w:val="24"/>
          <w:lang w:eastAsia="bg-BG"/>
        </w:rPr>
        <w:t xml:space="preserve"> започва отлагането със средна скорост </w:t>
      </w:r>
      <w:r w:rsidR="008F6905" w:rsidRPr="00A1696A">
        <w:rPr>
          <w:rFonts w:ascii="Times New Roman" w:hAnsi="Times New Roman" w:cs="Times New Roman"/>
          <w:sz w:val="24"/>
          <w:szCs w:val="24"/>
          <w:lang w:eastAsia="bg-BG"/>
        </w:rPr>
        <w:t xml:space="preserve">(~40 m за млн.г) </w:t>
      </w:r>
      <w:r w:rsidRPr="00A1696A">
        <w:rPr>
          <w:rFonts w:ascii="Times New Roman" w:hAnsi="Times New Roman" w:cs="Times New Roman"/>
          <w:sz w:val="24"/>
          <w:szCs w:val="24"/>
          <w:lang w:eastAsia="bg-BG"/>
        </w:rPr>
        <w:t xml:space="preserve">на седиментация на отгорележащите седименти (overburden), които на места в изучавания район достигат дебелина до над 250 m. В допълнение отлагането на горно-неогенските седименти през последните 7 млн.г. в известна степен също оказва </w:t>
      </w:r>
      <w:r w:rsidR="00E86F06">
        <w:rPr>
          <w:rFonts w:ascii="Times New Roman" w:hAnsi="Times New Roman" w:cs="Times New Roman"/>
          <w:sz w:val="24"/>
          <w:szCs w:val="24"/>
          <w:lang w:eastAsia="bg-BG"/>
        </w:rPr>
        <w:t xml:space="preserve">благоприятно </w:t>
      </w:r>
      <w:r w:rsidRPr="00A1696A">
        <w:rPr>
          <w:rFonts w:ascii="Times New Roman" w:hAnsi="Times New Roman" w:cs="Times New Roman"/>
          <w:sz w:val="24"/>
          <w:szCs w:val="24"/>
          <w:lang w:eastAsia="bg-BG"/>
        </w:rPr>
        <w:t>влияние на съзряването на потенциално генериращите комплекси с палеогенска възраст</w:t>
      </w:r>
      <w:r w:rsidR="00040D5D"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погребвайки ги до дълбочина, където би могло да се осъществят процеси на генериране на ВВ.</w:t>
      </w:r>
    </w:p>
    <w:p w14:paraId="1A96D4A1" w14:textId="6498CCE3" w:rsidR="008F6905" w:rsidRPr="00A1696A" w:rsidRDefault="008F6905" w:rsidP="00234290">
      <w:pPr>
        <w:spacing w:after="0" w:line="240" w:lineRule="auto"/>
        <w:ind w:firstLine="709"/>
        <w:jc w:val="both"/>
        <w:rPr>
          <w:rFonts w:ascii="Times New Roman" w:hAnsi="Times New Roman" w:cs="Times New Roman"/>
          <w:sz w:val="24"/>
          <w:szCs w:val="24"/>
          <w:lang w:eastAsia="bg-BG"/>
        </w:rPr>
      </w:pPr>
      <w:bookmarkStart w:id="102" w:name="_Hlk7816254"/>
      <w:bookmarkEnd w:id="101"/>
      <w:r w:rsidRPr="00A1696A">
        <w:rPr>
          <w:rFonts w:ascii="Times New Roman" w:hAnsi="Times New Roman" w:cs="Times New Roman"/>
          <w:b/>
          <w:i/>
          <w:sz w:val="24"/>
          <w:szCs w:val="24"/>
          <w:lang w:eastAsia="bg-BG"/>
        </w:rPr>
        <w:t>Моделиране на топлинния поток и реконструкция на геотермичната история</w:t>
      </w:r>
      <w:r w:rsidR="00E86F06">
        <w:rPr>
          <w:rFonts w:ascii="Times New Roman" w:hAnsi="Times New Roman" w:cs="Times New Roman"/>
          <w:b/>
          <w:i/>
          <w:sz w:val="24"/>
          <w:szCs w:val="24"/>
          <w:lang w:eastAsia="bg-BG"/>
        </w:rPr>
        <w:t>.</w:t>
      </w:r>
      <w:r w:rsidRPr="00A1696A">
        <w:rPr>
          <w:rFonts w:ascii="Times New Roman" w:hAnsi="Times New Roman" w:cs="Times New Roman"/>
          <w:b/>
          <w:i/>
          <w:sz w:val="24"/>
          <w:szCs w:val="24"/>
          <w:lang w:eastAsia="bg-BG"/>
        </w:rPr>
        <w:t xml:space="preserve"> </w:t>
      </w:r>
      <w:r w:rsidRPr="00A1696A">
        <w:rPr>
          <w:rFonts w:ascii="Times New Roman" w:hAnsi="Times New Roman" w:cs="Times New Roman"/>
          <w:sz w:val="24"/>
          <w:szCs w:val="24"/>
          <w:lang w:eastAsia="bg-BG"/>
        </w:rPr>
        <w:t>Тракийският басейн може да бъде класифициран като умерено-високо топлинен басейн, с геотермичен градиент измерен в сондажите над средния в световно отношение, като варира от 26°C/km до 43°C/km (Huvas, 2005). Централната част на басейна е с много по-нисък геотермичен градиент в сравнение с окрайните му части</w:t>
      </w:r>
      <w:r w:rsidRPr="00A1696A">
        <w:rPr>
          <w:rFonts w:ascii="Times New Roman" w:hAnsi="Times New Roman" w:cs="Times New Roman"/>
          <w:sz w:val="24"/>
          <w:szCs w:val="24"/>
        </w:rPr>
        <w:t xml:space="preserve">. Измерената топлопроводимост на скалите на основните формации в целия Тракийския басейн е с относително средни стойности </w:t>
      </w:r>
      <w:r w:rsidRPr="00A1696A">
        <w:rPr>
          <w:rFonts w:ascii="Times New Roman" w:hAnsi="Times New Roman" w:cs="Times New Roman"/>
          <w:sz w:val="24"/>
          <w:szCs w:val="24"/>
        </w:rPr>
        <w:lastRenderedPageBreak/>
        <w:t>(Engin, 1999).</w:t>
      </w:r>
      <w:r w:rsidRPr="00A1696A">
        <w:rPr>
          <w:rFonts w:ascii="Times New Roman" w:hAnsi="Times New Roman" w:cs="Times New Roman"/>
          <w:sz w:val="24"/>
          <w:szCs w:val="24"/>
          <w:lang w:eastAsia="bg-BG"/>
        </w:rPr>
        <w:t xml:space="preserve"> Тези данни, както и използваните в модела стойности за геотермичния градиент, изчислен от измерената температура в сондаж Р-1 Свиленград, са съпоставени със съществуващи изследвания за геотермичния градиент на тази част от България (Велинов и Бояджиева, 1981).</w:t>
      </w:r>
    </w:p>
    <w:bookmarkEnd w:id="102"/>
    <w:p w14:paraId="4DEEA1CC" w14:textId="3DA66BA4" w:rsidR="00C54F82" w:rsidRPr="00A1696A" w:rsidRDefault="00C54F82" w:rsidP="00FD48D0">
      <w:pPr>
        <w:spacing w:after="0" w:line="240" w:lineRule="auto"/>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01231F26" wp14:editId="06330B3D">
            <wp:extent cx="3079750" cy="2277983"/>
            <wp:effectExtent l="19050" t="19050" r="25400" b="27305"/>
            <wp:docPr id="4108" name="Картина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R-1_Burial_bg.png"/>
                    <pic:cNvPicPr/>
                  </pic:nvPicPr>
                  <pic:blipFill rotWithShape="1">
                    <a:blip r:embed="rId39" cstate="print">
                      <a:extLst>
                        <a:ext uri="{28A0092B-C50C-407E-A947-70E740481C1C}">
                          <a14:useLocalDpi xmlns:a14="http://schemas.microsoft.com/office/drawing/2010/main" val="0"/>
                        </a:ext>
                      </a:extLst>
                    </a:blip>
                    <a:srcRect r="4481" b="3370"/>
                    <a:stretch/>
                  </pic:blipFill>
                  <pic:spPr bwMode="auto">
                    <a:xfrm>
                      <a:off x="0" y="0"/>
                      <a:ext cx="3136505" cy="2319962"/>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r w:rsidRPr="00A1696A">
        <w:rPr>
          <w:rFonts w:ascii="Times New Roman" w:hAnsi="Times New Roman" w:cs="Times New Roman"/>
          <w:noProof/>
          <w:sz w:val="24"/>
          <w:szCs w:val="24"/>
          <w:lang w:eastAsia="bg-BG"/>
        </w:rPr>
        <w:drawing>
          <wp:inline distT="0" distB="0" distL="0" distR="0" wp14:anchorId="06D9E1BC" wp14:editId="65AA0957">
            <wp:extent cx="2921000" cy="2269820"/>
            <wp:effectExtent l="19050" t="19050" r="12700" b="16510"/>
            <wp:docPr id="4107" name="Картина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Pseudo R-1_Burial_бг.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59146" cy="2299462"/>
                    </a:xfrm>
                    <a:prstGeom prst="rect">
                      <a:avLst/>
                    </a:prstGeom>
                    <a:ln>
                      <a:solidFill>
                        <a:schemeClr val="bg2">
                          <a:lumMod val="75000"/>
                        </a:schemeClr>
                      </a:solidFill>
                    </a:ln>
                  </pic:spPr>
                </pic:pic>
              </a:graphicData>
            </a:graphic>
          </wp:inline>
        </w:drawing>
      </w:r>
    </w:p>
    <w:p w14:paraId="347C3591" w14:textId="35F1E03B" w:rsidR="00C54F82" w:rsidRPr="00A1696A" w:rsidRDefault="00C54F82" w:rsidP="006B6EBF">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1DEB7F96" wp14:editId="53B051F7">
            <wp:extent cx="2965450" cy="2506592"/>
            <wp:effectExtent l="19050" t="19050" r="25400" b="27305"/>
            <wp:docPr id="4126" name="Картина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Pseudo R-2_Burial_bg.png"/>
                    <pic:cNvPicPr/>
                  </pic:nvPicPr>
                  <pic:blipFill rotWithShape="1">
                    <a:blip r:embed="rId41" cstate="print">
                      <a:extLst>
                        <a:ext uri="{28A0092B-C50C-407E-A947-70E740481C1C}">
                          <a14:useLocalDpi xmlns:a14="http://schemas.microsoft.com/office/drawing/2010/main" val="0"/>
                        </a:ext>
                      </a:extLst>
                    </a:blip>
                    <a:srcRect r="5664" b="3268"/>
                    <a:stretch/>
                  </pic:blipFill>
                  <pic:spPr bwMode="auto">
                    <a:xfrm>
                      <a:off x="0" y="0"/>
                      <a:ext cx="2985378" cy="2523437"/>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r w:rsidRPr="00A1696A">
        <w:rPr>
          <w:rFonts w:ascii="Times New Roman" w:hAnsi="Times New Roman" w:cs="Times New Roman"/>
          <w:noProof/>
          <w:sz w:val="24"/>
          <w:szCs w:val="24"/>
          <w:lang w:eastAsia="bg-BG"/>
        </w:rPr>
        <w:drawing>
          <wp:inline distT="0" distB="0" distL="0" distR="0" wp14:anchorId="1B33FC4C" wp14:editId="0C6518F8">
            <wp:extent cx="3027857" cy="2520950"/>
            <wp:effectExtent l="19050" t="19050" r="20320" b="12700"/>
            <wp:docPr id="4127" name="Картина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Pseudo R-3_Burial_bg.png"/>
                    <pic:cNvPicPr/>
                  </pic:nvPicPr>
                  <pic:blipFill rotWithShape="1">
                    <a:blip r:embed="rId42" cstate="print">
                      <a:extLst>
                        <a:ext uri="{28A0092B-C50C-407E-A947-70E740481C1C}">
                          <a14:useLocalDpi xmlns:a14="http://schemas.microsoft.com/office/drawing/2010/main" val="0"/>
                        </a:ext>
                      </a:extLst>
                    </a:blip>
                    <a:srcRect r="5619" b="3477"/>
                    <a:stretch/>
                  </pic:blipFill>
                  <pic:spPr bwMode="auto">
                    <a:xfrm>
                      <a:off x="0" y="0"/>
                      <a:ext cx="3031048" cy="2523607"/>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6207F9E3" w14:textId="00236C31" w:rsidR="00FD48D0" w:rsidRPr="00A1696A" w:rsidRDefault="0071667E" w:rsidP="00FD48D0">
      <w:pPr>
        <w:spacing w:after="0" w:line="240" w:lineRule="auto"/>
        <w:jc w:val="center"/>
        <w:rPr>
          <w:rFonts w:ascii="Times New Roman" w:hAnsi="Times New Roman" w:cs="Times New Roman"/>
          <w:i/>
          <w:sz w:val="24"/>
          <w:szCs w:val="24"/>
          <w:lang w:eastAsia="bg-BG"/>
        </w:rPr>
      </w:pPr>
      <w:r w:rsidRPr="00702DCC">
        <w:rPr>
          <w:rFonts w:ascii="Times New Roman" w:hAnsi="Times New Roman" w:cs="Times New Roman"/>
          <w:i/>
          <w:sz w:val="24"/>
          <w:szCs w:val="24"/>
          <w:lang w:eastAsia="bg-BG"/>
        </w:rPr>
        <w:t xml:space="preserve">Фиг. </w:t>
      </w:r>
      <w:r w:rsidR="00BA2D5A" w:rsidRPr="00702DCC">
        <w:rPr>
          <w:rFonts w:ascii="Times New Roman" w:hAnsi="Times New Roman" w:cs="Times New Roman"/>
          <w:i/>
          <w:sz w:val="24"/>
          <w:szCs w:val="24"/>
          <w:lang w:eastAsia="bg-BG"/>
        </w:rPr>
        <w:t>2</w:t>
      </w:r>
      <w:r w:rsidR="00E86F06" w:rsidRPr="00702DCC">
        <w:rPr>
          <w:rFonts w:ascii="Times New Roman" w:hAnsi="Times New Roman" w:cs="Times New Roman"/>
          <w:i/>
          <w:sz w:val="24"/>
          <w:szCs w:val="24"/>
          <w:lang w:eastAsia="bg-BG"/>
        </w:rPr>
        <w:t>6</w:t>
      </w:r>
      <w:r w:rsidRPr="00702DCC">
        <w:rPr>
          <w:rFonts w:ascii="Times New Roman" w:hAnsi="Times New Roman" w:cs="Times New Roman"/>
          <w:i/>
          <w:sz w:val="24"/>
          <w:szCs w:val="24"/>
          <w:lang w:eastAsia="bg-BG"/>
        </w:rPr>
        <w:t xml:space="preserve">. Реконструкция на историята на потъване: 1D модели на </w:t>
      </w:r>
      <w:r w:rsidR="00C60C4F" w:rsidRPr="00702DCC">
        <w:rPr>
          <w:rFonts w:ascii="Times New Roman" w:hAnsi="Times New Roman" w:cs="Times New Roman"/>
          <w:i/>
          <w:sz w:val="24"/>
          <w:szCs w:val="24"/>
          <w:lang w:eastAsia="bg-BG"/>
        </w:rPr>
        <w:t xml:space="preserve">сондаж </w:t>
      </w:r>
      <w:r w:rsidRPr="00702DCC">
        <w:rPr>
          <w:rFonts w:ascii="Times New Roman" w:hAnsi="Times New Roman" w:cs="Times New Roman"/>
          <w:i/>
          <w:sz w:val="24"/>
          <w:szCs w:val="24"/>
          <w:lang w:eastAsia="bg-BG"/>
        </w:rPr>
        <w:t xml:space="preserve"> Р-1 Свиленград и </w:t>
      </w:r>
      <w:r w:rsidR="00E86F06" w:rsidRPr="00702DCC">
        <w:rPr>
          <w:rFonts w:ascii="Times New Roman" w:hAnsi="Times New Roman" w:cs="Times New Roman"/>
          <w:i/>
          <w:sz w:val="24"/>
          <w:szCs w:val="24"/>
          <w:lang w:eastAsia="bg-BG"/>
        </w:rPr>
        <w:t>условни</w:t>
      </w:r>
      <w:r w:rsidRPr="00702DCC">
        <w:rPr>
          <w:rFonts w:ascii="Times New Roman" w:hAnsi="Times New Roman" w:cs="Times New Roman"/>
          <w:i/>
          <w:sz w:val="24"/>
          <w:szCs w:val="24"/>
          <w:lang w:eastAsia="bg-BG"/>
        </w:rPr>
        <w:t xml:space="preserve"> </w:t>
      </w:r>
      <w:r w:rsidR="00C60C4F" w:rsidRPr="00702DCC">
        <w:rPr>
          <w:rFonts w:ascii="Times New Roman" w:hAnsi="Times New Roman" w:cs="Times New Roman"/>
          <w:i/>
          <w:sz w:val="24"/>
          <w:szCs w:val="24"/>
          <w:lang w:eastAsia="bg-BG"/>
        </w:rPr>
        <w:t>сондаж</w:t>
      </w:r>
      <w:r w:rsidRPr="00702DCC">
        <w:rPr>
          <w:rFonts w:ascii="Times New Roman" w:hAnsi="Times New Roman" w:cs="Times New Roman"/>
          <w:i/>
          <w:sz w:val="24"/>
          <w:szCs w:val="24"/>
          <w:lang w:eastAsia="bg-BG"/>
        </w:rPr>
        <w:t xml:space="preserve">и </w:t>
      </w:r>
      <w:r w:rsidR="00C54F82" w:rsidRPr="00702DCC">
        <w:rPr>
          <w:rFonts w:ascii="Times New Roman" w:hAnsi="Times New Roman" w:cs="Times New Roman"/>
          <w:i/>
          <w:sz w:val="24"/>
          <w:szCs w:val="24"/>
          <w:lang w:eastAsia="bg-BG"/>
        </w:rPr>
        <w:t xml:space="preserve">Псевдо </w:t>
      </w:r>
      <w:r w:rsidRPr="00702DCC">
        <w:rPr>
          <w:rFonts w:ascii="Times New Roman" w:hAnsi="Times New Roman" w:cs="Times New Roman"/>
          <w:i/>
          <w:sz w:val="24"/>
          <w:szCs w:val="24"/>
          <w:lang w:eastAsia="bg-BG"/>
        </w:rPr>
        <w:t xml:space="preserve">Р-1, </w:t>
      </w:r>
      <w:r w:rsidR="00C54F82" w:rsidRPr="00702DCC">
        <w:rPr>
          <w:rFonts w:ascii="Times New Roman" w:hAnsi="Times New Roman" w:cs="Times New Roman"/>
          <w:i/>
          <w:sz w:val="24"/>
          <w:szCs w:val="24"/>
          <w:lang w:eastAsia="bg-BG"/>
        </w:rPr>
        <w:t xml:space="preserve">Псевдо </w:t>
      </w:r>
      <w:r w:rsidRPr="00702DCC">
        <w:rPr>
          <w:rFonts w:ascii="Times New Roman" w:hAnsi="Times New Roman" w:cs="Times New Roman"/>
          <w:i/>
          <w:sz w:val="24"/>
          <w:szCs w:val="24"/>
          <w:lang w:eastAsia="bg-BG"/>
        </w:rPr>
        <w:t xml:space="preserve">Р-2, </w:t>
      </w:r>
      <w:r w:rsidR="00C54F82" w:rsidRPr="00702DCC">
        <w:rPr>
          <w:rFonts w:ascii="Times New Roman" w:hAnsi="Times New Roman" w:cs="Times New Roman"/>
          <w:i/>
          <w:sz w:val="24"/>
          <w:szCs w:val="24"/>
          <w:lang w:eastAsia="bg-BG"/>
        </w:rPr>
        <w:t xml:space="preserve">Псевдо </w:t>
      </w:r>
      <w:r w:rsidRPr="00702DCC">
        <w:rPr>
          <w:rFonts w:ascii="Times New Roman" w:hAnsi="Times New Roman" w:cs="Times New Roman"/>
          <w:i/>
          <w:sz w:val="24"/>
          <w:szCs w:val="24"/>
          <w:lang w:eastAsia="bg-BG"/>
        </w:rPr>
        <w:t>Р-3</w:t>
      </w:r>
    </w:p>
    <w:p w14:paraId="1640F9F0" w14:textId="77777777" w:rsidR="00FD48D0" w:rsidRPr="00A1696A" w:rsidRDefault="00FD48D0" w:rsidP="00FD48D0">
      <w:pPr>
        <w:spacing w:after="0" w:line="240" w:lineRule="auto"/>
        <w:jc w:val="center"/>
        <w:rPr>
          <w:rFonts w:ascii="Times New Roman" w:hAnsi="Times New Roman" w:cs="Times New Roman"/>
          <w:i/>
          <w:sz w:val="24"/>
          <w:szCs w:val="24"/>
          <w:lang w:eastAsia="bg-BG"/>
        </w:rPr>
      </w:pPr>
    </w:p>
    <w:p w14:paraId="1B26B01E" w14:textId="0907693E" w:rsidR="0071667E" w:rsidRPr="00A1696A" w:rsidRDefault="00F142B1" w:rsidP="00FD48D0">
      <w:pPr>
        <w:spacing w:after="0" w:line="240" w:lineRule="auto"/>
        <w:ind w:firstLine="709"/>
        <w:jc w:val="both"/>
        <w:rPr>
          <w:rFonts w:ascii="Times New Roman" w:hAnsi="Times New Roman" w:cs="Times New Roman"/>
          <w:b/>
          <w:i/>
          <w:sz w:val="24"/>
          <w:szCs w:val="24"/>
          <w:lang w:eastAsia="bg-BG"/>
        </w:rPr>
      </w:pPr>
      <w:bookmarkStart w:id="103" w:name="_Hlk7816328"/>
      <w:r w:rsidRPr="00A1696A">
        <w:rPr>
          <w:rFonts w:ascii="Times New Roman" w:hAnsi="Times New Roman" w:cs="Times New Roman"/>
          <w:sz w:val="24"/>
          <w:szCs w:val="24"/>
          <w:lang w:eastAsia="bg-BG"/>
        </w:rPr>
        <w:t>В</w:t>
      </w:r>
      <w:r w:rsidR="0071667E" w:rsidRPr="00A1696A">
        <w:rPr>
          <w:rFonts w:ascii="Times New Roman" w:hAnsi="Times New Roman" w:cs="Times New Roman"/>
          <w:sz w:val="24"/>
          <w:szCs w:val="24"/>
          <w:lang w:eastAsia="bg-BG"/>
        </w:rPr>
        <w:t xml:space="preserve"> модел на палео-топлинния поток за калибриране са използвани данните за термичната зрялост от температурата при пиролизата (T</w:t>
      </w:r>
      <w:r w:rsidR="0071667E" w:rsidRPr="00A1696A">
        <w:rPr>
          <w:rFonts w:ascii="Times New Roman" w:hAnsi="Times New Roman" w:cs="Times New Roman"/>
          <w:sz w:val="24"/>
          <w:szCs w:val="24"/>
          <w:vertAlign w:val="subscript"/>
          <w:lang w:eastAsia="bg-BG"/>
        </w:rPr>
        <w:t>max</w:t>
      </w:r>
      <w:r w:rsidR="0071667E" w:rsidRPr="00A1696A">
        <w:rPr>
          <w:rFonts w:ascii="Times New Roman" w:hAnsi="Times New Roman" w:cs="Times New Roman"/>
          <w:sz w:val="24"/>
          <w:szCs w:val="24"/>
          <w:lang w:eastAsia="bg-BG"/>
        </w:rPr>
        <w:t>),</w:t>
      </w:r>
      <w:r w:rsidR="00C10F89" w:rsidRPr="00A1696A">
        <w:rPr>
          <w:rFonts w:ascii="Times New Roman" w:hAnsi="Times New Roman" w:cs="Times New Roman"/>
          <w:sz w:val="24"/>
          <w:szCs w:val="24"/>
          <w:lang w:eastAsia="bg-BG"/>
        </w:rPr>
        <w:t xml:space="preserve"> </w:t>
      </w:r>
      <w:r w:rsidR="0071667E" w:rsidRPr="00A1696A">
        <w:rPr>
          <w:rFonts w:ascii="Times New Roman" w:hAnsi="Times New Roman" w:cs="Times New Roman"/>
          <w:sz w:val="24"/>
          <w:szCs w:val="24"/>
          <w:lang w:eastAsia="bg-BG"/>
        </w:rPr>
        <w:t>които са съпоставени с получените заложени в софтуера</w:t>
      </w:r>
      <w:r w:rsidR="00C10F89" w:rsidRPr="00A1696A">
        <w:rPr>
          <w:rFonts w:ascii="Times New Roman" w:hAnsi="Times New Roman" w:cs="Times New Roman"/>
          <w:sz w:val="24"/>
          <w:szCs w:val="24"/>
          <w:lang w:eastAsia="bg-BG"/>
        </w:rPr>
        <w:t xml:space="preserve"> </w:t>
      </w:r>
      <w:r w:rsidR="0071667E" w:rsidRPr="00A1696A">
        <w:rPr>
          <w:rFonts w:ascii="Times New Roman" w:hAnsi="Times New Roman" w:cs="Times New Roman"/>
          <w:sz w:val="24"/>
          <w:szCs w:val="24"/>
          <w:lang w:eastAsia="bg-BG"/>
        </w:rPr>
        <w:t>(</w:t>
      </w:r>
      <w:r w:rsidR="0071667E" w:rsidRPr="00A1696A">
        <w:rPr>
          <w:rFonts w:ascii="Times New Roman" w:hAnsi="Times New Roman" w:cs="Times New Roman"/>
          <w:color w:val="000000"/>
          <w:sz w:val="24"/>
          <w:szCs w:val="24"/>
        </w:rPr>
        <w:t>Tmax_Pepper&amp;Corvi(1995)_TIII_TIISA</w:t>
      </w:r>
      <w:r w:rsidR="0071667E" w:rsidRPr="00A1696A">
        <w:rPr>
          <w:rFonts w:ascii="Times New Roman" w:hAnsi="Times New Roman" w:cs="Times New Roman"/>
          <w:sz w:val="24"/>
          <w:szCs w:val="24"/>
          <w:lang w:eastAsia="bg-BG"/>
        </w:rPr>
        <w:t>). След извършения анализ на чувствителността на модела на палео-топлинния поток спрямо оказващите влияние параметри е получен краен концептуален модел на топлинния поток в района на с</w:t>
      </w:r>
      <w:r w:rsidR="008F6905" w:rsidRPr="00A1696A">
        <w:rPr>
          <w:rFonts w:ascii="Times New Roman" w:hAnsi="Times New Roman" w:cs="Times New Roman"/>
          <w:sz w:val="24"/>
          <w:szCs w:val="24"/>
          <w:lang w:eastAsia="bg-BG"/>
        </w:rPr>
        <w:t>онда</w:t>
      </w:r>
      <w:r w:rsidR="0071667E" w:rsidRPr="00A1696A">
        <w:rPr>
          <w:rFonts w:ascii="Times New Roman" w:hAnsi="Times New Roman" w:cs="Times New Roman"/>
          <w:sz w:val="24"/>
          <w:szCs w:val="24"/>
          <w:lang w:eastAsia="bg-BG"/>
        </w:rPr>
        <w:t>ж Р-1 Свиленград</w:t>
      </w:r>
      <w:r w:rsidR="00BA2D5A" w:rsidRPr="00A1696A">
        <w:rPr>
          <w:rFonts w:ascii="Times New Roman" w:hAnsi="Times New Roman" w:cs="Times New Roman"/>
          <w:sz w:val="24"/>
          <w:szCs w:val="24"/>
          <w:lang w:eastAsia="bg-BG"/>
        </w:rPr>
        <w:t xml:space="preserve"> (фиг. </w:t>
      </w:r>
      <w:r w:rsidR="00944F6E">
        <w:rPr>
          <w:rFonts w:ascii="Times New Roman" w:hAnsi="Times New Roman" w:cs="Times New Roman"/>
          <w:sz w:val="24"/>
          <w:szCs w:val="24"/>
          <w:lang w:eastAsia="bg-BG"/>
        </w:rPr>
        <w:t>27</w:t>
      </w:r>
      <w:r w:rsidR="00BA2D5A" w:rsidRPr="00A1696A">
        <w:rPr>
          <w:rFonts w:ascii="Times New Roman" w:hAnsi="Times New Roman" w:cs="Times New Roman"/>
          <w:sz w:val="24"/>
          <w:szCs w:val="24"/>
          <w:lang w:eastAsia="bg-BG"/>
        </w:rPr>
        <w:t>)</w:t>
      </w:r>
      <w:r w:rsidR="0071667E" w:rsidRPr="00A1696A">
        <w:rPr>
          <w:rFonts w:ascii="Times New Roman" w:hAnsi="Times New Roman" w:cs="Times New Roman"/>
          <w:sz w:val="24"/>
          <w:szCs w:val="24"/>
          <w:lang w:eastAsia="bg-BG"/>
        </w:rPr>
        <w:t xml:space="preserve">. </w:t>
      </w:r>
      <w:r w:rsidR="00BA2D5A" w:rsidRPr="00A1696A">
        <w:rPr>
          <w:rFonts w:ascii="Times New Roman" w:hAnsi="Times New Roman" w:cs="Times New Roman"/>
          <w:sz w:val="24"/>
          <w:szCs w:val="24"/>
          <w:lang w:eastAsia="bg-BG"/>
        </w:rPr>
        <w:t>С</w:t>
      </w:r>
      <w:r w:rsidR="0071667E" w:rsidRPr="00A1696A">
        <w:rPr>
          <w:rFonts w:ascii="Times New Roman" w:hAnsi="Times New Roman" w:cs="Times New Roman"/>
          <w:sz w:val="24"/>
          <w:szCs w:val="24"/>
          <w:lang w:eastAsia="bg-BG"/>
        </w:rPr>
        <w:t>тойностите варират от 60 до 120 mW/m</w:t>
      </w:r>
      <w:r w:rsidR="0071667E" w:rsidRPr="00A1696A">
        <w:rPr>
          <w:rFonts w:ascii="Times New Roman" w:hAnsi="Times New Roman" w:cs="Times New Roman"/>
          <w:sz w:val="24"/>
          <w:szCs w:val="24"/>
          <w:vertAlign w:val="superscript"/>
          <w:lang w:eastAsia="bg-BG"/>
        </w:rPr>
        <w:t>2</w:t>
      </w:r>
      <w:r w:rsidR="0071667E" w:rsidRPr="00A1696A">
        <w:rPr>
          <w:rFonts w:ascii="Times New Roman" w:hAnsi="Times New Roman" w:cs="Times New Roman"/>
          <w:sz w:val="24"/>
          <w:szCs w:val="24"/>
          <w:lang w:eastAsia="bg-BG"/>
        </w:rPr>
        <w:t xml:space="preserve"> и са по-високи в сравнение със съвременните стойности</w:t>
      </w:r>
      <w:r w:rsidR="00BA2D5A" w:rsidRPr="00A1696A">
        <w:rPr>
          <w:rFonts w:ascii="Times New Roman" w:hAnsi="Times New Roman" w:cs="Times New Roman"/>
          <w:sz w:val="24"/>
          <w:szCs w:val="24"/>
          <w:lang w:eastAsia="bg-BG"/>
        </w:rPr>
        <w:t xml:space="preserve">, като се увеличават през </w:t>
      </w:r>
      <w:r w:rsidR="00F33602" w:rsidRPr="00A1696A">
        <w:rPr>
          <w:rFonts w:ascii="Times New Roman" w:hAnsi="Times New Roman" w:cs="Times New Roman"/>
          <w:sz w:val="24"/>
          <w:szCs w:val="24"/>
          <w:lang w:eastAsia="bg-BG"/>
        </w:rPr>
        <w:t>късния</w:t>
      </w:r>
      <w:r w:rsidR="00BA2D5A" w:rsidRPr="00A1696A">
        <w:rPr>
          <w:rFonts w:ascii="Times New Roman" w:hAnsi="Times New Roman" w:cs="Times New Roman"/>
          <w:sz w:val="24"/>
          <w:szCs w:val="24"/>
          <w:lang w:eastAsia="bg-BG"/>
        </w:rPr>
        <w:t xml:space="preserve"> </w:t>
      </w:r>
      <w:r w:rsidR="0078683E" w:rsidRPr="00A1696A">
        <w:rPr>
          <w:rFonts w:ascii="Times New Roman" w:hAnsi="Times New Roman" w:cs="Times New Roman"/>
          <w:sz w:val="24"/>
          <w:szCs w:val="24"/>
          <w:lang w:eastAsia="bg-BG"/>
        </w:rPr>
        <w:t>е</w:t>
      </w:r>
      <w:r w:rsidR="0071667E" w:rsidRPr="00A1696A">
        <w:rPr>
          <w:rFonts w:ascii="Times New Roman" w:hAnsi="Times New Roman" w:cs="Times New Roman"/>
          <w:sz w:val="24"/>
          <w:szCs w:val="24"/>
          <w:lang w:eastAsia="bg-BG"/>
        </w:rPr>
        <w:t xml:space="preserve">оцен. Този пик вероятно е свързан с тектонските процеси на отваряне на басейна, </w:t>
      </w:r>
      <w:r w:rsidR="002D4715" w:rsidRPr="00A1696A">
        <w:rPr>
          <w:rFonts w:ascii="Times New Roman" w:hAnsi="Times New Roman" w:cs="Times New Roman"/>
          <w:sz w:val="24"/>
          <w:szCs w:val="24"/>
          <w:lang w:eastAsia="bg-BG"/>
        </w:rPr>
        <w:t>което</w:t>
      </w:r>
      <w:r w:rsidR="0071667E" w:rsidRPr="00A1696A">
        <w:rPr>
          <w:rFonts w:ascii="Times New Roman" w:hAnsi="Times New Roman" w:cs="Times New Roman"/>
          <w:sz w:val="24"/>
          <w:szCs w:val="24"/>
          <w:lang w:eastAsia="bg-BG"/>
        </w:rPr>
        <w:t xml:space="preserve"> оказва влияние за преобразуването на ОВ</w:t>
      </w:r>
      <w:r w:rsidR="002D4715" w:rsidRPr="00A1696A">
        <w:rPr>
          <w:rFonts w:ascii="Times New Roman" w:hAnsi="Times New Roman" w:cs="Times New Roman"/>
          <w:sz w:val="24"/>
          <w:szCs w:val="24"/>
          <w:lang w:eastAsia="bg-BG"/>
        </w:rPr>
        <w:t xml:space="preserve"> </w:t>
      </w:r>
      <w:r w:rsidR="0071667E" w:rsidRPr="00A1696A">
        <w:rPr>
          <w:rFonts w:ascii="Times New Roman" w:hAnsi="Times New Roman" w:cs="Times New Roman"/>
          <w:sz w:val="24"/>
          <w:szCs w:val="24"/>
          <w:lang w:eastAsia="bg-BG"/>
        </w:rPr>
        <w:t xml:space="preserve">в потенциалната генерираща формация Hamitabat. </w:t>
      </w:r>
      <w:r w:rsidR="00BA2D5A" w:rsidRPr="00A1696A">
        <w:rPr>
          <w:rFonts w:ascii="Times New Roman" w:hAnsi="Times New Roman" w:cs="Times New Roman"/>
          <w:sz w:val="24"/>
          <w:szCs w:val="24"/>
          <w:lang w:eastAsia="bg-BG"/>
        </w:rPr>
        <w:t>В</w:t>
      </w:r>
      <w:r w:rsidR="0071667E" w:rsidRPr="00A1696A">
        <w:rPr>
          <w:rFonts w:ascii="Times New Roman" w:hAnsi="Times New Roman" w:cs="Times New Roman"/>
          <w:sz w:val="24"/>
          <w:szCs w:val="24"/>
          <w:lang w:eastAsia="bg-BG"/>
        </w:rPr>
        <w:t xml:space="preserve"> края на миоцен</w:t>
      </w:r>
      <w:r w:rsidR="009D5E35" w:rsidRPr="00A1696A">
        <w:rPr>
          <w:rFonts w:ascii="Times New Roman" w:hAnsi="Times New Roman" w:cs="Times New Roman"/>
          <w:sz w:val="24"/>
          <w:szCs w:val="24"/>
          <w:lang w:eastAsia="bg-BG"/>
        </w:rPr>
        <w:t>ската епоха</w:t>
      </w:r>
      <w:r w:rsidR="0071667E" w:rsidRPr="00A1696A">
        <w:rPr>
          <w:rFonts w:ascii="Times New Roman" w:hAnsi="Times New Roman" w:cs="Times New Roman"/>
          <w:sz w:val="24"/>
          <w:szCs w:val="24"/>
          <w:lang w:eastAsia="bg-BG"/>
        </w:rPr>
        <w:t>–начало на плиоцен</w:t>
      </w:r>
      <w:r w:rsidR="009D5E35" w:rsidRPr="00A1696A">
        <w:rPr>
          <w:rFonts w:ascii="Times New Roman" w:hAnsi="Times New Roman" w:cs="Times New Roman"/>
          <w:sz w:val="24"/>
          <w:szCs w:val="24"/>
          <w:lang w:eastAsia="bg-BG"/>
        </w:rPr>
        <w:t>ската епоха</w:t>
      </w:r>
      <w:r w:rsidR="0071667E" w:rsidRPr="00A1696A">
        <w:rPr>
          <w:rFonts w:ascii="Times New Roman" w:hAnsi="Times New Roman" w:cs="Times New Roman"/>
          <w:sz w:val="24"/>
          <w:szCs w:val="24"/>
          <w:lang w:eastAsia="bg-BG"/>
        </w:rPr>
        <w:t xml:space="preserve"> се достига най-висок пик в стойността на топлинния поток (120 mW/m</w:t>
      </w:r>
      <w:r w:rsidR="0071667E" w:rsidRPr="00A1696A">
        <w:rPr>
          <w:rFonts w:ascii="Times New Roman" w:hAnsi="Times New Roman" w:cs="Times New Roman"/>
          <w:sz w:val="24"/>
          <w:szCs w:val="24"/>
          <w:vertAlign w:val="superscript"/>
          <w:lang w:eastAsia="bg-BG"/>
        </w:rPr>
        <w:t>2</w:t>
      </w:r>
      <w:r w:rsidR="0071667E" w:rsidRPr="00A1696A">
        <w:rPr>
          <w:rFonts w:ascii="Times New Roman" w:hAnsi="Times New Roman" w:cs="Times New Roman"/>
          <w:sz w:val="24"/>
          <w:szCs w:val="24"/>
          <w:lang w:eastAsia="bg-BG"/>
        </w:rPr>
        <w:t xml:space="preserve">), което бележи начало на нова рифтова фаза. </w:t>
      </w:r>
      <w:r w:rsidR="00BA2D5A" w:rsidRPr="00A1696A">
        <w:rPr>
          <w:rFonts w:ascii="Times New Roman" w:hAnsi="Times New Roman" w:cs="Times New Roman"/>
          <w:sz w:val="24"/>
          <w:szCs w:val="24"/>
          <w:lang w:eastAsia="bg-BG"/>
        </w:rPr>
        <w:t xml:space="preserve"> </w:t>
      </w:r>
      <w:r w:rsidR="0071667E" w:rsidRPr="00A1696A">
        <w:rPr>
          <w:rFonts w:ascii="Times New Roman" w:hAnsi="Times New Roman" w:cs="Times New Roman"/>
          <w:sz w:val="24"/>
          <w:szCs w:val="24"/>
          <w:lang w:eastAsia="bg-BG"/>
        </w:rPr>
        <w:t>За температурния модел се приема съвременните стойности на топлинния поток да са 58</w:t>
      </w:r>
      <w:r w:rsidR="009D5E35" w:rsidRPr="00A1696A">
        <w:rPr>
          <w:rFonts w:ascii="Times New Roman" w:hAnsi="Times New Roman" w:cs="Times New Roman"/>
          <w:sz w:val="24"/>
          <w:szCs w:val="24"/>
          <w:lang w:eastAsia="bg-BG"/>
        </w:rPr>
        <w:t>,</w:t>
      </w:r>
      <w:r w:rsidR="0071667E" w:rsidRPr="00A1696A">
        <w:rPr>
          <w:rFonts w:ascii="Times New Roman" w:hAnsi="Times New Roman" w:cs="Times New Roman"/>
          <w:sz w:val="24"/>
          <w:szCs w:val="24"/>
          <w:lang w:eastAsia="bg-BG"/>
        </w:rPr>
        <w:t>5 mW/m</w:t>
      </w:r>
      <w:r w:rsidR="0071667E" w:rsidRPr="00A1696A">
        <w:rPr>
          <w:rFonts w:ascii="Times New Roman" w:hAnsi="Times New Roman" w:cs="Times New Roman"/>
          <w:sz w:val="24"/>
          <w:szCs w:val="24"/>
          <w:vertAlign w:val="superscript"/>
          <w:lang w:eastAsia="bg-BG"/>
        </w:rPr>
        <w:t>2</w:t>
      </w:r>
      <w:r w:rsidR="0078683E" w:rsidRPr="00A1696A">
        <w:rPr>
          <w:rFonts w:ascii="Times New Roman" w:hAnsi="Times New Roman" w:cs="Times New Roman"/>
          <w:sz w:val="24"/>
          <w:szCs w:val="24"/>
          <w:lang w:eastAsia="bg-BG"/>
        </w:rPr>
        <w:t>.</w:t>
      </w:r>
      <w:r w:rsidR="0071667E" w:rsidRPr="00A1696A">
        <w:rPr>
          <w:rFonts w:ascii="Times New Roman" w:hAnsi="Times New Roman" w:cs="Times New Roman"/>
          <w:sz w:val="24"/>
          <w:szCs w:val="24"/>
          <w:lang w:eastAsia="bg-BG"/>
        </w:rPr>
        <w:t xml:space="preserve"> </w:t>
      </w:r>
      <w:r w:rsidR="0078683E" w:rsidRPr="00A1696A">
        <w:rPr>
          <w:rFonts w:ascii="Times New Roman" w:hAnsi="Times New Roman" w:cs="Times New Roman"/>
          <w:sz w:val="24"/>
          <w:szCs w:val="24"/>
          <w:lang w:eastAsia="bg-BG"/>
        </w:rPr>
        <w:t>Това</w:t>
      </w:r>
      <w:r w:rsidR="0071667E" w:rsidRPr="00A1696A">
        <w:rPr>
          <w:rFonts w:ascii="Times New Roman" w:hAnsi="Times New Roman" w:cs="Times New Roman"/>
          <w:sz w:val="24"/>
          <w:szCs w:val="24"/>
          <w:lang w:eastAsia="bg-BG"/>
        </w:rPr>
        <w:t xml:space="preserve"> са оптималните стойности за най-добро съпоставяне на моделираната в програмата съвременна температура с тази от измерената T</w:t>
      </w:r>
      <w:r w:rsidR="0071667E" w:rsidRPr="00A1696A">
        <w:rPr>
          <w:rFonts w:ascii="Times New Roman" w:hAnsi="Times New Roman" w:cs="Times New Roman"/>
          <w:sz w:val="24"/>
          <w:szCs w:val="24"/>
          <w:vertAlign w:val="subscript"/>
          <w:lang w:eastAsia="bg-BG"/>
        </w:rPr>
        <w:t>пл</w:t>
      </w:r>
      <w:r w:rsidR="0071667E" w:rsidRPr="00A1696A">
        <w:rPr>
          <w:rFonts w:ascii="Times New Roman" w:hAnsi="Times New Roman" w:cs="Times New Roman"/>
          <w:sz w:val="24"/>
          <w:szCs w:val="24"/>
          <w:lang w:eastAsia="bg-BG"/>
        </w:rPr>
        <w:t xml:space="preserve"> в сондажа (фиг. </w:t>
      </w:r>
      <w:r w:rsidR="00944F6E">
        <w:rPr>
          <w:rFonts w:ascii="Times New Roman" w:hAnsi="Times New Roman" w:cs="Times New Roman"/>
          <w:sz w:val="24"/>
          <w:szCs w:val="24"/>
          <w:lang w:eastAsia="bg-BG"/>
        </w:rPr>
        <w:t>28</w:t>
      </w:r>
      <w:r w:rsidR="0071667E" w:rsidRPr="00A1696A">
        <w:rPr>
          <w:rFonts w:ascii="Times New Roman" w:hAnsi="Times New Roman" w:cs="Times New Roman"/>
          <w:sz w:val="24"/>
          <w:szCs w:val="24"/>
          <w:lang w:eastAsia="bg-BG"/>
        </w:rPr>
        <w:t>). Модел</w:t>
      </w:r>
      <w:r w:rsidR="00040D5D" w:rsidRPr="00A1696A">
        <w:rPr>
          <w:rFonts w:ascii="Times New Roman" w:hAnsi="Times New Roman" w:cs="Times New Roman"/>
          <w:sz w:val="24"/>
          <w:szCs w:val="24"/>
          <w:lang w:eastAsia="bg-BG"/>
        </w:rPr>
        <w:t>ът</w:t>
      </w:r>
      <w:r w:rsidR="0071667E" w:rsidRPr="00A1696A">
        <w:rPr>
          <w:rFonts w:ascii="Times New Roman" w:hAnsi="Times New Roman" w:cs="Times New Roman"/>
          <w:sz w:val="24"/>
          <w:szCs w:val="24"/>
          <w:lang w:eastAsia="bg-BG"/>
        </w:rPr>
        <w:t xml:space="preserve"> показва, че палео-температурата достига своята максимална стойност през миоцен</w:t>
      </w:r>
      <w:r w:rsidR="008F6905" w:rsidRPr="00A1696A">
        <w:rPr>
          <w:rFonts w:ascii="Times New Roman" w:hAnsi="Times New Roman" w:cs="Times New Roman"/>
          <w:sz w:val="24"/>
          <w:szCs w:val="24"/>
          <w:lang w:eastAsia="bg-BG"/>
        </w:rPr>
        <w:t>ската епоха</w:t>
      </w:r>
      <w:r w:rsidR="0071667E" w:rsidRPr="00A1696A">
        <w:rPr>
          <w:rFonts w:ascii="Times New Roman" w:hAnsi="Times New Roman" w:cs="Times New Roman"/>
          <w:sz w:val="24"/>
          <w:szCs w:val="24"/>
          <w:lang w:eastAsia="bg-BG"/>
        </w:rPr>
        <w:t>, което съвпада с най-високите стойности на палео-топлинния поток по същото време.</w:t>
      </w:r>
      <w:r w:rsidR="00BA2D5A" w:rsidRPr="00A1696A">
        <w:rPr>
          <w:rFonts w:ascii="Times New Roman" w:hAnsi="Times New Roman" w:cs="Times New Roman"/>
          <w:sz w:val="24"/>
          <w:szCs w:val="24"/>
          <w:lang w:eastAsia="bg-BG"/>
        </w:rPr>
        <w:t xml:space="preserve"> </w:t>
      </w:r>
      <w:r w:rsidR="0071667E" w:rsidRPr="00A1696A">
        <w:rPr>
          <w:rFonts w:ascii="Times New Roman" w:hAnsi="Times New Roman" w:cs="Times New Roman"/>
          <w:sz w:val="24"/>
          <w:szCs w:val="24"/>
          <w:lang w:eastAsia="bg-BG"/>
        </w:rPr>
        <w:t xml:space="preserve">Това повишаване на стойностите на палео-топлинния поток и на палеотемпературата през миоценската епоха </w:t>
      </w:r>
      <w:r w:rsidR="0071667E" w:rsidRPr="00A1696A">
        <w:rPr>
          <w:rFonts w:ascii="Times New Roman" w:hAnsi="Times New Roman" w:cs="Times New Roman"/>
          <w:sz w:val="24"/>
          <w:szCs w:val="24"/>
          <w:lang w:eastAsia="bg-BG"/>
        </w:rPr>
        <w:lastRenderedPageBreak/>
        <w:t>вероятно оказва влияние върху съзряване на ОВ, както в оценената потенциална генерираща глинесто-мергелна задруга (Meracheva</w:t>
      </w:r>
      <w:r w:rsidR="00BA2D5A" w:rsidRPr="00A1696A">
        <w:rPr>
          <w:rFonts w:ascii="Times New Roman" w:hAnsi="Times New Roman" w:cs="Times New Roman"/>
          <w:sz w:val="24"/>
          <w:szCs w:val="24"/>
          <w:lang w:eastAsia="bg-BG"/>
        </w:rPr>
        <w:t xml:space="preserve"> </w:t>
      </w:r>
      <w:r w:rsidR="00BA2D5A" w:rsidRPr="00A1696A">
        <w:rPr>
          <w:rFonts w:ascii="Times New Roman" w:hAnsi="Times New Roman" w:cs="Times New Roman"/>
          <w:i/>
          <w:sz w:val="24"/>
          <w:szCs w:val="24"/>
          <w:lang w:eastAsia="bg-BG"/>
        </w:rPr>
        <w:t>et al.</w:t>
      </w:r>
      <w:r w:rsidR="0071667E" w:rsidRPr="00A1696A">
        <w:rPr>
          <w:rFonts w:ascii="Times New Roman" w:hAnsi="Times New Roman" w:cs="Times New Roman"/>
          <w:sz w:val="24"/>
          <w:szCs w:val="24"/>
          <w:lang w:eastAsia="bg-BG"/>
        </w:rPr>
        <w:t>, 2017), така и в доказаната в турската част на басейна нефто-газогенерираща формация Hamitabat (Gürgey, 2009).</w:t>
      </w:r>
    </w:p>
    <w:bookmarkEnd w:id="103"/>
    <w:p w14:paraId="0F0A12EE" w14:textId="573B4A81" w:rsidR="0071667E" w:rsidRPr="00A1696A" w:rsidRDefault="0071667E" w:rsidP="006B6EBF">
      <w:pPr>
        <w:spacing w:after="0" w:line="240" w:lineRule="auto"/>
        <w:jc w:val="both"/>
        <w:rPr>
          <w:rFonts w:ascii="Times New Roman" w:hAnsi="Times New Roman" w:cs="Times New Roman"/>
          <w:sz w:val="24"/>
          <w:szCs w:val="24"/>
          <w:lang w:eastAsia="bg-BG"/>
        </w:rPr>
      </w:pPr>
      <w:r w:rsidRPr="00A1696A">
        <w:rPr>
          <w:rFonts w:ascii="Times New Roman" w:hAnsi="Times New Roman" w:cs="Times New Roman"/>
          <w:sz w:val="24"/>
          <w:szCs w:val="24"/>
          <w:lang w:eastAsia="bg-BG"/>
        </w:rPr>
        <w:t>а)</w:t>
      </w:r>
      <w:r w:rsidR="00711568" w:rsidRPr="00A1696A">
        <w:rPr>
          <w:rFonts w:ascii="Times New Roman" w:hAnsi="Times New Roman" w:cs="Times New Roman"/>
          <w:noProof/>
          <w:sz w:val="24"/>
          <w:szCs w:val="24"/>
          <w:lang w:eastAsia="bg-BG"/>
        </w:rPr>
        <w:drawing>
          <wp:inline distT="0" distB="0" distL="0" distR="0" wp14:anchorId="0EA325DF" wp14:editId="698136B1">
            <wp:extent cx="3525325" cy="1839002"/>
            <wp:effectExtent l="0" t="0" r="0" b="8890"/>
            <wp:docPr id="90135" name="Картина 9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5" name="Heat flow_бг.png"/>
                    <pic:cNvPicPr/>
                  </pic:nvPicPr>
                  <pic:blipFill rotWithShape="1">
                    <a:blip r:embed="rId43" cstate="print">
                      <a:extLst>
                        <a:ext uri="{28A0092B-C50C-407E-A947-70E740481C1C}">
                          <a14:useLocalDpi xmlns:a14="http://schemas.microsoft.com/office/drawing/2010/main" val="0"/>
                        </a:ext>
                      </a:extLst>
                    </a:blip>
                    <a:srcRect t="16414"/>
                    <a:stretch/>
                  </pic:blipFill>
                  <pic:spPr bwMode="auto">
                    <a:xfrm>
                      <a:off x="0" y="0"/>
                      <a:ext cx="3539045" cy="1846159"/>
                    </a:xfrm>
                    <a:prstGeom prst="rect">
                      <a:avLst/>
                    </a:prstGeom>
                    <a:ln>
                      <a:noFill/>
                    </a:ln>
                    <a:extLst>
                      <a:ext uri="{53640926-AAD7-44D8-BBD7-CCE9431645EC}">
                        <a14:shadowObscured xmlns:a14="http://schemas.microsoft.com/office/drawing/2010/main"/>
                      </a:ext>
                    </a:extLst>
                  </pic:spPr>
                </pic:pic>
              </a:graphicData>
            </a:graphic>
          </wp:inline>
        </w:drawing>
      </w:r>
      <w:r w:rsidRPr="00A1696A">
        <w:rPr>
          <w:rFonts w:ascii="Times New Roman" w:hAnsi="Times New Roman" w:cs="Times New Roman"/>
          <w:sz w:val="24"/>
          <w:szCs w:val="24"/>
          <w:lang w:eastAsia="bg-BG"/>
        </w:rPr>
        <w:t>б)</w:t>
      </w:r>
      <w:r w:rsidR="00711568" w:rsidRPr="00A1696A">
        <w:rPr>
          <w:rFonts w:ascii="Times New Roman" w:hAnsi="Times New Roman" w:cs="Times New Roman"/>
          <w:noProof/>
          <w:sz w:val="24"/>
          <w:szCs w:val="24"/>
          <w:lang w:eastAsia="bg-BG"/>
        </w:rPr>
        <w:drawing>
          <wp:inline distT="0" distB="0" distL="0" distR="0" wp14:anchorId="18A62C47" wp14:editId="3494084C">
            <wp:extent cx="1859023" cy="1956331"/>
            <wp:effectExtent l="0" t="0" r="8255" b="6350"/>
            <wp:docPr id="90136" name="Картина 9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6" name="Temp_бг.png"/>
                    <pic:cNvPicPr/>
                  </pic:nvPicPr>
                  <pic:blipFill rotWithShape="1">
                    <a:blip r:embed="rId44" cstate="print">
                      <a:extLst>
                        <a:ext uri="{28A0092B-C50C-407E-A947-70E740481C1C}">
                          <a14:useLocalDpi xmlns:a14="http://schemas.microsoft.com/office/drawing/2010/main" val="0"/>
                        </a:ext>
                      </a:extLst>
                    </a:blip>
                    <a:srcRect t="8631" r="12278" b="13945"/>
                    <a:stretch/>
                  </pic:blipFill>
                  <pic:spPr bwMode="auto">
                    <a:xfrm>
                      <a:off x="0" y="0"/>
                      <a:ext cx="1875735" cy="1973918"/>
                    </a:xfrm>
                    <a:prstGeom prst="rect">
                      <a:avLst/>
                    </a:prstGeom>
                    <a:ln>
                      <a:noFill/>
                    </a:ln>
                    <a:extLst>
                      <a:ext uri="{53640926-AAD7-44D8-BBD7-CCE9431645EC}">
                        <a14:shadowObscured xmlns:a14="http://schemas.microsoft.com/office/drawing/2010/main"/>
                      </a:ext>
                    </a:extLst>
                  </pic:spPr>
                </pic:pic>
              </a:graphicData>
            </a:graphic>
          </wp:inline>
        </w:drawing>
      </w:r>
    </w:p>
    <w:p w14:paraId="1084FF05" w14:textId="578C4DBD" w:rsidR="0071667E" w:rsidRPr="00A1696A" w:rsidRDefault="0071667E"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944F6E">
        <w:rPr>
          <w:rFonts w:ascii="Times New Roman" w:hAnsi="Times New Roman" w:cs="Times New Roman"/>
          <w:i/>
          <w:sz w:val="24"/>
          <w:szCs w:val="24"/>
          <w:lang w:eastAsia="bg-BG"/>
        </w:rPr>
        <w:t>27</w:t>
      </w:r>
      <w:r w:rsidRPr="00A1696A">
        <w:rPr>
          <w:rFonts w:ascii="Times New Roman" w:hAnsi="Times New Roman" w:cs="Times New Roman"/>
          <w:i/>
          <w:sz w:val="24"/>
          <w:szCs w:val="24"/>
          <w:lang w:eastAsia="bg-BG"/>
        </w:rPr>
        <w:t>. Модел на палеотоплинния поток за сондаж Р-1 Свиленград (а), калибриран с моделираните от софтуера стойности на зрелостта с тези получени при пиролиза (б)</w:t>
      </w:r>
    </w:p>
    <w:p w14:paraId="59380C07" w14:textId="0CE144DD" w:rsidR="0071667E" w:rsidRPr="00A1696A" w:rsidRDefault="00C10F89" w:rsidP="006B6EBF">
      <w:pPr>
        <w:spacing w:after="0" w:line="240" w:lineRule="auto"/>
        <w:jc w:val="both"/>
        <w:rPr>
          <w:rFonts w:ascii="Times New Roman" w:hAnsi="Times New Roman" w:cs="Times New Roman"/>
          <w:sz w:val="24"/>
          <w:szCs w:val="24"/>
        </w:rPr>
      </w:pPr>
      <w:r w:rsidRPr="00A1696A">
        <w:rPr>
          <w:rFonts w:ascii="Times New Roman" w:hAnsi="Times New Roman" w:cs="Times New Roman"/>
          <w:sz w:val="24"/>
          <w:szCs w:val="24"/>
        </w:rPr>
        <w:t>а)</w:t>
      </w:r>
      <w:r w:rsidR="009B3167" w:rsidRPr="00A1696A">
        <w:rPr>
          <w:rFonts w:ascii="Times New Roman" w:hAnsi="Times New Roman" w:cs="Times New Roman"/>
          <w:noProof/>
          <w:sz w:val="24"/>
          <w:szCs w:val="24"/>
          <w:lang w:eastAsia="bg-BG"/>
        </w:rPr>
        <w:drawing>
          <wp:inline distT="0" distB="0" distL="0" distR="0" wp14:anchorId="2729FA79" wp14:editId="5D699DDC">
            <wp:extent cx="3322971" cy="1674618"/>
            <wp:effectExtent l="0" t="0" r="0" b="1905"/>
            <wp:docPr id="90137" name="Картина 9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7" name="Paleotemp_r1_бг.png"/>
                    <pic:cNvPicPr/>
                  </pic:nvPicPr>
                  <pic:blipFill rotWithShape="1">
                    <a:blip r:embed="rId45">
                      <a:extLst>
                        <a:ext uri="{28A0092B-C50C-407E-A947-70E740481C1C}">
                          <a14:useLocalDpi xmlns:a14="http://schemas.microsoft.com/office/drawing/2010/main" val="0"/>
                        </a:ext>
                      </a:extLst>
                    </a:blip>
                    <a:srcRect l="2690" t="11840" r="20744" b="21378"/>
                    <a:stretch/>
                  </pic:blipFill>
                  <pic:spPr bwMode="auto">
                    <a:xfrm>
                      <a:off x="0" y="0"/>
                      <a:ext cx="3354006" cy="1690258"/>
                    </a:xfrm>
                    <a:prstGeom prst="rect">
                      <a:avLst/>
                    </a:prstGeom>
                    <a:ln>
                      <a:noFill/>
                    </a:ln>
                    <a:extLst>
                      <a:ext uri="{53640926-AAD7-44D8-BBD7-CCE9431645EC}">
                        <a14:shadowObscured xmlns:a14="http://schemas.microsoft.com/office/drawing/2010/main"/>
                      </a:ext>
                    </a:extLst>
                  </pic:spPr>
                </pic:pic>
              </a:graphicData>
            </a:graphic>
          </wp:inline>
        </w:drawing>
      </w:r>
      <w:r w:rsidR="0071667E" w:rsidRPr="00A1696A">
        <w:rPr>
          <w:rFonts w:ascii="Times New Roman" w:hAnsi="Times New Roman" w:cs="Times New Roman"/>
          <w:sz w:val="24"/>
          <w:szCs w:val="24"/>
        </w:rPr>
        <w:t xml:space="preserve"> </w:t>
      </w:r>
      <w:r w:rsidR="007034A6" w:rsidRPr="00A1696A">
        <w:rPr>
          <w:rFonts w:ascii="Times New Roman" w:hAnsi="Times New Roman" w:cs="Times New Roman"/>
          <w:sz w:val="24"/>
          <w:szCs w:val="24"/>
        </w:rPr>
        <w:t>б)</w:t>
      </w:r>
      <w:r w:rsidR="009B3167" w:rsidRPr="00A1696A">
        <w:rPr>
          <w:rFonts w:ascii="Times New Roman" w:hAnsi="Times New Roman" w:cs="Times New Roman"/>
          <w:noProof/>
          <w:sz w:val="24"/>
          <w:szCs w:val="24"/>
          <w:lang w:eastAsia="bg-BG"/>
        </w:rPr>
        <w:drawing>
          <wp:inline distT="0" distB="0" distL="0" distR="0" wp14:anchorId="391B7A73" wp14:editId="549B0BF5">
            <wp:extent cx="1917174" cy="2009136"/>
            <wp:effectExtent l="0" t="0" r="6985" b="0"/>
            <wp:docPr id="90141" name="Картина 9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1" name="BHT_бг.png"/>
                    <pic:cNvPicPr/>
                  </pic:nvPicPr>
                  <pic:blipFill rotWithShape="1">
                    <a:blip r:embed="rId46">
                      <a:extLst>
                        <a:ext uri="{28A0092B-C50C-407E-A947-70E740481C1C}">
                          <a14:useLocalDpi xmlns:a14="http://schemas.microsoft.com/office/drawing/2010/main" val="0"/>
                        </a:ext>
                      </a:extLst>
                    </a:blip>
                    <a:srcRect l="3966" t="11420" r="12293" b="14976"/>
                    <a:stretch/>
                  </pic:blipFill>
                  <pic:spPr bwMode="auto">
                    <a:xfrm>
                      <a:off x="0" y="0"/>
                      <a:ext cx="1948478" cy="2041941"/>
                    </a:xfrm>
                    <a:prstGeom prst="rect">
                      <a:avLst/>
                    </a:prstGeom>
                    <a:ln>
                      <a:noFill/>
                    </a:ln>
                    <a:extLst>
                      <a:ext uri="{53640926-AAD7-44D8-BBD7-CCE9431645EC}">
                        <a14:shadowObscured xmlns:a14="http://schemas.microsoft.com/office/drawing/2010/main"/>
                      </a:ext>
                    </a:extLst>
                  </pic:spPr>
                </pic:pic>
              </a:graphicData>
            </a:graphic>
          </wp:inline>
        </w:drawing>
      </w:r>
    </w:p>
    <w:p w14:paraId="56323EA2" w14:textId="3C8F2520" w:rsidR="0071667E" w:rsidRPr="00A1696A" w:rsidRDefault="0071667E" w:rsidP="006B6EBF">
      <w:pPr>
        <w:spacing w:after="0" w:line="240" w:lineRule="auto"/>
        <w:jc w:val="center"/>
        <w:rPr>
          <w:rFonts w:ascii="Times New Roman" w:hAnsi="Times New Roman" w:cs="Times New Roman"/>
          <w:i/>
          <w:sz w:val="24"/>
          <w:szCs w:val="24"/>
          <w:lang w:eastAsia="bg-BG"/>
        </w:rPr>
      </w:pPr>
      <w:r w:rsidRPr="00A1696A">
        <w:rPr>
          <w:rFonts w:ascii="Times New Roman" w:hAnsi="Times New Roman" w:cs="Times New Roman"/>
          <w:i/>
          <w:sz w:val="24"/>
          <w:szCs w:val="24"/>
          <w:lang w:eastAsia="bg-BG"/>
        </w:rPr>
        <w:t xml:space="preserve">Фиг. </w:t>
      </w:r>
      <w:r w:rsidR="00944F6E">
        <w:rPr>
          <w:rFonts w:ascii="Times New Roman" w:hAnsi="Times New Roman" w:cs="Times New Roman"/>
          <w:i/>
          <w:sz w:val="24"/>
          <w:szCs w:val="24"/>
          <w:lang w:eastAsia="bg-BG"/>
        </w:rPr>
        <w:t>28</w:t>
      </w:r>
      <w:r w:rsidRPr="00A1696A">
        <w:rPr>
          <w:rFonts w:ascii="Times New Roman" w:hAnsi="Times New Roman" w:cs="Times New Roman"/>
          <w:i/>
          <w:sz w:val="24"/>
          <w:szCs w:val="24"/>
          <w:lang w:eastAsia="bg-BG"/>
        </w:rPr>
        <w:t>. Модел на палеотемпературата за сондаж Р-1 Свиленград (а), калибрирана с моделираните от софтуера стойности на съвременната температура с тези получени от измерванията в сондажа- BHT (б)</w:t>
      </w:r>
    </w:p>
    <w:p w14:paraId="6099C1BD" w14:textId="77777777" w:rsidR="0071667E" w:rsidRPr="00A1696A" w:rsidRDefault="0071667E" w:rsidP="006B6EBF">
      <w:pPr>
        <w:spacing w:after="0" w:line="240" w:lineRule="auto"/>
        <w:jc w:val="center"/>
        <w:rPr>
          <w:rFonts w:ascii="Times New Roman" w:hAnsi="Times New Roman" w:cs="Times New Roman"/>
          <w:sz w:val="24"/>
          <w:szCs w:val="24"/>
        </w:rPr>
      </w:pPr>
    </w:p>
    <w:p w14:paraId="5A3C15D2" w14:textId="773CF3B7" w:rsidR="009D5E35" w:rsidRPr="00DA6E8E" w:rsidRDefault="0071667E" w:rsidP="00DA6E8E">
      <w:pPr>
        <w:spacing w:after="0" w:line="240" w:lineRule="auto"/>
        <w:ind w:firstLine="709"/>
        <w:jc w:val="both"/>
        <w:rPr>
          <w:rFonts w:ascii="Times New Roman" w:hAnsi="Times New Roman" w:cs="Times New Roman"/>
          <w:sz w:val="24"/>
          <w:szCs w:val="24"/>
          <w:lang w:eastAsia="bg-BG"/>
        </w:rPr>
      </w:pPr>
      <w:bookmarkStart w:id="104" w:name="_Hlk7816610"/>
      <w:r w:rsidRPr="00DA6E8E">
        <w:rPr>
          <w:rFonts w:ascii="Times New Roman" w:hAnsi="Times New Roman" w:cs="Times New Roman"/>
          <w:b/>
          <w:i/>
          <w:sz w:val="24"/>
          <w:szCs w:val="24"/>
          <w:lang w:eastAsia="bg-BG"/>
        </w:rPr>
        <w:t>Моделиране на термичната зрялост на потенциалните нефтогазогенериращи формации</w:t>
      </w:r>
      <w:r w:rsidR="008F6905" w:rsidRPr="00DA6E8E">
        <w:rPr>
          <w:rFonts w:ascii="Times New Roman" w:hAnsi="Times New Roman" w:cs="Times New Roman"/>
          <w:b/>
          <w:i/>
          <w:sz w:val="24"/>
          <w:szCs w:val="24"/>
          <w:lang w:eastAsia="bg-BG"/>
        </w:rPr>
        <w:t>.</w:t>
      </w:r>
      <w:r w:rsidR="00FD48D0"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Основавайки се на факта, че седиментите на глинесто-мергелната задруга (аналог на Mezardere) са оценени като потенциално газогенериращи и предположението на турските изследователи (Hosgörmez</w:t>
      </w:r>
      <w:r w:rsidR="00F411D5" w:rsidRPr="00DA6E8E">
        <w:rPr>
          <w:rFonts w:ascii="Times New Roman" w:hAnsi="Times New Roman" w:cs="Times New Roman"/>
          <w:sz w:val="24"/>
          <w:szCs w:val="24"/>
          <w:lang w:eastAsia="bg-BG"/>
        </w:rPr>
        <w:t xml:space="preserve"> </w:t>
      </w:r>
      <w:r w:rsidR="009D5E35" w:rsidRPr="00DA6E8E">
        <w:rPr>
          <w:rFonts w:ascii="Times New Roman" w:hAnsi="Times New Roman" w:cs="Times New Roman"/>
          <w:sz w:val="24"/>
          <w:szCs w:val="24"/>
          <w:lang w:eastAsia="bg-BG"/>
        </w:rPr>
        <w:t>and</w:t>
      </w:r>
      <w:r w:rsidRPr="00DA6E8E">
        <w:rPr>
          <w:rFonts w:ascii="Times New Roman" w:hAnsi="Times New Roman" w:cs="Times New Roman"/>
          <w:sz w:val="24"/>
          <w:szCs w:val="24"/>
          <w:lang w:eastAsia="bg-BG"/>
        </w:rPr>
        <w:t xml:space="preserve"> Yalçın, 2005), че формации Ceylan и Hamitabat са другите две потенциални-източници на ВВ за повечето находища в Тракийския басейн, в настоящата разработка се прави 1D модел на термичната зрялост  на тези три лито-стратиграфски единици</w:t>
      </w:r>
      <w:r w:rsidR="00777938" w:rsidRPr="00DA6E8E">
        <w:rPr>
          <w:rFonts w:ascii="Times New Roman" w:hAnsi="Times New Roman" w:cs="Times New Roman"/>
          <w:sz w:val="24"/>
          <w:szCs w:val="24"/>
          <w:lang w:eastAsia="bg-BG"/>
        </w:rPr>
        <w:t>. Това е извършено</w:t>
      </w:r>
      <w:r w:rsidR="00946557"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върху 4 сондажа – Р-1 Свиленград и псевдо-сондажи Р-1, Р-2, Р-3.</w:t>
      </w:r>
      <w:r w:rsidR="00946557"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Модел</w:t>
      </w:r>
      <w:r w:rsidR="009D5E35" w:rsidRPr="00DA6E8E">
        <w:rPr>
          <w:rFonts w:ascii="Times New Roman" w:hAnsi="Times New Roman" w:cs="Times New Roman"/>
          <w:sz w:val="24"/>
          <w:szCs w:val="24"/>
          <w:lang w:eastAsia="bg-BG"/>
        </w:rPr>
        <w:t>ът</w:t>
      </w:r>
      <w:r w:rsidRPr="00DA6E8E">
        <w:rPr>
          <w:rFonts w:ascii="Times New Roman" w:hAnsi="Times New Roman" w:cs="Times New Roman"/>
          <w:sz w:val="24"/>
          <w:szCs w:val="24"/>
          <w:lang w:eastAsia="bg-BG"/>
        </w:rPr>
        <w:t xml:space="preserve"> на термичната зрялост показва съответните зони на генериране на ВВ за всички седиментни последователности през различните периоди (фиг.</w:t>
      </w:r>
      <w:r w:rsidR="009D5E35" w:rsidRPr="00DA6E8E">
        <w:rPr>
          <w:rFonts w:ascii="Times New Roman" w:hAnsi="Times New Roman" w:cs="Times New Roman"/>
          <w:sz w:val="24"/>
          <w:szCs w:val="24"/>
          <w:lang w:eastAsia="bg-BG"/>
        </w:rPr>
        <w:t xml:space="preserve"> </w:t>
      </w:r>
      <w:r w:rsidR="00944F6E">
        <w:rPr>
          <w:rFonts w:ascii="Times New Roman" w:hAnsi="Times New Roman" w:cs="Times New Roman"/>
          <w:sz w:val="24"/>
          <w:szCs w:val="24"/>
          <w:lang w:eastAsia="bg-BG"/>
        </w:rPr>
        <w:t>29</w:t>
      </w:r>
      <w:r w:rsidRPr="00DA6E8E">
        <w:rPr>
          <w:rFonts w:ascii="Times New Roman" w:hAnsi="Times New Roman" w:cs="Times New Roman"/>
          <w:sz w:val="24"/>
          <w:szCs w:val="24"/>
          <w:lang w:eastAsia="bg-BG"/>
        </w:rPr>
        <w:t xml:space="preserve">). </w:t>
      </w:r>
    </w:p>
    <w:p w14:paraId="16C2812F" w14:textId="470C4B62" w:rsidR="0071667E" w:rsidRPr="00A1696A" w:rsidRDefault="00946557" w:rsidP="006B6EBF">
      <w:pPr>
        <w:spacing w:after="0" w:line="240" w:lineRule="auto"/>
        <w:ind w:firstLine="709"/>
        <w:jc w:val="both"/>
        <w:rPr>
          <w:rFonts w:ascii="Times New Roman" w:hAnsi="Times New Roman" w:cs="Times New Roman"/>
          <w:sz w:val="24"/>
          <w:szCs w:val="24"/>
          <w:lang w:eastAsia="bg-BG"/>
        </w:rPr>
      </w:pPr>
      <w:r w:rsidRPr="00DA6E8E">
        <w:rPr>
          <w:rFonts w:ascii="Times New Roman" w:hAnsi="Times New Roman" w:cs="Times New Roman"/>
          <w:i/>
          <w:sz w:val="24"/>
          <w:szCs w:val="24"/>
          <w:lang w:eastAsia="bg-BG"/>
        </w:rPr>
        <w:t>С</w:t>
      </w:r>
      <w:r w:rsidR="0071667E" w:rsidRPr="00DA6E8E">
        <w:rPr>
          <w:rFonts w:ascii="Times New Roman" w:hAnsi="Times New Roman" w:cs="Times New Roman"/>
          <w:i/>
          <w:sz w:val="24"/>
          <w:szCs w:val="24"/>
          <w:lang w:eastAsia="bg-BG"/>
        </w:rPr>
        <w:t>едименти</w:t>
      </w:r>
      <w:r w:rsidR="00777938" w:rsidRPr="00DA6E8E">
        <w:rPr>
          <w:rFonts w:ascii="Times New Roman" w:hAnsi="Times New Roman" w:cs="Times New Roman"/>
          <w:i/>
          <w:sz w:val="24"/>
          <w:szCs w:val="24"/>
          <w:lang w:eastAsia="bg-BG"/>
        </w:rPr>
        <w:t>те</w:t>
      </w:r>
      <w:r w:rsidR="0071667E" w:rsidRPr="00DA6E8E">
        <w:rPr>
          <w:rFonts w:ascii="Times New Roman" w:hAnsi="Times New Roman" w:cs="Times New Roman"/>
          <w:i/>
          <w:sz w:val="24"/>
          <w:szCs w:val="24"/>
          <w:lang w:eastAsia="bg-BG"/>
        </w:rPr>
        <w:t xml:space="preserve"> на глинесто-мергелната задруга, аналог на формация Mezardere, са в незрял стадии на преобразуваност. Моделите и на четирите сондажа показват, че седименти на теригенно-варовиково-глинестата задруга, аналог на формация Ceylan, са навлезли в нефтения прозорец в началото на миоценската епоха и са в този стади</w:t>
      </w:r>
      <w:r w:rsidR="009D5E35" w:rsidRPr="00DA6E8E">
        <w:rPr>
          <w:rFonts w:ascii="Times New Roman" w:hAnsi="Times New Roman" w:cs="Times New Roman"/>
          <w:i/>
          <w:sz w:val="24"/>
          <w:szCs w:val="24"/>
          <w:lang w:eastAsia="bg-BG"/>
        </w:rPr>
        <w:t>й</w:t>
      </w:r>
      <w:r w:rsidR="0071667E" w:rsidRPr="00DA6E8E">
        <w:rPr>
          <w:rFonts w:ascii="Times New Roman" w:hAnsi="Times New Roman" w:cs="Times New Roman"/>
          <w:i/>
          <w:sz w:val="24"/>
          <w:szCs w:val="24"/>
          <w:lang w:eastAsia="bg-BG"/>
        </w:rPr>
        <w:t xml:space="preserve"> до настоящия момент. Моделите на преобразуваност за </w:t>
      </w:r>
      <w:r w:rsidRPr="00DA6E8E">
        <w:rPr>
          <w:rFonts w:ascii="Times New Roman" w:hAnsi="Times New Roman" w:cs="Times New Roman"/>
          <w:i/>
          <w:sz w:val="24"/>
          <w:szCs w:val="24"/>
          <w:lang w:eastAsia="bg-BG"/>
        </w:rPr>
        <w:t xml:space="preserve">седиментите, аналог на </w:t>
      </w:r>
      <w:r w:rsidR="0071667E" w:rsidRPr="00DA6E8E">
        <w:rPr>
          <w:rFonts w:ascii="Times New Roman" w:hAnsi="Times New Roman" w:cs="Times New Roman"/>
          <w:i/>
          <w:sz w:val="24"/>
          <w:szCs w:val="24"/>
          <w:lang w:eastAsia="bg-BG"/>
        </w:rPr>
        <w:t>формация Hamitabat показват, че тя е навлязла в зоната на нефтения</w:t>
      </w:r>
      <w:r w:rsidR="00777938" w:rsidRPr="00DA6E8E">
        <w:rPr>
          <w:rFonts w:ascii="Times New Roman" w:hAnsi="Times New Roman" w:cs="Times New Roman"/>
          <w:i/>
          <w:sz w:val="24"/>
          <w:szCs w:val="24"/>
          <w:lang w:eastAsia="bg-BG"/>
        </w:rPr>
        <w:t xml:space="preserve"> прозорец</w:t>
      </w:r>
      <w:r w:rsidRPr="00DA6E8E">
        <w:rPr>
          <w:rFonts w:ascii="Times New Roman" w:hAnsi="Times New Roman" w:cs="Times New Roman"/>
          <w:i/>
          <w:sz w:val="24"/>
          <w:szCs w:val="24"/>
          <w:lang w:eastAsia="bg-BG"/>
        </w:rPr>
        <w:t xml:space="preserve"> през еоценската епоха</w:t>
      </w:r>
      <w:r w:rsidR="0071667E" w:rsidRPr="00DA6E8E">
        <w:rPr>
          <w:rFonts w:ascii="Times New Roman" w:hAnsi="Times New Roman" w:cs="Times New Roman"/>
          <w:i/>
          <w:sz w:val="24"/>
          <w:szCs w:val="24"/>
          <w:lang w:eastAsia="bg-BG"/>
        </w:rPr>
        <w:t xml:space="preserve"> </w:t>
      </w:r>
      <w:r w:rsidRPr="00DA6E8E">
        <w:rPr>
          <w:rFonts w:ascii="Times New Roman" w:hAnsi="Times New Roman" w:cs="Times New Roman"/>
          <w:i/>
          <w:sz w:val="24"/>
          <w:szCs w:val="24"/>
          <w:lang w:eastAsia="bg-BG"/>
        </w:rPr>
        <w:t>в</w:t>
      </w:r>
      <w:r w:rsidR="0071667E" w:rsidRPr="00DA6E8E">
        <w:rPr>
          <w:rFonts w:ascii="Times New Roman" w:hAnsi="Times New Roman" w:cs="Times New Roman"/>
          <w:i/>
          <w:sz w:val="24"/>
          <w:szCs w:val="24"/>
          <w:lang w:eastAsia="bg-BG"/>
        </w:rPr>
        <w:t xml:space="preserve"> участъците на трите псевдо-сондажа, които са в грабена на басейна. Както се вижда от направените модели</w:t>
      </w:r>
      <w:r w:rsidR="009D5E35" w:rsidRPr="00DA6E8E">
        <w:rPr>
          <w:rFonts w:ascii="Times New Roman" w:hAnsi="Times New Roman" w:cs="Times New Roman"/>
          <w:i/>
          <w:sz w:val="24"/>
          <w:szCs w:val="24"/>
          <w:lang w:eastAsia="bg-BG"/>
        </w:rPr>
        <w:t>,</w:t>
      </w:r>
      <w:r w:rsidR="0071667E" w:rsidRPr="00DA6E8E">
        <w:rPr>
          <w:rFonts w:ascii="Times New Roman" w:hAnsi="Times New Roman" w:cs="Times New Roman"/>
          <w:i/>
          <w:sz w:val="24"/>
          <w:szCs w:val="24"/>
          <w:lang w:eastAsia="bg-BG"/>
        </w:rPr>
        <w:t xml:space="preserve"> долните нива на формацията са в непосредствена близост до газовия прозорец, което дава основание да предположим, че в голяма близост до района на изследване, където формацията е на по-голяма дълбочина, тя е достигнала зрялост за да продуцира газ от началото на миоценската епоха до наши дни.</w:t>
      </w:r>
    </w:p>
    <w:bookmarkEnd w:id="104"/>
    <w:p w14:paraId="3EE2A272" w14:textId="77777777" w:rsidR="0071667E" w:rsidRPr="00A1696A" w:rsidRDefault="0071667E" w:rsidP="006B6EBF">
      <w:pPr>
        <w:spacing w:after="0" w:line="240" w:lineRule="auto"/>
        <w:ind w:firstLine="709"/>
        <w:jc w:val="both"/>
        <w:rPr>
          <w:rFonts w:ascii="Times New Roman" w:hAnsi="Times New Roman" w:cs="Times New Roman"/>
          <w:sz w:val="24"/>
          <w:szCs w:val="24"/>
          <w:lang w:eastAsia="bg-BG"/>
        </w:rPr>
        <w:sectPr w:rsidR="0071667E" w:rsidRPr="00A1696A" w:rsidSect="00D9580A">
          <w:footerReference w:type="default" r:id="rId47"/>
          <w:pgSz w:w="11906" w:h="16838"/>
          <w:pgMar w:top="1021" w:right="1134" w:bottom="1418" w:left="1134" w:header="709" w:footer="709" w:gutter="0"/>
          <w:cols w:space="708"/>
          <w:docGrid w:linePitch="360"/>
        </w:sectPr>
      </w:pPr>
    </w:p>
    <w:p w14:paraId="177EB600" w14:textId="40CE9315" w:rsidR="0071667E" w:rsidRPr="00A1696A" w:rsidRDefault="0071667E"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sz w:val="24"/>
          <w:szCs w:val="24"/>
        </w:rPr>
        <w:lastRenderedPageBreak/>
        <w:t xml:space="preserve"> </w:t>
      </w:r>
    </w:p>
    <w:p w14:paraId="2C37A828" w14:textId="56D0719B" w:rsidR="00F411D5" w:rsidRPr="00A1696A" w:rsidRDefault="00687990" w:rsidP="006B6EBF">
      <w:pPr>
        <w:spacing w:after="0" w:line="240" w:lineRule="auto"/>
        <w:jc w:val="center"/>
        <w:rPr>
          <w:rFonts w:ascii="Times New Roman" w:hAnsi="Times New Roman" w:cs="Times New Roman"/>
          <w:sz w:val="24"/>
          <w:szCs w:val="24"/>
        </w:rPr>
      </w:pPr>
      <w:bookmarkStart w:id="105" w:name="_Hlk647078"/>
      <w:r w:rsidRPr="00A1696A">
        <w:rPr>
          <w:rFonts w:ascii="Times New Roman" w:hAnsi="Times New Roman" w:cs="Times New Roman"/>
          <w:noProof/>
          <w:sz w:val="24"/>
          <w:szCs w:val="24"/>
          <w:lang w:eastAsia="bg-BG"/>
        </w:rPr>
        <w:drawing>
          <wp:inline distT="0" distB="0" distL="0" distR="0" wp14:anchorId="7A2F681E" wp14:editId="15E4E0BF">
            <wp:extent cx="4082145" cy="2581527"/>
            <wp:effectExtent l="19050" t="19050" r="13970" b="28575"/>
            <wp:docPr id="90112" name="Картина 9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2" name="R_1 maturity_бг.png"/>
                    <pic:cNvPicPr/>
                  </pic:nvPicPr>
                  <pic:blipFill rotWithShape="1">
                    <a:blip r:embed="rId48">
                      <a:extLst>
                        <a:ext uri="{28A0092B-C50C-407E-A947-70E740481C1C}">
                          <a14:useLocalDpi xmlns:a14="http://schemas.microsoft.com/office/drawing/2010/main" val="0"/>
                        </a:ext>
                      </a:extLst>
                    </a:blip>
                    <a:srcRect l="7769" t="12096" r="3655" b="6592"/>
                    <a:stretch/>
                  </pic:blipFill>
                  <pic:spPr bwMode="auto">
                    <a:xfrm>
                      <a:off x="0" y="0"/>
                      <a:ext cx="4117451" cy="2603854"/>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r w:rsidRPr="00A1696A">
        <w:rPr>
          <w:rFonts w:ascii="Times New Roman" w:hAnsi="Times New Roman" w:cs="Times New Roman"/>
          <w:noProof/>
          <w:sz w:val="24"/>
          <w:szCs w:val="24"/>
          <w:lang w:eastAsia="bg-BG"/>
        </w:rPr>
        <w:drawing>
          <wp:inline distT="0" distB="0" distL="0" distR="0" wp14:anchorId="126DEBAC" wp14:editId="10FE7BED">
            <wp:extent cx="4119548" cy="2587213"/>
            <wp:effectExtent l="19050" t="19050" r="14605" b="22860"/>
            <wp:docPr id="90113" name="Картина 9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3" name="Pseudo R-1_maturity_бг.png"/>
                    <pic:cNvPicPr/>
                  </pic:nvPicPr>
                  <pic:blipFill rotWithShape="1">
                    <a:blip r:embed="rId49">
                      <a:extLst>
                        <a:ext uri="{28A0092B-C50C-407E-A947-70E740481C1C}">
                          <a14:useLocalDpi xmlns:a14="http://schemas.microsoft.com/office/drawing/2010/main" val="0"/>
                        </a:ext>
                      </a:extLst>
                    </a:blip>
                    <a:srcRect l="8072" t="12112" r="4337" b="8034"/>
                    <a:stretch/>
                  </pic:blipFill>
                  <pic:spPr bwMode="auto">
                    <a:xfrm>
                      <a:off x="0" y="0"/>
                      <a:ext cx="4171363" cy="261975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5A32259" w14:textId="4A64BF9E" w:rsidR="00687990" w:rsidRPr="00A1696A" w:rsidRDefault="00687990" w:rsidP="006B6EBF">
      <w:pPr>
        <w:spacing w:after="0" w:line="240" w:lineRule="auto"/>
        <w:jc w:val="center"/>
        <w:rPr>
          <w:rFonts w:ascii="Times New Roman" w:hAnsi="Times New Roman" w:cs="Times New Roman"/>
          <w:sz w:val="24"/>
          <w:szCs w:val="24"/>
        </w:rPr>
      </w:pPr>
      <w:r w:rsidRPr="00A1696A">
        <w:rPr>
          <w:rFonts w:ascii="Times New Roman" w:hAnsi="Times New Roman" w:cs="Times New Roman"/>
          <w:noProof/>
          <w:sz w:val="24"/>
          <w:szCs w:val="24"/>
          <w:lang w:eastAsia="bg-BG"/>
        </w:rPr>
        <w:drawing>
          <wp:inline distT="0" distB="0" distL="0" distR="0" wp14:anchorId="65F1BBAF" wp14:editId="2BBF3C51">
            <wp:extent cx="4117073" cy="2580311"/>
            <wp:effectExtent l="19050" t="19050" r="17145" b="10795"/>
            <wp:docPr id="90115" name="Картина 9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5" name="Pseudo R-2_maturity_бг.png"/>
                    <pic:cNvPicPr/>
                  </pic:nvPicPr>
                  <pic:blipFill rotWithShape="1">
                    <a:blip r:embed="rId50">
                      <a:extLst>
                        <a:ext uri="{28A0092B-C50C-407E-A947-70E740481C1C}">
                          <a14:useLocalDpi xmlns:a14="http://schemas.microsoft.com/office/drawing/2010/main" val="0"/>
                        </a:ext>
                      </a:extLst>
                    </a:blip>
                    <a:srcRect l="7769" t="12259" r="3943" b="7419"/>
                    <a:stretch/>
                  </pic:blipFill>
                  <pic:spPr bwMode="auto">
                    <a:xfrm>
                      <a:off x="0" y="0"/>
                      <a:ext cx="4155802" cy="2604584"/>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r w:rsidRPr="00A1696A">
        <w:rPr>
          <w:rFonts w:ascii="Times New Roman" w:hAnsi="Times New Roman" w:cs="Times New Roman"/>
          <w:noProof/>
          <w:sz w:val="24"/>
          <w:szCs w:val="24"/>
          <w:lang w:eastAsia="bg-BG"/>
        </w:rPr>
        <w:drawing>
          <wp:inline distT="0" distB="0" distL="0" distR="0" wp14:anchorId="1617F9E6" wp14:editId="13D2BEAE">
            <wp:extent cx="4077503" cy="2574775"/>
            <wp:effectExtent l="19050" t="19050" r="18415" b="16510"/>
            <wp:docPr id="90116" name="Картина 9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6" name="Pseudo R-3_maturity_бг.png"/>
                    <pic:cNvPicPr/>
                  </pic:nvPicPr>
                  <pic:blipFill rotWithShape="1">
                    <a:blip r:embed="rId51">
                      <a:extLst>
                        <a:ext uri="{28A0092B-C50C-407E-A947-70E740481C1C}">
                          <a14:useLocalDpi xmlns:a14="http://schemas.microsoft.com/office/drawing/2010/main" val="0"/>
                        </a:ext>
                      </a:extLst>
                    </a:blip>
                    <a:srcRect l="8577" t="11820" r="3649" b="7725"/>
                    <a:stretch/>
                  </pic:blipFill>
                  <pic:spPr bwMode="auto">
                    <a:xfrm>
                      <a:off x="0" y="0"/>
                      <a:ext cx="4130492" cy="260823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1AC44003" w14:textId="0678C90A" w:rsidR="0071667E" w:rsidRPr="00A1696A" w:rsidRDefault="0071667E" w:rsidP="006B6EBF">
      <w:pPr>
        <w:spacing w:after="0" w:line="240" w:lineRule="auto"/>
        <w:ind w:firstLine="709"/>
        <w:jc w:val="both"/>
        <w:rPr>
          <w:rFonts w:ascii="Times New Roman" w:hAnsi="Times New Roman" w:cs="Times New Roman"/>
          <w:sz w:val="24"/>
          <w:szCs w:val="24"/>
        </w:rPr>
      </w:pPr>
      <w:r w:rsidRPr="00A1696A">
        <w:rPr>
          <w:rFonts w:ascii="Times New Roman" w:hAnsi="Times New Roman" w:cs="Times New Roman"/>
          <w:i/>
          <w:sz w:val="24"/>
          <w:szCs w:val="24"/>
          <w:lang w:eastAsia="bg-BG"/>
        </w:rPr>
        <w:t xml:space="preserve">Фиг. </w:t>
      </w:r>
      <w:r w:rsidR="00944F6E">
        <w:rPr>
          <w:rFonts w:ascii="Times New Roman" w:hAnsi="Times New Roman" w:cs="Times New Roman"/>
          <w:i/>
          <w:sz w:val="24"/>
          <w:szCs w:val="24"/>
          <w:lang w:eastAsia="bg-BG"/>
        </w:rPr>
        <w:t>29</w:t>
      </w:r>
      <w:r w:rsidRPr="00A1696A">
        <w:rPr>
          <w:rFonts w:ascii="Times New Roman" w:hAnsi="Times New Roman" w:cs="Times New Roman"/>
          <w:i/>
          <w:sz w:val="24"/>
          <w:szCs w:val="24"/>
          <w:lang w:eastAsia="bg-BG"/>
        </w:rPr>
        <w:t>. Модели на термичната зрялост на  с</w:t>
      </w:r>
      <w:r w:rsidR="006641DB" w:rsidRPr="00A1696A">
        <w:rPr>
          <w:rFonts w:ascii="Times New Roman" w:hAnsi="Times New Roman" w:cs="Times New Roman"/>
          <w:i/>
          <w:sz w:val="24"/>
          <w:szCs w:val="24"/>
          <w:lang w:eastAsia="bg-BG"/>
        </w:rPr>
        <w:t>онда</w:t>
      </w:r>
      <w:r w:rsidRPr="00A1696A">
        <w:rPr>
          <w:rFonts w:ascii="Times New Roman" w:hAnsi="Times New Roman" w:cs="Times New Roman"/>
          <w:i/>
          <w:sz w:val="24"/>
          <w:szCs w:val="24"/>
          <w:lang w:eastAsia="bg-BG"/>
        </w:rPr>
        <w:t xml:space="preserve">ж Р-1 Свиленград и </w:t>
      </w:r>
      <w:r w:rsidR="00C62E63">
        <w:rPr>
          <w:rFonts w:ascii="Times New Roman" w:hAnsi="Times New Roman" w:cs="Times New Roman"/>
          <w:i/>
          <w:sz w:val="24"/>
          <w:szCs w:val="24"/>
          <w:lang w:eastAsia="bg-BG"/>
        </w:rPr>
        <w:t>условни</w:t>
      </w:r>
      <w:r w:rsidRPr="00A1696A">
        <w:rPr>
          <w:rFonts w:ascii="Times New Roman" w:hAnsi="Times New Roman" w:cs="Times New Roman"/>
          <w:i/>
          <w:sz w:val="24"/>
          <w:szCs w:val="24"/>
          <w:lang w:eastAsia="bg-BG"/>
        </w:rPr>
        <w:t>-псевдо с</w:t>
      </w:r>
      <w:r w:rsidR="006641DB" w:rsidRPr="00A1696A">
        <w:rPr>
          <w:rFonts w:ascii="Times New Roman" w:hAnsi="Times New Roman" w:cs="Times New Roman"/>
          <w:i/>
          <w:sz w:val="24"/>
          <w:szCs w:val="24"/>
          <w:lang w:eastAsia="bg-BG"/>
        </w:rPr>
        <w:t>онда</w:t>
      </w:r>
      <w:r w:rsidRPr="00A1696A">
        <w:rPr>
          <w:rFonts w:ascii="Times New Roman" w:hAnsi="Times New Roman" w:cs="Times New Roman"/>
          <w:i/>
          <w:sz w:val="24"/>
          <w:szCs w:val="24"/>
          <w:lang w:eastAsia="bg-BG"/>
        </w:rPr>
        <w:t xml:space="preserve">жи </w:t>
      </w:r>
      <w:r w:rsidR="00687990" w:rsidRPr="00A1696A">
        <w:rPr>
          <w:rFonts w:ascii="Times New Roman" w:hAnsi="Times New Roman" w:cs="Times New Roman"/>
          <w:i/>
          <w:sz w:val="24"/>
          <w:szCs w:val="24"/>
          <w:lang w:eastAsia="bg-BG"/>
        </w:rPr>
        <w:t xml:space="preserve">Псевдо </w:t>
      </w:r>
      <w:r w:rsidRPr="00A1696A">
        <w:rPr>
          <w:rFonts w:ascii="Times New Roman" w:hAnsi="Times New Roman" w:cs="Times New Roman"/>
          <w:i/>
          <w:sz w:val="24"/>
          <w:szCs w:val="24"/>
          <w:lang w:eastAsia="bg-BG"/>
        </w:rPr>
        <w:t xml:space="preserve">Р-1, </w:t>
      </w:r>
      <w:r w:rsidR="00687990" w:rsidRPr="00A1696A">
        <w:rPr>
          <w:rFonts w:ascii="Times New Roman" w:hAnsi="Times New Roman" w:cs="Times New Roman"/>
          <w:i/>
          <w:sz w:val="24"/>
          <w:szCs w:val="24"/>
          <w:lang w:eastAsia="bg-BG"/>
        </w:rPr>
        <w:t xml:space="preserve">Псевдо </w:t>
      </w:r>
      <w:r w:rsidRPr="00A1696A">
        <w:rPr>
          <w:rFonts w:ascii="Times New Roman" w:hAnsi="Times New Roman" w:cs="Times New Roman"/>
          <w:i/>
          <w:sz w:val="24"/>
          <w:szCs w:val="24"/>
          <w:lang w:eastAsia="bg-BG"/>
        </w:rPr>
        <w:t xml:space="preserve">Р-2, </w:t>
      </w:r>
      <w:r w:rsidR="00687990" w:rsidRPr="00A1696A">
        <w:rPr>
          <w:rFonts w:ascii="Times New Roman" w:hAnsi="Times New Roman" w:cs="Times New Roman"/>
          <w:i/>
          <w:sz w:val="24"/>
          <w:szCs w:val="24"/>
          <w:lang w:eastAsia="bg-BG"/>
        </w:rPr>
        <w:t xml:space="preserve">Псевдо </w:t>
      </w:r>
      <w:r w:rsidRPr="00A1696A">
        <w:rPr>
          <w:rFonts w:ascii="Times New Roman" w:hAnsi="Times New Roman" w:cs="Times New Roman"/>
          <w:i/>
          <w:sz w:val="24"/>
          <w:szCs w:val="24"/>
          <w:lang w:eastAsia="bg-BG"/>
        </w:rPr>
        <w:t>Р-3</w:t>
      </w:r>
      <w:bookmarkEnd w:id="105"/>
    </w:p>
    <w:p w14:paraId="114AE03B" w14:textId="77777777" w:rsidR="00674470" w:rsidRPr="00A1696A" w:rsidRDefault="00674470" w:rsidP="006B6EBF">
      <w:pPr>
        <w:pStyle w:val="ListParagraph"/>
        <w:spacing w:after="0" w:line="240" w:lineRule="auto"/>
        <w:ind w:left="0"/>
        <w:jc w:val="both"/>
        <w:rPr>
          <w:rFonts w:ascii="Times New Roman" w:hAnsi="Times New Roman" w:cs="Times New Roman"/>
          <w:sz w:val="24"/>
          <w:szCs w:val="24"/>
        </w:rPr>
        <w:sectPr w:rsidR="00674470" w:rsidRPr="00A1696A" w:rsidSect="002D3360">
          <w:pgSz w:w="16840" w:h="11907" w:orient="landscape" w:code="9"/>
          <w:pgMar w:top="1418" w:right="1134" w:bottom="1021" w:left="1134" w:header="709" w:footer="709" w:gutter="0"/>
          <w:cols w:space="708"/>
          <w:titlePg/>
          <w:docGrid w:linePitch="299"/>
        </w:sectPr>
      </w:pPr>
    </w:p>
    <w:p w14:paraId="7B83E16C" w14:textId="5B6C1EB4" w:rsidR="00263E7E" w:rsidRPr="00A1696A" w:rsidRDefault="00674470" w:rsidP="00043A1E">
      <w:pPr>
        <w:pStyle w:val="Style1"/>
        <w:ind w:left="0" w:firstLine="709"/>
        <w:jc w:val="both"/>
        <w:rPr>
          <w:color w:val="000000"/>
          <w:lang w:val="bg-BG"/>
        </w:rPr>
      </w:pPr>
      <w:bookmarkStart w:id="106" w:name="_Toc7820649"/>
      <w:bookmarkStart w:id="107" w:name="_Hlk7817007"/>
      <w:r w:rsidRPr="00964DB4">
        <w:rPr>
          <w:lang w:val="bg-BG"/>
        </w:rPr>
        <w:lastRenderedPageBreak/>
        <w:t>4.</w:t>
      </w:r>
      <w:r w:rsidR="001846B3" w:rsidRPr="00964DB4">
        <w:rPr>
          <w:lang w:val="bg-BG"/>
        </w:rPr>
        <w:t>7</w:t>
      </w:r>
      <w:r w:rsidRPr="00964DB4">
        <w:rPr>
          <w:lang w:val="bg-BG"/>
        </w:rPr>
        <w:t xml:space="preserve">. </w:t>
      </w:r>
      <w:r w:rsidR="009620B6" w:rsidRPr="00964DB4">
        <w:rPr>
          <w:lang w:val="bg-BG"/>
        </w:rPr>
        <w:t>Сравнителна о</w:t>
      </w:r>
      <w:r w:rsidRPr="00964DB4">
        <w:rPr>
          <w:lang w:val="bg-BG"/>
        </w:rPr>
        <w:t xml:space="preserve">ценка на </w:t>
      </w:r>
      <w:r w:rsidR="009620B6" w:rsidRPr="00964DB4">
        <w:rPr>
          <w:lang w:val="bg-BG"/>
        </w:rPr>
        <w:t>ВВ</w:t>
      </w:r>
      <w:r w:rsidRPr="00964DB4">
        <w:rPr>
          <w:lang w:val="bg-BG"/>
        </w:rPr>
        <w:t xml:space="preserve"> потенциал в различни части на изучавания район</w:t>
      </w:r>
      <w:r w:rsidR="00764B4B" w:rsidRPr="00964DB4">
        <w:rPr>
          <w:lang w:val="bg-BG"/>
        </w:rPr>
        <w:t>.</w:t>
      </w:r>
      <w:bookmarkEnd w:id="106"/>
      <w:r w:rsidR="00764B4B" w:rsidRPr="00A1696A">
        <w:rPr>
          <w:lang w:val="bg-BG"/>
        </w:rPr>
        <w:t xml:space="preserve"> </w:t>
      </w:r>
    </w:p>
    <w:p w14:paraId="67F909B5" w14:textId="3A9A256C" w:rsidR="00263E7E" w:rsidRPr="00DA6E8E" w:rsidRDefault="00263E7E" w:rsidP="00DA6E8E">
      <w:pPr>
        <w:spacing w:after="0" w:line="240" w:lineRule="auto"/>
        <w:ind w:firstLine="709"/>
        <w:jc w:val="both"/>
        <w:rPr>
          <w:rFonts w:ascii="Times New Roman" w:hAnsi="Times New Roman" w:cs="Times New Roman"/>
          <w:sz w:val="24"/>
          <w:szCs w:val="24"/>
          <w:lang w:eastAsia="bg-BG"/>
        </w:rPr>
      </w:pPr>
      <w:r w:rsidRPr="00DA6E8E">
        <w:rPr>
          <w:rFonts w:ascii="Times New Roman" w:hAnsi="Times New Roman" w:cs="Times New Roman"/>
          <w:b/>
          <w:i/>
          <w:sz w:val="24"/>
          <w:szCs w:val="24"/>
          <w:lang w:eastAsia="bg-BG"/>
        </w:rPr>
        <w:t>Анализ и оценка на елементите на потенциална петролна система</w:t>
      </w:r>
      <w:r w:rsidR="008E4D21" w:rsidRPr="00DA6E8E">
        <w:rPr>
          <w:rFonts w:ascii="Times New Roman" w:hAnsi="Times New Roman" w:cs="Times New Roman"/>
          <w:b/>
          <w:i/>
          <w:sz w:val="24"/>
          <w:szCs w:val="24"/>
          <w:lang w:eastAsia="bg-BG"/>
        </w:rPr>
        <w:t>.</w:t>
      </w:r>
      <w:r w:rsidRPr="00DA6E8E">
        <w:rPr>
          <w:rFonts w:ascii="Times New Roman" w:hAnsi="Times New Roman" w:cs="Times New Roman"/>
          <w:sz w:val="24"/>
          <w:szCs w:val="24"/>
          <w:lang w:eastAsia="bg-BG"/>
        </w:rPr>
        <w:t xml:space="preserve"> </w:t>
      </w:r>
      <w:r w:rsidR="00FD48D0"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Изследваните скални образци от сондажна ядка на</w:t>
      </w:r>
      <w:r w:rsidR="007D776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 xml:space="preserve">сондаж Р-1 Свиленград показват, че оценените потенциали </w:t>
      </w:r>
      <w:r w:rsidRPr="00DA6E8E">
        <w:rPr>
          <w:rFonts w:ascii="Times New Roman" w:hAnsi="Times New Roman" w:cs="Times New Roman"/>
          <w:b/>
          <w:sz w:val="24"/>
          <w:szCs w:val="24"/>
          <w:u w:val="single"/>
          <w:lang w:eastAsia="bg-BG"/>
        </w:rPr>
        <w:t>нефто-газомайчини скали</w:t>
      </w:r>
      <w:r w:rsidRPr="00DA6E8E">
        <w:rPr>
          <w:rFonts w:ascii="Times New Roman" w:hAnsi="Times New Roman" w:cs="Times New Roman"/>
          <w:sz w:val="24"/>
          <w:szCs w:val="24"/>
          <w:lang w:eastAsia="bg-BG"/>
        </w:rPr>
        <w:t xml:space="preserve"> </w:t>
      </w:r>
      <w:bookmarkStart w:id="108" w:name="_Hlk952336"/>
      <w:r w:rsidR="007D776E">
        <w:rPr>
          <w:rFonts w:ascii="Times New Roman" w:hAnsi="Times New Roman" w:cs="Times New Roman"/>
          <w:sz w:val="24"/>
          <w:szCs w:val="24"/>
          <w:lang w:eastAsia="bg-BG"/>
        </w:rPr>
        <w:t xml:space="preserve">на глинесто-мергелната задруга </w:t>
      </w:r>
      <w:r w:rsidRPr="00DA6E8E">
        <w:rPr>
          <w:rFonts w:ascii="Times New Roman" w:hAnsi="Times New Roman" w:cs="Times New Roman"/>
          <w:sz w:val="24"/>
          <w:szCs w:val="24"/>
          <w:lang w:eastAsia="bg-BG"/>
        </w:rPr>
        <w:t>в най-източния край от изследвания район</w:t>
      </w:r>
      <w:bookmarkEnd w:id="108"/>
      <w:r w:rsidRPr="00DA6E8E">
        <w:rPr>
          <w:rFonts w:ascii="Times New Roman" w:hAnsi="Times New Roman" w:cs="Times New Roman"/>
          <w:sz w:val="24"/>
          <w:szCs w:val="24"/>
          <w:lang w:eastAsia="bg-BG"/>
        </w:rPr>
        <w:t xml:space="preserve"> са със „задоволителен“ генерационен потенциал</w:t>
      </w:r>
      <w:r w:rsidR="00755624"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С</w:t>
      </w:r>
      <w:r w:rsidRPr="007D776E">
        <w:rPr>
          <w:rFonts w:ascii="Times New Roman" w:hAnsi="Times New Roman" w:cs="Times New Roman"/>
          <w:sz w:val="24"/>
          <w:szCs w:val="24"/>
          <w:vertAlign w:val="subscript"/>
          <w:lang w:eastAsia="bg-BG"/>
        </w:rPr>
        <w:t>орг</w:t>
      </w:r>
      <w:r w:rsidRPr="00DA6E8E">
        <w:rPr>
          <w:rFonts w:ascii="Times New Roman" w:hAnsi="Times New Roman" w:cs="Times New Roman"/>
          <w:sz w:val="24"/>
          <w:szCs w:val="24"/>
          <w:lang w:eastAsia="bg-BG"/>
        </w:rPr>
        <w:t xml:space="preserve"> &gt;0</w:t>
      </w:r>
      <w:r w:rsidR="009D5E35" w:rsidRPr="00DA6E8E">
        <w:rPr>
          <w:rFonts w:ascii="Times New Roman" w:hAnsi="Times New Roman" w:cs="Times New Roman"/>
          <w:sz w:val="24"/>
          <w:szCs w:val="24"/>
          <w:lang w:eastAsia="bg-BG"/>
        </w:rPr>
        <w:t>,</w:t>
      </w:r>
      <w:r w:rsidRPr="00DA6E8E">
        <w:rPr>
          <w:rFonts w:ascii="Times New Roman" w:hAnsi="Times New Roman" w:cs="Times New Roman"/>
          <w:sz w:val="24"/>
          <w:szCs w:val="24"/>
          <w:lang w:eastAsia="bg-BG"/>
        </w:rPr>
        <w:t>5%</w:t>
      </w:r>
      <w:r w:rsidR="007D776E">
        <w:rPr>
          <w:rFonts w:ascii="Times New Roman" w:hAnsi="Times New Roman" w:cs="Times New Roman"/>
          <w:sz w:val="24"/>
          <w:szCs w:val="24"/>
          <w:lang w:eastAsia="bg-BG"/>
        </w:rPr>
        <w:t xml:space="preserve"> (средно 1,48%)</w:t>
      </w:r>
      <w:r w:rsidR="00755624" w:rsidRPr="00DA6E8E">
        <w:rPr>
          <w:rFonts w:ascii="Times New Roman" w:hAnsi="Times New Roman" w:cs="Times New Roman"/>
          <w:sz w:val="24"/>
          <w:szCs w:val="24"/>
          <w:lang w:eastAsia="bg-BG"/>
        </w:rPr>
        <w:t xml:space="preserve">, </w:t>
      </w:r>
      <w:r w:rsidRPr="00DA6E8E">
        <w:rPr>
          <w:rFonts w:ascii="Times New Roman" w:hAnsi="Times New Roman" w:cs="Times New Roman"/>
          <w:sz w:val="24"/>
          <w:szCs w:val="24"/>
          <w:lang w:eastAsia="bg-BG"/>
        </w:rPr>
        <w:t xml:space="preserve"> тип III </w:t>
      </w:r>
      <w:r w:rsidR="00755624" w:rsidRPr="00DA6E8E">
        <w:rPr>
          <w:rFonts w:ascii="Times New Roman" w:hAnsi="Times New Roman" w:cs="Times New Roman"/>
          <w:sz w:val="24"/>
          <w:szCs w:val="24"/>
          <w:lang w:eastAsia="bg-BG"/>
        </w:rPr>
        <w:t xml:space="preserve">ОВ, </w:t>
      </w:r>
      <w:r w:rsidRPr="00DA6E8E">
        <w:rPr>
          <w:rFonts w:ascii="Times New Roman" w:hAnsi="Times New Roman" w:cs="Times New Roman"/>
          <w:sz w:val="24"/>
          <w:szCs w:val="24"/>
          <w:lang w:eastAsia="bg-BG"/>
        </w:rPr>
        <w:t>навлязло в зоната на ранна зрялост</w:t>
      </w:r>
      <w:r w:rsidR="00B33E10" w:rsidRPr="00DA6E8E">
        <w:rPr>
          <w:rFonts w:ascii="Times New Roman" w:hAnsi="Times New Roman" w:cs="Times New Roman"/>
          <w:sz w:val="24"/>
          <w:szCs w:val="24"/>
          <w:lang w:eastAsia="bg-BG"/>
        </w:rPr>
        <w:t>/протокатагенеза</w:t>
      </w:r>
      <w:r w:rsidRPr="00DA6E8E">
        <w:rPr>
          <w:rFonts w:ascii="Times New Roman" w:hAnsi="Times New Roman" w:cs="Times New Roman"/>
          <w:sz w:val="24"/>
          <w:szCs w:val="24"/>
          <w:lang w:eastAsia="bg-BG"/>
        </w:rPr>
        <w:t>. Отсъствието на сондажна ядка в останалата част от района на изследване прави невъзможно осъществяването на релевантна оценка на генерационния потенциал.</w:t>
      </w:r>
    </w:p>
    <w:p w14:paraId="3CF708AE" w14:textId="7B4A4F19" w:rsidR="00D23120" w:rsidRPr="00A1696A" w:rsidRDefault="009620B6" w:rsidP="00FD48D0">
      <w:pPr>
        <w:spacing w:after="0" w:line="240" w:lineRule="auto"/>
        <w:ind w:firstLine="709"/>
        <w:jc w:val="both"/>
        <w:rPr>
          <w:rFonts w:ascii="Times New Roman" w:hAnsi="Times New Roman" w:cs="Times New Roman"/>
          <w:sz w:val="24"/>
          <w:szCs w:val="24"/>
          <w:highlight w:val="yellow"/>
          <w:lang w:eastAsia="bg-BG"/>
        </w:rPr>
      </w:pPr>
      <w:r w:rsidRPr="00A1696A">
        <w:rPr>
          <w:rFonts w:ascii="Times New Roman" w:hAnsi="Times New Roman" w:cs="Times New Roman"/>
          <w:sz w:val="24"/>
          <w:szCs w:val="24"/>
          <w:lang w:eastAsia="bg-BG"/>
        </w:rPr>
        <w:t>Х</w:t>
      </w:r>
      <w:r w:rsidR="00263E7E" w:rsidRPr="00A1696A">
        <w:rPr>
          <w:rFonts w:ascii="Times New Roman" w:hAnsi="Times New Roman" w:cs="Times New Roman"/>
          <w:sz w:val="24"/>
          <w:szCs w:val="24"/>
          <w:lang w:eastAsia="bg-BG"/>
        </w:rPr>
        <w:t>арактеристика</w:t>
      </w:r>
      <w:r w:rsidRPr="00A1696A">
        <w:rPr>
          <w:rFonts w:ascii="Times New Roman" w:hAnsi="Times New Roman" w:cs="Times New Roman"/>
          <w:sz w:val="24"/>
          <w:szCs w:val="24"/>
          <w:lang w:eastAsia="bg-BG"/>
        </w:rPr>
        <w:t>та</w:t>
      </w:r>
      <w:r w:rsidR="00263E7E" w:rsidRPr="00A1696A">
        <w:rPr>
          <w:rFonts w:ascii="Times New Roman" w:hAnsi="Times New Roman" w:cs="Times New Roman"/>
          <w:sz w:val="24"/>
          <w:szCs w:val="24"/>
          <w:lang w:eastAsia="bg-BG"/>
        </w:rPr>
        <w:t xml:space="preserve"> на проницаемите </w:t>
      </w:r>
      <w:r w:rsidRPr="00A1696A">
        <w:rPr>
          <w:rFonts w:ascii="Times New Roman" w:hAnsi="Times New Roman" w:cs="Times New Roman"/>
          <w:sz w:val="24"/>
          <w:szCs w:val="24"/>
          <w:lang w:eastAsia="bg-BG"/>
        </w:rPr>
        <w:t xml:space="preserve">и изолиращи </w:t>
      </w:r>
      <w:r w:rsidR="00263E7E" w:rsidRPr="00A1696A">
        <w:rPr>
          <w:rFonts w:ascii="Times New Roman" w:hAnsi="Times New Roman" w:cs="Times New Roman"/>
          <w:sz w:val="24"/>
          <w:szCs w:val="24"/>
          <w:lang w:eastAsia="bg-BG"/>
        </w:rPr>
        <w:t>интервали</w:t>
      </w:r>
      <w:r w:rsidR="006641DB" w:rsidRPr="00A1696A">
        <w:rPr>
          <w:rFonts w:ascii="Times New Roman" w:hAnsi="Times New Roman" w:cs="Times New Roman"/>
          <w:sz w:val="24"/>
          <w:szCs w:val="24"/>
          <w:lang w:eastAsia="bg-BG"/>
        </w:rPr>
        <w:t xml:space="preserve"> в сондаж Р-1 Свиленград</w:t>
      </w:r>
      <w:r w:rsidR="00263E7E" w:rsidRPr="00A1696A">
        <w:rPr>
          <w:rFonts w:ascii="Times New Roman" w:hAnsi="Times New Roman" w:cs="Times New Roman"/>
          <w:sz w:val="24"/>
          <w:szCs w:val="24"/>
          <w:lang w:eastAsia="bg-BG"/>
        </w:rPr>
        <w:t xml:space="preserve"> </w:t>
      </w:r>
      <w:r w:rsidR="00682648" w:rsidRPr="00A1696A">
        <w:rPr>
          <w:rFonts w:ascii="Times New Roman" w:hAnsi="Times New Roman" w:cs="Times New Roman"/>
          <w:sz w:val="24"/>
          <w:szCs w:val="24"/>
          <w:lang w:eastAsia="bg-BG"/>
        </w:rPr>
        <w:t>е в основата</w:t>
      </w:r>
      <w:r w:rsidRPr="00A1696A">
        <w:rPr>
          <w:rFonts w:ascii="Times New Roman" w:hAnsi="Times New Roman" w:cs="Times New Roman"/>
          <w:sz w:val="24"/>
          <w:szCs w:val="24"/>
          <w:lang w:eastAsia="bg-BG"/>
        </w:rPr>
        <w:t xml:space="preserve"> в седиментния разрез да бъдат отделени четири</w:t>
      </w:r>
      <w:r w:rsidR="0088315B" w:rsidRPr="00A1696A">
        <w:rPr>
          <w:rFonts w:ascii="Times New Roman" w:hAnsi="Times New Roman" w:cs="Times New Roman"/>
          <w:sz w:val="24"/>
          <w:szCs w:val="24"/>
          <w:lang w:eastAsia="bg-BG"/>
        </w:rPr>
        <w:t xml:space="preserve"> вида</w:t>
      </w:r>
      <w:r w:rsidR="00263E7E" w:rsidRPr="00A1696A">
        <w:rPr>
          <w:rFonts w:ascii="Times New Roman" w:hAnsi="Times New Roman" w:cs="Times New Roman"/>
          <w:sz w:val="24"/>
          <w:szCs w:val="24"/>
          <w:lang w:eastAsia="bg-BG"/>
        </w:rPr>
        <w:t xml:space="preserve"> </w:t>
      </w:r>
      <w:r w:rsidR="00263E7E" w:rsidRPr="00A1696A">
        <w:rPr>
          <w:rFonts w:ascii="Times New Roman" w:hAnsi="Times New Roman" w:cs="Times New Roman"/>
          <w:b/>
          <w:sz w:val="24"/>
          <w:szCs w:val="24"/>
          <w:u w:val="single"/>
          <w:lang w:eastAsia="bg-BG"/>
        </w:rPr>
        <w:t>природни резервоари</w:t>
      </w:r>
      <w:r w:rsidR="0088315B" w:rsidRPr="00A1696A">
        <w:rPr>
          <w:rFonts w:ascii="Times New Roman" w:hAnsi="Times New Roman" w:cs="Times New Roman"/>
          <w:i/>
          <w:sz w:val="24"/>
          <w:szCs w:val="24"/>
          <w:lang w:eastAsia="bg-BG"/>
        </w:rPr>
        <w:t xml:space="preserve"> </w:t>
      </w:r>
      <w:r w:rsidR="0088315B" w:rsidRPr="00A1696A">
        <w:rPr>
          <w:rFonts w:ascii="Times New Roman" w:hAnsi="Times New Roman" w:cs="Times New Roman"/>
          <w:sz w:val="24"/>
          <w:szCs w:val="24"/>
          <w:lang w:eastAsia="bg-BG"/>
        </w:rPr>
        <w:t xml:space="preserve">привързани към наслагите </w:t>
      </w:r>
      <w:r w:rsidR="00682648" w:rsidRPr="00A1696A">
        <w:rPr>
          <w:rFonts w:ascii="Times New Roman" w:hAnsi="Times New Roman" w:cs="Times New Roman"/>
          <w:sz w:val="24"/>
          <w:szCs w:val="24"/>
          <w:lang w:eastAsia="bg-BG"/>
        </w:rPr>
        <w:t>на</w:t>
      </w:r>
      <w:r w:rsidR="0088315B" w:rsidRPr="00A1696A">
        <w:rPr>
          <w:rFonts w:ascii="Times New Roman" w:hAnsi="Times New Roman" w:cs="Times New Roman"/>
          <w:sz w:val="24"/>
          <w:szCs w:val="24"/>
          <w:lang w:eastAsia="bg-BG"/>
        </w:rPr>
        <w:t xml:space="preserve"> терциерния разрез</w:t>
      </w:r>
      <w:r w:rsidR="00263E7E" w:rsidRPr="00A1696A">
        <w:rPr>
          <w:rFonts w:ascii="Times New Roman" w:hAnsi="Times New Roman" w:cs="Times New Roman"/>
          <w:sz w:val="24"/>
          <w:szCs w:val="24"/>
          <w:lang w:eastAsia="bg-BG"/>
        </w:rPr>
        <w:t>.</w:t>
      </w:r>
      <w:r w:rsidRPr="00A1696A">
        <w:rPr>
          <w:rFonts w:ascii="Times New Roman" w:hAnsi="Times New Roman" w:cs="Times New Roman"/>
          <w:sz w:val="24"/>
          <w:szCs w:val="24"/>
          <w:lang w:eastAsia="bg-BG"/>
        </w:rPr>
        <w:t xml:space="preserve"> </w:t>
      </w:r>
      <w:r w:rsidR="00682648" w:rsidRPr="00A1696A">
        <w:rPr>
          <w:rFonts w:ascii="Times New Roman" w:hAnsi="Times New Roman" w:cs="Times New Roman"/>
          <w:sz w:val="24"/>
          <w:szCs w:val="24"/>
          <w:lang w:eastAsia="bg-BG"/>
        </w:rPr>
        <w:t>Сходните условия на образуване на терциерните седименти в рамките на разглеждания обширен и сложно построен Тракийски басейн, предполага също и формиране на еднотипни природни резервоари в турската и бълга</w:t>
      </w:r>
      <w:r w:rsidR="007D776E">
        <w:rPr>
          <w:rFonts w:ascii="Times New Roman" w:hAnsi="Times New Roman" w:cs="Times New Roman"/>
          <w:sz w:val="24"/>
          <w:szCs w:val="24"/>
          <w:lang w:eastAsia="bg-BG"/>
        </w:rPr>
        <w:t>рс</w:t>
      </w:r>
      <w:r w:rsidR="00682648" w:rsidRPr="00A1696A">
        <w:rPr>
          <w:rFonts w:ascii="Times New Roman" w:hAnsi="Times New Roman" w:cs="Times New Roman"/>
          <w:sz w:val="24"/>
          <w:szCs w:val="24"/>
          <w:lang w:eastAsia="bg-BG"/>
        </w:rPr>
        <w:t>ката му част. За отделянето им спомогна и извършен</w:t>
      </w:r>
      <w:r w:rsidR="007D776E">
        <w:rPr>
          <w:rFonts w:ascii="Times New Roman" w:hAnsi="Times New Roman" w:cs="Times New Roman"/>
          <w:sz w:val="24"/>
          <w:szCs w:val="24"/>
          <w:lang w:eastAsia="bg-BG"/>
        </w:rPr>
        <w:t>а</w:t>
      </w:r>
      <w:r w:rsidR="00682648" w:rsidRPr="00A1696A">
        <w:rPr>
          <w:rFonts w:ascii="Times New Roman" w:hAnsi="Times New Roman" w:cs="Times New Roman"/>
          <w:sz w:val="24"/>
          <w:szCs w:val="24"/>
          <w:lang w:eastAsia="bg-BG"/>
        </w:rPr>
        <w:t xml:space="preserve">та сравнителна характеристика на резервоарните свойства на терциерните наслаги от изучавания район в ЮИ част на Горнотракийската низина и нефтогазоносните скали в басейна на турска територия. Важна роля при формирането на взаимоотношенията между </w:t>
      </w:r>
      <w:r w:rsidR="00611A55" w:rsidRPr="00A1696A">
        <w:rPr>
          <w:rFonts w:ascii="Times New Roman" w:hAnsi="Times New Roman" w:cs="Times New Roman"/>
          <w:sz w:val="24"/>
          <w:szCs w:val="24"/>
          <w:lang w:eastAsia="bg-BG"/>
        </w:rPr>
        <w:t>колекторните и изолиращите задруги имат</w:t>
      </w:r>
      <w:r w:rsidR="00682648" w:rsidRPr="00A1696A">
        <w:rPr>
          <w:rFonts w:ascii="Times New Roman" w:hAnsi="Times New Roman" w:cs="Times New Roman"/>
          <w:sz w:val="24"/>
          <w:szCs w:val="24"/>
          <w:lang w:eastAsia="bg-BG"/>
        </w:rPr>
        <w:t xml:space="preserve"> резките фациални изменения във вертикална и хоризонтална посока</w:t>
      </w:r>
      <w:r w:rsidR="00611A55" w:rsidRPr="00A1696A">
        <w:rPr>
          <w:rFonts w:ascii="Times New Roman" w:hAnsi="Times New Roman" w:cs="Times New Roman"/>
          <w:sz w:val="24"/>
          <w:szCs w:val="24"/>
          <w:lang w:eastAsia="bg-BG"/>
        </w:rPr>
        <w:t xml:space="preserve">, които </w:t>
      </w:r>
      <w:r w:rsidR="00682648" w:rsidRPr="00A1696A">
        <w:rPr>
          <w:rFonts w:ascii="Times New Roman" w:hAnsi="Times New Roman" w:cs="Times New Roman"/>
          <w:sz w:val="24"/>
          <w:szCs w:val="24"/>
          <w:lang w:eastAsia="bg-BG"/>
        </w:rPr>
        <w:t>са продиктувани и контролирани до голяма степен от разломните нарушения от всякакъв характер</w:t>
      </w:r>
      <w:r w:rsidR="00611A55" w:rsidRPr="00A1696A">
        <w:rPr>
          <w:rFonts w:ascii="Times New Roman" w:hAnsi="Times New Roman" w:cs="Times New Roman"/>
          <w:sz w:val="24"/>
          <w:szCs w:val="24"/>
          <w:lang w:eastAsia="bg-BG"/>
        </w:rPr>
        <w:t xml:space="preserve">. </w:t>
      </w:r>
      <w:r w:rsidR="0098720C" w:rsidRPr="00A1696A">
        <w:rPr>
          <w:rFonts w:ascii="Times New Roman" w:hAnsi="Times New Roman" w:cs="Times New Roman"/>
          <w:sz w:val="24"/>
          <w:szCs w:val="24"/>
          <w:lang w:eastAsia="bg-BG"/>
        </w:rPr>
        <w:t>О</w:t>
      </w:r>
      <w:r w:rsidR="00611A55" w:rsidRPr="00A1696A">
        <w:rPr>
          <w:rFonts w:ascii="Times New Roman" w:hAnsi="Times New Roman" w:cs="Times New Roman"/>
          <w:sz w:val="24"/>
          <w:szCs w:val="24"/>
          <w:lang w:eastAsia="bg-BG"/>
        </w:rPr>
        <w:t xml:space="preserve">граниченият обем геолого-геофизична и сондажна информация </w:t>
      </w:r>
      <w:r w:rsidR="0098720C" w:rsidRPr="00A1696A">
        <w:rPr>
          <w:rFonts w:ascii="Times New Roman" w:hAnsi="Times New Roman" w:cs="Times New Roman"/>
          <w:sz w:val="24"/>
          <w:szCs w:val="24"/>
          <w:lang w:eastAsia="bg-BG"/>
        </w:rPr>
        <w:t>не позволява</w:t>
      </w:r>
      <w:r w:rsidR="00611A55" w:rsidRPr="00A1696A">
        <w:rPr>
          <w:rFonts w:ascii="Times New Roman" w:hAnsi="Times New Roman" w:cs="Times New Roman"/>
          <w:sz w:val="24"/>
          <w:szCs w:val="24"/>
          <w:lang w:eastAsia="bg-BG"/>
        </w:rPr>
        <w:t xml:space="preserve"> проследяването на пространствените взаимоотношения между природните резервоари като цяло.</w:t>
      </w:r>
    </w:p>
    <w:p w14:paraId="0F7F603B" w14:textId="7BEE46F4" w:rsidR="00263E7E" w:rsidRPr="00DA6E8E" w:rsidRDefault="00263E7E" w:rsidP="00DA6E8E">
      <w:pPr>
        <w:spacing w:after="0" w:line="240" w:lineRule="auto"/>
        <w:ind w:firstLine="709"/>
        <w:jc w:val="both"/>
        <w:rPr>
          <w:rFonts w:ascii="Times New Roman" w:hAnsi="Times New Roman" w:cs="Times New Roman"/>
          <w:sz w:val="24"/>
          <w:szCs w:val="24"/>
          <w:lang w:eastAsia="bg-BG"/>
        </w:rPr>
      </w:pPr>
      <w:bookmarkStart w:id="109" w:name="_Hlk7818006"/>
      <w:bookmarkEnd w:id="107"/>
      <w:r w:rsidRPr="00DA6E8E">
        <w:rPr>
          <w:rFonts w:ascii="Times New Roman" w:hAnsi="Times New Roman" w:cs="Times New Roman"/>
          <w:b/>
          <w:i/>
          <w:sz w:val="24"/>
          <w:szCs w:val="24"/>
          <w:lang w:eastAsia="bg-BG"/>
        </w:rPr>
        <w:t>Анализ и оценка на процесите на генерация, миграция и акумулация на ВВ</w:t>
      </w:r>
      <w:r w:rsidR="00FD48D0" w:rsidRPr="00DA6E8E">
        <w:rPr>
          <w:rFonts w:ascii="Times New Roman" w:hAnsi="Times New Roman" w:cs="Times New Roman"/>
          <w:b/>
          <w:i/>
          <w:sz w:val="24"/>
          <w:szCs w:val="24"/>
          <w:lang w:eastAsia="bg-BG"/>
        </w:rPr>
        <w:t xml:space="preserve">. </w:t>
      </w:r>
      <w:r w:rsidRPr="00DA6E8E">
        <w:rPr>
          <w:rFonts w:ascii="Times New Roman" w:hAnsi="Times New Roman" w:cs="Times New Roman"/>
          <w:sz w:val="24"/>
          <w:szCs w:val="24"/>
          <w:lang w:eastAsia="bg-BG"/>
        </w:rPr>
        <w:t xml:space="preserve">За оценка на процесите на генерация, миграция и акумулация на ВВ </w:t>
      </w:r>
      <w:r w:rsidR="006C6A76" w:rsidRPr="00DA6E8E">
        <w:rPr>
          <w:rFonts w:ascii="Times New Roman" w:hAnsi="Times New Roman" w:cs="Times New Roman"/>
          <w:sz w:val="24"/>
          <w:szCs w:val="24"/>
          <w:lang w:eastAsia="bg-BG"/>
        </w:rPr>
        <w:t>служи</w:t>
      </w:r>
      <w:r w:rsidRPr="00DA6E8E">
        <w:rPr>
          <w:rFonts w:ascii="Times New Roman" w:hAnsi="Times New Roman" w:cs="Times New Roman"/>
          <w:sz w:val="24"/>
          <w:szCs w:val="24"/>
          <w:lang w:eastAsia="bg-BG"/>
        </w:rPr>
        <w:t xml:space="preserve"> извършено</w:t>
      </w:r>
      <w:r w:rsidR="006C6A76" w:rsidRPr="00DA6E8E">
        <w:rPr>
          <w:rFonts w:ascii="Times New Roman" w:hAnsi="Times New Roman" w:cs="Times New Roman"/>
          <w:sz w:val="24"/>
          <w:szCs w:val="24"/>
          <w:lang w:eastAsia="bg-BG"/>
        </w:rPr>
        <w:t>то</w:t>
      </w:r>
      <w:r w:rsidRPr="00DA6E8E">
        <w:rPr>
          <w:rFonts w:ascii="Times New Roman" w:hAnsi="Times New Roman" w:cs="Times New Roman"/>
          <w:sz w:val="24"/>
          <w:szCs w:val="24"/>
          <w:lang w:eastAsia="bg-BG"/>
        </w:rPr>
        <w:t xml:space="preserve"> 1D петролно-системно моделиране на голяма част </w:t>
      </w:r>
      <w:r w:rsidR="006C6A76" w:rsidRPr="00DA6E8E">
        <w:rPr>
          <w:rFonts w:ascii="Times New Roman" w:hAnsi="Times New Roman" w:cs="Times New Roman"/>
          <w:sz w:val="24"/>
          <w:szCs w:val="24"/>
          <w:lang w:eastAsia="bg-BG"/>
        </w:rPr>
        <w:t>от</w:t>
      </w:r>
      <w:r w:rsidRPr="00DA6E8E">
        <w:rPr>
          <w:rFonts w:ascii="Times New Roman" w:hAnsi="Times New Roman" w:cs="Times New Roman"/>
          <w:sz w:val="24"/>
          <w:szCs w:val="24"/>
          <w:lang w:eastAsia="bg-BG"/>
        </w:rPr>
        <w:t xml:space="preserve"> изследвания район. От изключителна важност е да се моделира най-дълбоката част от басейна, като в конкретния случай това е участъка на север от сондажа Р-1 Свиленград, тъй като се очаква първите порции на отделяне на ВВ флуиди да се осъществи именно в такъв район. Още повече, че миграцията на ВВ в дълбочинната част на тази синклинала в централната част на басейна има потенциала да показва всеобщ модел на миграция за целия Тракийски басейн. </w:t>
      </w:r>
    </w:p>
    <w:p w14:paraId="2E47A4C5" w14:textId="72766AD4" w:rsidR="00263E7E" w:rsidRPr="00A1696A" w:rsidRDefault="00263E7E" w:rsidP="00C04452">
      <w:pPr>
        <w:spacing w:after="0" w:line="240" w:lineRule="auto"/>
        <w:ind w:firstLine="709"/>
        <w:jc w:val="both"/>
        <w:rPr>
          <w:rFonts w:ascii="Times New Roman" w:hAnsi="Times New Roman" w:cs="Times New Roman"/>
          <w:b/>
          <w:sz w:val="24"/>
          <w:szCs w:val="24"/>
        </w:rPr>
      </w:pPr>
      <w:r w:rsidRPr="00A1696A">
        <w:rPr>
          <w:rFonts w:ascii="Times New Roman" w:hAnsi="Times New Roman" w:cs="Times New Roman"/>
          <w:b/>
          <w:sz w:val="24"/>
          <w:szCs w:val="24"/>
        </w:rPr>
        <w:t>Генериране и първична миграция (expulsion) на ВВ</w:t>
      </w:r>
      <w:r w:rsidR="00C04452" w:rsidRPr="00A1696A">
        <w:rPr>
          <w:rFonts w:ascii="Times New Roman" w:hAnsi="Times New Roman" w:cs="Times New Roman"/>
          <w:b/>
          <w:sz w:val="24"/>
          <w:szCs w:val="24"/>
        </w:rPr>
        <w:t xml:space="preserve">. </w:t>
      </w:r>
      <w:r w:rsidR="00E30FB3" w:rsidRPr="00A1696A">
        <w:rPr>
          <w:rFonts w:ascii="Times New Roman" w:hAnsi="Times New Roman" w:cs="Times New Roman"/>
          <w:sz w:val="24"/>
          <w:szCs w:val="24"/>
        </w:rPr>
        <w:t>Въз основа</w:t>
      </w:r>
      <w:r w:rsidRPr="00A1696A">
        <w:rPr>
          <w:rFonts w:ascii="Times New Roman" w:hAnsi="Times New Roman" w:cs="Times New Roman"/>
          <w:sz w:val="24"/>
          <w:szCs w:val="24"/>
        </w:rPr>
        <w:t xml:space="preserve"> на </w:t>
      </w:r>
      <w:r w:rsidR="00E30FB3" w:rsidRPr="00A1696A">
        <w:rPr>
          <w:rFonts w:ascii="Times New Roman" w:hAnsi="Times New Roman" w:cs="Times New Roman"/>
          <w:sz w:val="24"/>
          <w:szCs w:val="24"/>
        </w:rPr>
        <w:t>множество</w:t>
      </w:r>
      <w:r w:rsidRPr="00A1696A">
        <w:rPr>
          <w:rFonts w:ascii="Times New Roman" w:hAnsi="Times New Roman" w:cs="Times New Roman"/>
          <w:sz w:val="24"/>
          <w:szCs w:val="24"/>
        </w:rPr>
        <w:t xml:space="preserve"> изследвания </w:t>
      </w:r>
      <w:r w:rsidR="00E30FB3" w:rsidRPr="00A1696A">
        <w:rPr>
          <w:rFonts w:ascii="Times New Roman" w:hAnsi="Times New Roman" w:cs="Times New Roman"/>
          <w:sz w:val="24"/>
          <w:szCs w:val="24"/>
        </w:rPr>
        <w:t xml:space="preserve">посредством анализи на компонентния и изотопния състав (Gürgey </w:t>
      </w:r>
      <w:r w:rsidR="00E30FB3" w:rsidRPr="00A1696A">
        <w:rPr>
          <w:rFonts w:ascii="Times New Roman" w:hAnsi="Times New Roman" w:cs="Times New Roman"/>
          <w:i/>
          <w:sz w:val="24"/>
          <w:szCs w:val="24"/>
        </w:rPr>
        <w:t>et al.</w:t>
      </w:r>
      <w:r w:rsidR="00E30FB3" w:rsidRPr="00A1696A">
        <w:rPr>
          <w:rFonts w:ascii="Times New Roman" w:hAnsi="Times New Roman" w:cs="Times New Roman"/>
          <w:sz w:val="24"/>
          <w:szCs w:val="24"/>
        </w:rPr>
        <w:t>, 2005),  корелация газ-генерираща скала (</w:t>
      </w:r>
      <w:r w:rsidR="00E30FB3" w:rsidRPr="00A1696A">
        <w:rPr>
          <w:rFonts w:ascii="Times New Roman" w:hAnsi="Times New Roman" w:cs="Times New Roman"/>
          <w:sz w:val="24"/>
          <w:szCs w:val="24"/>
          <w:lang w:eastAsia="bg-BG"/>
        </w:rPr>
        <w:t xml:space="preserve">Hosgörmez and Yalçın, </w:t>
      </w:r>
      <w:r w:rsidR="00E30FB3" w:rsidRPr="00A1696A">
        <w:rPr>
          <w:rFonts w:ascii="Times New Roman" w:hAnsi="Times New Roman" w:cs="Times New Roman"/>
          <w:sz w:val="24"/>
          <w:szCs w:val="24"/>
        </w:rPr>
        <w:t>2005), петролно-системно моделиране (</w:t>
      </w:r>
      <w:r w:rsidR="00E30FB3" w:rsidRPr="00A1696A">
        <w:rPr>
          <w:rFonts w:ascii="Times New Roman" w:hAnsi="Times New Roman" w:cs="Times New Roman"/>
          <w:sz w:val="24"/>
          <w:szCs w:val="24"/>
          <w:lang w:eastAsia="bg-BG"/>
        </w:rPr>
        <w:t>Hosgörmez and Yalçın, 2005</w:t>
      </w:r>
      <w:r w:rsidR="00E30FB3" w:rsidRPr="00A1696A">
        <w:rPr>
          <w:rFonts w:ascii="Times New Roman" w:hAnsi="Times New Roman" w:cs="Times New Roman"/>
          <w:sz w:val="24"/>
          <w:szCs w:val="24"/>
        </w:rPr>
        <w:t xml:space="preserve">; Huvaz </w:t>
      </w:r>
      <w:r w:rsidR="00E30FB3" w:rsidRPr="00A1696A">
        <w:rPr>
          <w:rFonts w:ascii="Times New Roman" w:hAnsi="Times New Roman" w:cs="Times New Roman"/>
          <w:i/>
          <w:sz w:val="24"/>
          <w:szCs w:val="24"/>
        </w:rPr>
        <w:t>et al.</w:t>
      </w:r>
      <w:r w:rsidR="00E30FB3" w:rsidRPr="00A1696A">
        <w:rPr>
          <w:rFonts w:ascii="Times New Roman" w:hAnsi="Times New Roman" w:cs="Times New Roman"/>
          <w:sz w:val="24"/>
          <w:szCs w:val="24"/>
        </w:rPr>
        <w:t xml:space="preserve">, 2005, 2007), се обобщава </w:t>
      </w:r>
      <w:r w:rsidRPr="00A1696A">
        <w:rPr>
          <w:rFonts w:ascii="Times New Roman" w:hAnsi="Times New Roman" w:cs="Times New Roman"/>
          <w:sz w:val="24"/>
          <w:szCs w:val="24"/>
        </w:rPr>
        <w:t>(Coscun, 2000; Şen, 2009), че повсеместно в целия Тракийски басейн формации Hamitabat, Ceylan и Mezardere и техните аналози имат добър нефто-газогенериращ потенциал и са генерирали</w:t>
      </w:r>
      <w:r w:rsidR="00E30FB3" w:rsidRPr="00A1696A">
        <w:rPr>
          <w:rFonts w:ascii="Times New Roman" w:hAnsi="Times New Roman" w:cs="Times New Roman"/>
          <w:sz w:val="24"/>
          <w:szCs w:val="24"/>
        </w:rPr>
        <w:t xml:space="preserve"> и генерират</w:t>
      </w:r>
      <w:r w:rsidRPr="00A1696A">
        <w:rPr>
          <w:rFonts w:ascii="Times New Roman" w:hAnsi="Times New Roman" w:cs="Times New Roman"/>
          <w:sz w:val="24"/>
          <w:szCs w:val="24"/>
        </w:rPr>
        <w:t xml:space="preserve"> ВВ</w:t>
      </w:r>
      <w:r w:rsidR="00E30FB3" w:rsidRPr="00A1696A">
        <w:rPr>
          <w:rFonts w:ascii="Times New Roman" w:hAnsi="Times New Roman" w:cs="Times New Roman"/>
          <w:sz w:val="24"/>
          <w:szCs w:val="24"/>
        </w:rPr>
        <w:t xml:space="preserve"> в залежите там</w:t>
      </w:r>
      <w:r w:rsidRPr="00A1696A">
        <w:rPr>
          <w:rFonts w:ascii="Times New Roman" w:hAnsi="Times New Roman" w:cs="Times New Roman"/>
          <w:sz w:val="24"/>
          <w:szCs w:val="24"/>
        </w:rPr>
        <w:t>.</w:t>
      </w:r>
      <w:r w:rsidR="00E30FB3" w:rsidRPr="00A1696A">
        <w:rPr>
          <w:rFonts w:ascii="Times New Roman" w:hAnsi="Times New Roman" w:cs="Times New Roman"/>
          <w:sz w:val="24"/>
          <w:szCs w:val="24"/>
        </w:rPr>
        <w:t xml:space="preserve"> Във всички участъци на изследвания район при извършеното </w:t>
      </w:r>
      <w:r w:rsidRPr="00A1696A">
        <w:rPr>
          <w:rFonts w:ascii="Times New Roman" w:hAnsi="Times New Roman" w:cs="Times New Roman"/>
          <w:sz w:val="24"/>
          <w:szCs w:val="24"/>
        </w:rPr>
        <w:t>петролно-систем</w:t>
      </w:r>
      <w:r w:rsidR="00E30FB3" w:rsidRPr="00A1696A">
        <w:rPr>
          <w:rFonts w:ascii="Times New Roman" w:hAnsi="Times New Roman" w:cs="Times New Roman"/>
          <w:sz w:val="24"/>
          <w:szCs w:val="24"/>
        </w:rPr>
        <w:t>но</w:t>
      </w:r>
      <w:r w:rsidRPr="00A1696A">
        <w:rPr>
          <w:rFonts w:ascii="Times New Roman" w:hAnsi="Times New Roman" w:cs="Times New Roman"/>
          <w:sz w:val="24"/>
          <w:szCs w:val="24"/>
        </w:rPr>
        <w:t xml:space="preserve"> модел</w:t>
      </w:r>
      <w:r w:rsidR="00E30FB3" w:rsidRPr="00A1696A">
        <w:rPr>
          <w:rFonts w:ascii="Times New Roman" w:hAnsi="Times New Roman" w:cs="Times New Roman"/>
          <w:sz w:val="24"/>
          <w:szCs w:val="24"/>
        </w:rPr>
        <w:t>иране се</w:t>
      </w:r>
      <w:r w:rsidRPr="00A1696A">
        <w:rPr>
          <w:rFonts w:ascii="Times New Roman" w:hAnsi="Times New Roman" w:cs="Times New Roman"/>
          <w:sz w:val="24"/>
          <w:szCs w:val="24"/>
        </w:rPr>
        <w:t xml:space="preserve"> потвърждава, че скали</w:t>
      </w:r>
      <w:r w:rsidR="00964DB4">
        <w:rPr>
          <w:rFonts w:ascii="Times New Roman" w:hAnsi="Times New Roman" w:cs="Times New Roman"/>
          <w:sz w:val="24"/>
          <w:szCs w:val="24"/>
        </w:rPr>
        <w:t>те</w:t>
      </w:r>
      <w:r w:rsidRPr="00A1696A">
        <w:rPr>
          <w:rFonts w:ascii="Times New Roman" w:hAnsi="Times New Roman" w:cs="Times New Roman"/>
          <w:sz w:val="24"/>
          <w:szCs w:val="24"/>
        </w:rPr>
        <w:t xml:space="preserve"> на глинесто-мергелната задруга, аналог на формация Mezardere, </w:t>
      </w:r>
      <w:bookmarkStart w:id="110" w:name="_Hlk956123"/>
      <w:r w:rsidRPr="00A1696A">
        <w:rPr>
          <w:rFonts w:ascii="Times New Roman" w:hAnsi="Times New Roman" w:cs="Times New Roman"/>
          <w:sz w:val="24"/>
          <w:szCs w:val="24"/>
        </w:rPr>
        <w:t xml:space="preserve">не са </w:t>
      </w:r>
      <w:r w:rsidR="00E30FB3" w:rsidRPr="00A1696A">
        <w:rPr>
          <w:rFonts w:ascii="Times New Roman" w:hAnsi="Times New Roman" w:cs="Times New Roman"/>
          <w:sz w:val="24"/>
          <w:szCs w:val="24"/>
        </w:rPr>
        <w:t xml:space="preserve">навлезли в нефтения прозорец. </w:t>
      </w:r>
      <w:bookmarkEnd w:id="110"/>
      <w:r w:rsidRPr="00A1696A">
        <w:rPr>
          <w:rFonts w:ascii="Times New Roman" w:hAnsi="Times New Roman" w:cs="Times New Roman"/>
          <w:sz w:val="24"/>
          <w:szCs w:val="24"/>
        </w:rPr>
        <w:t>Теригенно-варовиково</w:t>
      </w:r>
      <w:r w:rsidR="00964DB4">
        <w:rPr>
          <w:rFonts w:ascii="Times New Roman" w:hAnsi="Times New Roman" w:cs="Times New Roman"/>
          <w:sz w:val="24"/>
          <w:szCs w:val="24"/>
        </w:rPr>
        <w:t>-</w:t>
      </w:r>
      <w:r w:rsidRPr="00A1696A">
        <w:rPr>
          <w:rFonts w:ascii="Times New Roman" w:hAnsi="Times New Roman" w:cs="Times New Roman"/>
          <w:sz w:val="24"/>
          <w:szCs w:val="24"/>
        </w:rPr>
        <w:t xml:space="preserve">мергелната задруга, аналог на формация Ceylan от турската част на басейна, е навлязла в началния етап от нефтения прозорец в района на изследване преди 22 </w:t>
      </w:r>
      <w:r w:rsidR="00E85907" w:rsidRPr="00A1696A">
        <w:rPr>
          <w:rFonts w:ascii="Times New Roman" w:hAnsi="Times New Roman" w:cs="Times New Roman"/>
          <w:sz w:val="24"/>
          <w:szCs w:val="24"/>
        </w:rPr>
        <w:t>млн.г</w:t>
      </w:r>
      <w:r w:rsidRPr="00A1696A">
        <w:rPr>
          <w:rFonts w:ascii="Times New Roman" w:hAnsi="Times New Roman" w:cs="Times New Roman"/>
          <w:sz w:val="24"/>
          <w:szCs w:val="24"/>
        </w:rPr>
        <w:t xml:space="preserve">. </w:t>
      </w:r>
      <w:r w:rsidR="00E30FB3" w:rsidRPr="00A1696A">
        <w:rPr>
          <w:rFonts w:ascii="Times New Roman" w:hAnsi="Times New Roman" w:cs="Times New Roman"/>
          <w:sz w:val="24"/>
          <w:szCs w:val="24"/>
        </w:rPr>
        <w:t>С</w:t>
      </w:r>
      <w:r w:rsidRPr="00A1696A">
        <w:rPr>
          <w:rFonts w:ascii="Times New Roman" w:hAnsi="Times New Roman" w:cs="Times New Roman"/>
          <w:sz w:val="24"/>
          <w:szCs w:val="24"/>
        </w:rPr>
        <w:t xml:space="preserve">едиментната последователност </w:t>
      </w:r>
      <w:r w:rsidR="00E85907" w:rsidRPr="00A1696A">
        <w:rPr>
          <w:rFonts w:ascii="Times New Roman" w:hAnsi="Times New Roman" w:cs="Times New Roman"/>
          <w:sz w:val="24"/>
          <w:szCs w:val="24"/>
        </w:rPr>
        <w:t xml:space="preserve">- </w:t>
      </w:r>
      <w:r w:rsidRPr="00A1696A">
        <w:rPr>
          <w:rFonts w:ascii="Times New Roman" w:hAnsi="Times New Roman" w:cs="Times New Roman"/>
          <w:sz w:val="24"/>
          <w:szCs w:val="24"/>
        </w:rPr>
        <w:t>аналог на турската формация Hamitabat, е преминала изцяло нефтения прозорец и е в зоната преди началото на газовия прозорец</w:t>
      </w:r>
      <w:r w:rsidR="00E85907" w:rsidRPr="00A1696A">
        <w:rPr>
          <w:rFonts w:ascii="Times New Roman" w:hAnsi="Times New Roman" w:cs="Times New Roman"/>
          <w:sz w:val="24"/>
          <w:szCs w:val="24"/>
        </w:rPr>
        <w:t xml:space="preserve">, като е </w:t>
      </w:r>
      <w:r w:rsidRPr="00A1696A">
        <w:rPr>
          <w:rFonts w:ascii="Times New Roman" w:hAnsi="Times New Roman" w:cs="Times New Roman"/>
          <w:sz w:val="24"/>
          <w:szCs w:val="24"/>
        </w:rPr>
        <w:t>достиг</w:t>
      </w:r>
      <w:r w:rsidR="00E85907" w:rsidRPr="00A1696A">
        <w:rPr>
          <w:rFonts w:ascii="Times New Roman" w:hAnsi="Times New Roman" w:cs="Times New Roman"/>
          <w:sz w:val="24"/>
          <w:szCs w:val="24"/>
        </w:rPr>
        <w:t>нала</w:t>
      </w:r>
      <w:r w:rsidRPr="00A1696A">
        <w:rPr>
          <w:rFonts w:ascii="Times New Roman" w:hAnsi="Times New Roman" w:cs="Times New Roman"/>
          <w:sz w:val="24"/>
          <w:szCs w:val="24"/>
        </w:rPr>
        <w:t xml:space="preserve"> момента на експулсията през ранния миоцен</w:t>
      </w:r>
      <w:r w:rsidR="00964DB4">
        <w:rPr>
          <w:rFonts w:ascii="Times New Roman" w:hAnsi="Times New Roman" w:cs="Times New Roman"/>
          <w:sz w:val="24"/>
          <w:szCs w:val="24"/>
        </w:rPr>
        <w:t>,</w:t>
      </w:r>
      <w:r w:rsidRPr="00A1696A">
        <w:rPr>
          <w:rFonts w:ascii="Times New Roman" w:hAnsi="Times New Roman" w:cs="Times New Roman"/>
          <w:sz w:val="24"/>
          <w:szCs w:val="24"/>
        </w:rPr>
        <w:t xml:space="preserve"> преди 23</w:t>
      </w:r>
      <w:r w:rsidR="00964DB4">
        <w:rPr>
          <w:rFonts w:ascii="Times New Roman" w:hAnsi="Times New Roman" w:cs="Times New Roman"/>
          <w:sz w:val="24"/>
          <w:szCs w:val="24"/>
        </w:rPr>
        <w:t xml:space="preserve"> </w:t>
      </w:r>
      <w:r w:rsidR="00E85907" w:rsidRPr="00A1696A">
        <w:rPr>
          <w:rFonts w:ascii="Times New Roman" w:hAnsi="Times New Roman" w:cs="Times New Roman"/>
          <w:sz w:val="24"/>
          <w:szCs w:val="24"/>
        </w:rPr>
        <w:t>млн.г</w:t>
      </w:r>
      <w:r w:rsidRPr="00A1696A">
        <w:rPr>
          <w:rFonts w:ascii="Times New Roman" w:hAnsi="Times New Roman" w:cs="Times New Roman"/>
          <w:sz w:val="24"/>
          <w:szCs w:val="24"/>
        </w:rPr>
        <w:t>.</w:t>
      </w:r>
    </w:p>
    <w:p w14:paraId="756130C8" w14:textId="7610702C" w:rsidR="00E37C9C" w:rsidRPr="00A1696A" w:rsidRDefault="00263E7E" w:rsidP="00C04452">
      <w:pPr>
        <w:spacing w:after="0" w:line="240" w:lineRule="auto"/>
        <w:ind w:firstLine="709"/>
        <w:jc w:val="both"/>
        <w:rPr>
          <w:rFonts w:ascii="Times New Roman" w:hAnsi="Times New Roman" w:cs="Times New Roman"/>
          <w:b/>
          <w:sz w:val="24"/>
          <w:szCs w:val="24"/>
        </w:rPr>
      </w:pPr>
      <w:r w:rsidRPr="00A1696A">
        <w:rPr>
          <w:rFonts w:ascii="Times New Roman" w:hAnsi="Times New Roman" w:cs="Times New Roman"/>
          <w:b/>
          <w:sz w:val="24"/>
          <w:szCs w:val="24"/>
        </w:rPr>
        <w:t>Миграция и акумулация на ВВ</w:t>
      </w:r>
      <w:r w:rsidR="00C04452" w:rsidRPr="00A1696A">
        <w:rPr>
          <w:rFonts w:ascii="Times New Roman" w:hAnsi="Times New Roman" w:cs="Times New Roman"/>
          <w:b/>
          <w:sz w:val="24"/>
          <w:szCs w:val="24"/>
        </w:rPr>
        <w:t xml:space="preserve">. </w:t>
      </w:r>
      <w:r w:rsidRPr="00A1696A">
        <w:rPr>
          <w:rFonts w:ascii="Times New Roman" w:hAnsi="Times New Roman" w:cs="Times New Roman"/>
          <w:sz w:val="24"/>
          <w:szCs w:val="24"/>
        </w:rPr>
        <w:t xml:space="preserve">Съществуването на природни резервоари и разломни нарушения в </w:t>
      </w:r>
      <w:r w:rsidR="00E85907" w:rsidRPr="00A1696A">
        <w:rPr>
          <w:rFonts w:ascii="Times New Roman" w:hAnsi="Times New Roman" w:cs="Times New Roman"/>
          <w:sz w:val="24"/>
          <w:szCs w:val="24"/>
        </w:rPr>
        <w:t>изследвания</w:t>
      </w:r>
      <w:r w:rsidRPr="00A1696A">
        <w:rPr>
          <w:rFonts w:ascii="Times New Roman" w:hAnsi="Times New Roman" w:cs="Times New Roman"/>
          <w:sz w:val="24"/>
          <w:szCs w:val="24"/>
        </w:rPr>
        <w:t xml:space="preserve"> участък има огромен ефект върху съществуването на пътища на миграция за въглеводородите.</w:t>
      </w:r>
      <w:r w:rsidR="00E85907" w:rsidRPr="00A1696A">
        <w:rPr>
          <w:rFonts w:ascii="Times New Roman" w:hAnsi="Times New Roman" w:cs="Times New Roman"/>
          <w:sz w:val="24"/>
          <w:szCs w:val="24"/>
        </w:rPr>
        <w:t xml:space="preserve"> </w:t>
      </w:r>
      <w:r w:rsidRPr="00A1696A">
        <w:rPr>
          <w:rFonts w:ascii="Times New Roman" w:hAnsi="Times New Roman" w:cs="Times New Roman"/>
          <w:sz w:val="24"/>
          <w:szCs w:val="24"/>
        </w:rPr>
        <w:t xml:space="preserve">Различията в пропускливостта на разломите и пропускливостта на формациите определят възможността на разломите да спомагат или да възпрепятстват </w:t>
      </w:r>
      <w:r w:rsidR="00E37C9C" w:rsidRPr="00A1696A">
        <w:rPr>
          <w:rFonts w:ascii="Times New Roman" w:hAnsi="Times New Roman" w:cs="Times New Roman"/>
          <w:sz w:val="24"/>
          <w:szCs w:val="24"/>
        </w:rPr>
        <w:t xml:space="preserve">вертикалното и латералното </w:t>
      </w:r>
      <w:r w:rsidRPr="00A1696A">
        <w:rPr>
          <w:rFonts w:ascii="Times New Roman" w:hAnsi="Times New Roman" w:cs="Times New Roman"/>
          <w:sz w:val="24"/>
          <w:szCs w:val="24"/>
        </w:rPr>
        <w:t xml:space="preserve">движение на ВВ флуиди. Пътищата на миграция, природните резервоари и капаните са важни елементи влияещи върху придвижването на отделените от генериращата скала флуиди и тяхното акумулиране. </w:t>
      </w:r>
      <w:bookmarkStart w:id="111" w:name="_Hlk7359386"/>
      <w:r w:rsidR="00E85907" w:rsidRPr="00A1696A">
        <w:rPr>
          <w:rFonts w:ascii="Times New Roman" w:hAnsi="Times New Roman" w:cs="Times New Roman"/>
          <w:sz w:val="24"/>
          <w:szCs w:val="24"/>
        </w:rPr>
        <w:t xml:space="preserve">Трябва </w:t>
      </w:r>
      <w:r w:rsidR="00E85907" w:rsidRPr="00A1696A">
        <w:rPr>
          <w:rFonts w:ascii="Times New Roman" w:hAnsi="Times New Roman" w:cs="Times New Roman"/>
          <w:sz w:val="24"/>
          <w:szCs w:val="24"/>
        </w:rPr>
        <w:lastRenderedPageBreak/>
        <w:t>да се отчете и благоприятното въздей</w:t>
      </w:r>
      <w:r w:rsidR="007B0B9C">
        <w:rPr>
          <w:rFonts w:ascii="Times New Roman" w:hAnsi="Times New Roman" w:cs="Times New Roman"/>
          <w:sz w:val="24"/>
          <w:szCs w:val="24"/>
        </w:rPr>
        <w:t>ст</w:t>
      </w:r>
      <w:r w:rsidR="00E85907" w:rsidRPr="00A1696A">
        <w:rPr>
          <w:rFonts w:ascii="Times New Roman" w:hAnsi="Times New Roman" w:cs="Times New Roman"/>
          <w:sz w:val="24"/>
          <w:szCs w:val="24"/>
        </w:rPr>
        <w:t xml:space="preserve">вие на хидрогеоложкия фактор, което се изразява в съществуване на </w:t>
      </w:r>
      <w:r w:rsidR="00E85907" w:rsidRPr="00A1696A">
        <w:rPr>
          <w:rFonts w:ascii="Times New Roman" w:hAnsi="Times New Roman" w:cs="Times New Roman"/>
          <w:sz w:val="24"/>
          <w:szCs w:val="24"/>
          <w:lang w:eastAsia="bg-BG"/>
        </w:rPr>
        <w:t xml:space="preserve">елизионни условия на формиране на пластовите води в периодите на </w:t>
      </w:r>
      <w:r w:rsidR="00E37C9C" w:rsidRPr="00A1696A">
        <w:rPr>
          <w:rFonts w:ascii="Times New Roman" w:hAnsi="Times New Roman" w:cs="Times New Roman"/>
          <w:sz w:val="24"/>
          <w:szCs w:val="24"/>
          <w:lang w:eastAsia="bg-BG"/>
        </w:rPr>
        <w:t xml:space="preserve">потъване на седиментния басейн. </w:t>
      </w:r>
      <w:bookmarkEnd w:id="111"/>
      <w:r w:rsidR="00E37C9C" w:rsidRPr="00A1696A">
        <w:rPr>
          <w:rFonts w:ascii="Times New Roman" w:hAnsi="Times New Roman" w:cs="Times New Roman"/>
          <w:sz w:val="24"/>
          <w:szCs w:val="24"/>
          <w:lang w:eastAsia="bg-BG"/>
        </w:rPr>
        <w:t xml:space="preserve">Наблюдава се </w:t>
      </w:r>
      <w:r w:rsidR="00E37C9C" w:rsidRPr="00A1696A">
        <w:rPr>
          <w:rFonts w:ascii="Times New Roman" w:hAnsi="Times New Roman" w:cs="Times New Roman"/>
          <w:sz w:val="24"/>
          <w:szCs w:val="24"/>
        </w:rPr>
        <w:t>реактивиране на разломите през ранния миоцен и съответно формиране на основните капани през този период, което се случва едновременно с процеса на запълване на много от резервоарите в седиментите с еоцен-олигоценска възраст.</w:t>
      </w:r>
      <w:r w:rsidR="00C04452" w:rsidRPr="00A1696A">
        <w:rPr>
          <w:rFonts w:ascii="Times New Roman" w:hAnsi="Times New Roman" w:cs="Times New Roman"/>
          <w:b/>
          <w:sz w:val="24"/>
          <w:szCs w:val="24"/>
        </w:rPr>
        <w:t xml:space="preserve"> </w:t>
      </w:r>
      <w:r w:rsidR="00E37C9C" w:rsidRPr="00A1696A">
        <w:rPr>
          <w:rFonts w:ascii="Times New Roman" w:hAnsi="Times New Roman" w:cs="Times New Roman"/>
          <w:sz w:val="24"/>
          <w:szCs w:val="24"/>
        </w:rPr>
        <w:t xml:space="preserve">Като благоприятен фактор за запазване на образуваните по-рано ВВ акумулации е факта, че в северната част на изучавания район разломите, които са се появили през късноеоценската епоха и са се развивали през олигоценската епоха, са неактивни от началото на неогенската епоха до наши дни. </w:t>
      </w:r>
      <w:r w:rsidR="007B0B9C">
        <w:rPr>
          <w:rFonts w:ascii="Times New Roman" w:hAnsi="Times New Roman" w:cs="Times New Roman"/>
          <w:sz w:val="24"/>
          <w:szCs w:val="24"/>
        </w:rPr>
        <w:t xml:space="preserve">Тези разломи са </w:t>
      </w:r>
      <w:r w:rsidR="007B0B9C" w:rsidRPr="001E2A7A">
        <w:rPr>
          <w:rFonts w:ascii="Times New Roman" w:hAnsi="Times New Roman" w:cs="Times New Roman"/>
          <w:sz w:val="24"/>
          <w:szCs w:val="24"/>
        </w:rPr>
        <w:t>покрити от скалите със средно-</w:t>
      </w:r>
      <w:r w:rsidR="007B0B9C">
        <w:rPr>
          <w:rFonts w:ascii="Times New Roman" w:hAnsi="Times New Roman" w:cs="Times New Roman"/>
          <w:sz w:val="24"/>
          <w:szCs w:val="24"/>
        </w:rPr>
        <w:t>късно</w:t>
      </w:r>
      <w:r w:rsidR="007B0B9C" w:rsidRPr="001E2A7A">
        <w:rPr>
          <w:rFonts w:ascii="Times New Roman" w:hAnsi="Times New Roman" w:cs="Times New Roman"/>
          <w:sz w:val="24"/>
          <w:szCs w:val="24"/>
        </w:rPr>
        <w:t>миоценска до плиоценска възраст</w:t>
      </w:r>
      <w:r w:rsidR="007B0B9C" w:rsidRPr="00A1696A">
        <w:rPr>
          <w:rFonts w:ascii="Times New Roman" w:hAnsi="Times New Roman" w:cs="Times New Roman"/>
          <w:sz w:val="24"/>
          <w:szCs w:val="24"/>
        </w:rPr>
        <w:t xml:space="preserve"> </w:t>
      </w:r>
      <w:bookmarkStart w:id="112" w:name="_Hlk7817965"/>
      <w:r w:rsidR="00E37C9C" w:rsidRPr="00A1696A">
        <w:rPr>
          <w:rFonts w:ascii="Times New Roman" w:hAnsi="Times New Roman" w:cs="Times New Roman"/>
          <w:sz w:val="24"/>
          <w:szCs w:val="24"/>
        </w:rPr>
        <w:t>Това оказва влияние и върху с</w:t>
      </w:r>
      <w:r w:rsidR="00E37C9C" w:rsidRPr="00A1696A">
        <w:rPr>
          <w:rFonts w:ascii="Times New Roman" w:hAnsi="Times New Roman" w:cs="Times New Roman"/>
          <w:sz w:val="24"/>
          <w:szCs w:val="24"/>
          <w:lang w:eastAsia="bg-BG"/>
        </w:rPr>
        <w:t xml:space="preserve">ъвременните хидродинамични условия на водоносните хоризонти в скалите с олигоценска и късноеоценска възраст, способстващи запазването на ВВ акумулации в централните части на изучавания район. </w:t>
      </w:r>
      <w:bookmarkStart w:id="113" w:name="_Hlk7817989"/>
      <w:bookmarkEnd w:id="112"/>
      <w:r w:rsidR="00E37C9C" w:rsidRPr="00A1696A">
        <w:rPr>
          <w:rFonts w:ascii="Times New Roman" w:hAnsi="Times New Roman" w:cs="Times New Roman"/>
          <w:sz w:val="24"/>
          <w:szCs w:val="24"/>
          <w:lang w:eastAsia="bg-BG"/>
        </w:rPr>
        <w:t xml:space="preserve">При анализа на хидрохимичната обстановка в участъка със </w:t>
      </w:r>
      <w:r w:rsidR="00C60C4F">
        <w:rPr>
          <w:rFonts w:ascii="Times New Roman" w:hAnsi="Times New Roman" w:cs="Times New Roman"/>
          <w:sz w:val="24"/>
          <w:szCs w:val="24"/>
          <w:lang w:eastAsia="bg-BG"/>
        </w:rPr>
        <w:t xml:space="preserve">сондаж </w:t>
      </w:r>
      <w:r w:rsidR="00E37C9C" w:rsidRPr="00A1696A">
        <w:rPr>
          <w:rFonts w:ascii="Times New Roman" w:hAnsi="Times New Roman" w:cs="Times New Roman"/>
          <w:sz w:val="24"/>
          <w:szCs w:val="24"/>
          <w:lang w:eastAsia="bg-BG"/>
        </w:rPr>
        <w:t xml:space="preserve"> Р-1 Свиленград се </w:t>
      </w:r>
      <w:r w:rsidR="00EF5DE5" w:rsidRPr="00A1696A">
        <w:rPr>
          <w:rFonts w:ascii="Times New Roman" w:hAnsi="Times New Roman" w:cs="Times New Roman"/>
          <w:sz w:val="24"/>
          <w:szCs w:val="24"/>
          <w:lang w:eastAsia="bg-BG"/>
        </w:rPr>
        <w:t>регистрира наличие на х</w:t>
      </w:r>
      <w:r w:rsidR="00E37C9C" w:rsidRPr="00A1696A">
        <w:rPr>
          <w:rFonts w:ascii="Times New Roman" w:hAnsi="Times New Roman" w:cs="Times New Roman"/>
          <w:sz w:val="24"/>
          <w:szCs w:val="24"/>
          <w:lang w:eastAsia="bg-BG"/>
        </w:rPr>
        <w:t>идрокарбонатно-натриев</w:t>
      </w:r>
      <w:r w:rsidR="00EF5DE5" w:rsidRPr="00A1696A">
        <w:rPr>
          <w:rFonts w:ascii="Times New Roman" w:hAnsi="Times New Roman" w:cs="Times New Roman"/>
          <w:sz w:val="24"/>
          <w:szCs w:val="24"/>
          <w:lang w:eastAsia="bg-BG"/>
        </w:rPr>
        <w:t xml:space="preserve"> тип</w:t>
      </w:r>
      <w:r w:rsidR="00E37C9C" w:rsidRPr="00A1696A">
        <w:rPr>
          <w:rFonts w:ascii="Times New Roman" w:hAnsi="Times New Roman" w:cs="Times New Roman"/>
          <w:sz w:val="24"/>
          <w:szCs w:val="24"/>
          <w:lang w:eastAsia="bg-BG"/>
        </w:rPr>
        <w:t xml:space="preserve"> води с висока минерализация, </w:t>
      </w:r>
      <w:r w:rsidR="00EF5DE5" w:rsidRPr="00A1696A">
        <w:rPr>
          <w:rFonts w:ascii="Times New Roman" w:hAnsi="Times New Roman" w:cs="Times New Roman"/>
          <w:sz w:val="24"/>
          <w:szCs w:val="24"/>
          <w:lang w:eastAsia="bg-BG"/>
        </w:rPr>
        <w:t xml:space="preserve">които са </w:t>
      </w:r>
      <w:r w:rsidR="00E37C9C" w:rsidRPr="00A1696A">
        <w:rPr>
          <w:rFonts w:ascii="Times New Roman" w:hAnsi="Times New Roman" w:cs="Times New Roman"/>
          <w:sz w:val="24"/>
          <w:szCs w:val="24"/>
          <w:lang w:eastAsia="bg-BG"/>
        </w:rPr>
        <w:t>косвен признак за нефтогазоносност</w:t>
      </w:r>
      <w:r w:rsidR="00EF5DE5" w:rsidRPr="00A1696A">
        <w:rPr>
          <w:rFonts w:ascii="Times New Roman" w:hAnsi="Times New Roman" w:cs="Times New Roman"/>
          <w:sz w:val="24"/>
          <w:szCs w:val="24"/>
          <w:lang w:eastAsia="bg-BG"/>
        </w:rPr>
        <w:t>.</w:t>
      </w:r>
      <w:bookmarkEnd w:id="113"/>
    </w:p>
    <w:bookmarkEnd w:id="109"/>
    <w:p w14:paraId="7708BC0A" w14:textId="0EFC1966" w:rsidR="00DA6E8E" w:rsidRDefault="00263E7E" w:rsidP="00DA6E8E">
      <w:pPr>
        <w:pStyle w:val="NormalWeb"/>
        <w:spacing w:before="0" w:beforeAutospacing="0" w:after="0" w:afterAutospacing="0"/>
        <w:ind w:firstLine="709"/>
        <w:jc w:val="both"/>
      </w:pPr>
      <w:r w:rsidRPr="00DA6E8E">
        <w:rPr>
          <w:b/>
          <w:i/>
        </w:rPr>
        <w:t>Дефиниране на петролни системи в ЮИ част на Горнотракийската низина</w:t>
      </w:r>
      <w:r w:rsidR="00C04452" w:rsidRPr="00DA6E8E">
        <w:rPr>
          <w:b/>
          <w:i/>
        </w:rPr>
        <w:t>.</w:t>
      </w:r>
      <w:r w:rsidR="00C04452" w:rsidRPr="00DA6E8E">
        <w:t xml:space="preserve"> </w:t>
      </w:r>
      <w:r w:rsidRPr="00DA6E8E">
        <w:t xml:space="preserve">Основавайки се на </w:t>
      </w:r>
      <w:r w:rsidR="00EF5DE5" w:rsidRPr="00DA6E8E">
        <w:t xml:space="preserve">настоящите </w:t>
      </w:r>
      <w:r w:rsidRPr="00DA6E8E">
        <w:t>изследвания може да се предположи</w:t>
      </w:r>
      <w:r w:rsidR="00EF5DE5" w:rsidRPr="00DA6E8E">
        <w:t xml:space="preserve"> съществуване на потенциална</w:t>
      </w:r>
      <w:r w:rsidRPr="00DA6E8E">
        <w:t xml:space="preserve"> петролна система от палеоценската до плиоценската епохи (фиг. </w:t>
      </w:r>
      <w:r w:rsidR="007B0B9C">
        <w:t>30</w:t>
      </w:r>
      <w:r w:rsidRPr="00DA6E8E">
        <w:t xml:space="preserve">). </w:t>
      </w:r>
      <w:r w:rsidR="00EF5DE5" w:rsidRPr="00DA6E8E">
        <w:t>Е</w:t>
      </w:r>
      <w:r w:rsidRPr="00DA6E8E">
        <w:t>лементите и процесите в потенциалната петролна система</w:t>
      </w:r>
      <w:r w:rsidR="00EF5DE5" w:rsidRPr="00DA6E8E">
        <w:t xml:space="preserve"> са в благоприятно хронологично</w:t>
      </w:r>
      <w:r w:rsidR="00EF5DE5" w:rsidRPr="00A1696A">
        <w:t xml:space="preserve"> </w:t>
      </w:r>
      <w:r w:rsidR="00EF5DE5" w:rsidRPr="00DA6E8E">
        <w:t>съ</w:t>
      </w:r>
      <w:r w:rsidR="007B0B9C">
        <w:t>ч</w:t>
      </w:r>
      <w:r w:rsidR="00EF5DE5" w:rsidRPr="00DA6E8E">
        <w:t>етание.</w:t>
      </w:r>
      <w:r w:rsidR="00EF5DE5" w:rsidRPr="00A1696A">
        <w:t xml:space="preserve"> </w:t>
      </w:r>
    </w:p>
    <w:p w14:paraId="7D474D23" w14:textId="1C189B41" w:rsidR="00DA5655" w:rsidRPr="00DA6E8E" w:rsidRDefault="00DA5655" w:rsidP="00DA6E8E">
      <w:pPr>
        <w:pStyle w:val="NormalWeb"/>
        <w:spacing w:before="0" w:beforeAutospacing="0" w:after="0" w:afterAutospacing="0"/>
        <w:jc w:val="center"/>
      </w:pPr>
      <w:r w:rsidRPr="00A1696A">
        <w:rPr>
          <w:noProof/>
        </w:rPr>
        <w:drawing>
          <wp:inline distT="0" distB="0" distL="0" distR="0" wp14:anchorId="4346B15D" wp14:editId="0E4F4D70">
            <wp:extent cx="6453001" cy="1430020"/>
            <wp:effectExtent l="0" t="0" r="5080" b="0"/>
            <wp:docPr id="7173" name="Картина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etroleum system_бг.png"/>
                    <pic:cNvPicPr/>
                  </pic:nvPicPr>
                  <pic:blipFill rotWithShape="1">
                    <a:blip r:embed="rId52">
                      <a:extLst>
                        <a:ext uri="{28A0092B-C50C-407E-A947-70E740481C1C}">
                          <a14:useLocalDpi xmlns:a14="http://schemas.microsoft.com/office/drawing/2010/main" val="0"/>
                        </a:ext>
                      </a:extLst>
                    </a:blip>
                    <a:srcRect l="6107" b="71442"/>
                    <a:stretch/>
                  </pic:blipFill>
                  <pic:spPr bwMode="auto">
                    <a:xfrm>
                      <a:off x="0" y="0"/>
                      <a:ext cx="6592901" cy="1461023"/>
                    </a:xfrm>
                    <a:prstGeom prst="rect">
                      <a:avLst/>
                    </a:prstGeom>
                    <a:ln>
                      <a:noFill/>
                    </a:ln>
                    <a:extLst>
                      <a:ext uri="{53640926-AAD7-44D8-BBD7-CCE9431645EC}">
                        <a14:shadowObscured xmlns:a14="http://schemas.microsoft.com/office/drawing/2010/main"/>
                      </a:ext>
                    </a:extLst>
                  </pic:spPr>
                </pic:pic>
              </a:graphicData>
            </a:graphic>
          </wp:inline>
        </w:drawing>
      </w:r>
    </w:p>
    <w:p w14:paraId="0668F58E" w14:textId="5931C503" w:rsidR="00263E7E" w:rsidRPr="00DA6E8E" w:rsidRDefault="00263E7E" w:rsidP="00DA6E8E">
      <w:pPr>
        <w:pStyle w:val="NormalWeb"/>
        <w:spacing w:before="0" w:beforeAutospacing="0" w:after="0" w:afterAutospacing="0"/>
        <w:ind w:firstLine="709"/>
        <w:jc w:val="center"/>
        <w:rPr>
          <w:i/>
        </w:rPr>
      </w:pPr>
      <w:r w:rsidRPr="00DA6E8E">
        <w:rPr>
          <w:i/>
        </w:rPr>
        <w:t xml:space="preserve">Фиг. </w:t>
      </w:r>
      <w:r w:rsidR="007B0B9C">
        <w:rPr>
          <w:i/>
        </w:rPr>
        <w:t>30</w:t>
      </w:r>
      <w:r w:rsidRPr="00DA6E8E">
        <w:rPr>
          <w:i/>
        </w:rPr>
        <w:t>. Петролна система в югоизточната част на Горнотракийската низина</w:t>
      </w:r>
    </w:p>
    <w:p w14:paraId="55198183" w14:textId="77777777" w:rsidR="00FD48D0" w:rsidRPr="00A1696A" w:rsidRDefault="00FD48D0" w:rsidP="00E04A27">
      <w:pPr>
        <w:pStyle w:val="Style1"/>
        <w:ind w:left="0" w:firstLine="709"/>
        <w:jc w:val="both"/>
        <w:rPr>
          <w:lang w:val="bg-BG"/>
        </w:rPr>
      </w:pPr>
    </w:p>
    <w:p w14:paraId="301B46CF" w14:textId="2BAAF6D7" w:rsidR="00FD48D0" w:rsidRPr="00A1696A" w:rsidRDefault="000B2EB2" w:rsidP="00E04A27">
      <w:pPr>
        <w:pStyle w:val="Style1"/>
        <w:ind w:left="0" w:firstLine="709"/>
        <w:jc w:val="both"/>
        <w:rPr>
          <w:sz w:val="28"/>
          <w:szCs w:val="28"/>
          <w:lang w:val="bg-BG"/>
        </w:rPr>
      </w:pPr>
      <w:bookmarkStart w:id="114" w:name="_Toc7820650"/>
      <w:bookmarkStart w:id="115" w:name="_Hlk7818706"/>
      <w:r w:rsidRPr="00A1696A">
        <w:rPr>
          <w:sz w:val="28"/>
          <w:szCs w:val="28"/>
          <w:lang w:val="bg-BG"/>
        </w:rPr>
        <w:t>Заключение</w:t>
      </w:r>
      <w:bookmarkEnd w:id="114"/>
    </w:p>
    <w:p w14:paraId="69257C71" w14:textId="41C206EA" w:rsidR="000B2EB2" w:rsidRPr="00DA6E8E" w:rsidRDefault="00E04A27" w:rsidP="00DA6E8E">
      <w:pPr>
        <w:pStyle w:val="NormalWeb"/>
        <w:spacing w:before="0" w:beforeAutospacing="0" w:after="0" w:afterAutospacing="0"/>
        <w:ind w:firstLine="709"/>
        <w:jc w:val="both"/>
      </w:pPr>
      <w:r w:rsidRPr="00DA6E8E">
        <w:t xml:space="preserve">За реализиране на основната цел на настоящия дисертационен </w:t>
      </w:r>
      <w:r w:rsidRPr="00702DCC">
        <w:t>труд</w:t>
      </w:r>
      <w:r w:rsidR="00CF57E0" w:rsidRPr="00702DCC">
        <w:t>,</w:t>
      </w:r>
      <w:r w:rsidRPr="00DA6E8E">
        <w:t xml:space="preserve"> чрез използване на </w:t>
      </w:r>
      <w:r w:rsidR="007B0B9C">
        <w:t xml:space="preserve">подходящо съчетаване на </w:t>
      </w:r>
      <w:r w:rsidRPr="00DA6E8E">
        <w:t>съвременни методологични подходи</w:t>
      </w:r>
      <w:r w:rsidR="007B0B9C">
        <w:t>,</w:t>
      </w:r>
      <w:r w:rsidRPr="00DA6E8E">
        <w:t xml:space="preserve"> са извършени анализи и оценка на нефтогазоносната перспективност на югоизточната част на Горнотракийската низина. Това представя изцяло нови възгледи относно ВВ потенциал на тази слабо изучена в това отношение част от страната ни</w:t>
      </w:r>
      <w:r w:rsidR="000B2EB2" w:rsidRPr="00DA6E8E">
        <w:t>.</w:t>
      </w:r>
    </w:p>
    <w:p w14:paraId="25AFBB2F" w14:textId="77777777" w:rsidR="000B2EB2" w:rsidRPr="00A1696A" w:rsidRDefault="000B2EB2" w:rsidP="008B727F">
      <w:pPr>
        <w:pStyle w:val="NormalWeb"/>
        <w:spacing w:before="0" w:beforeAutospacing="0" w:after="0" w:afterAutospacing="0"/>
        <w:ind w:firstLine="709"/>
        <w:jc w:val="both"/>
        <w:rPr>
          <w:b/>
          <w:u w:val="single"/>
        </w:rPr>
      </w:pPr>
      <w:r w:rsidRPr="00A1696A">
        <w:rPr>
          <w:b/>
          <w:u w:val="single"/>
        </w:rPr>
        <w:t>Характеристика на басейновото пространство</w:t>
      </w:r>
    </w:p>
    <w:p w14:paraId="2F9E657C" w14:textId="1A7D10C0" w:rsidR="008B727F" w:rsidRPr="00A1696A" w:rsidRDefault="000B2EB2" w:rsidP="008B727F">
      <w:pPr>
        <w:pStyle w:val="NormalWeb"/>
        <w:spacing w:before="0" w:beforeAutospacing="0" w:after="0" w:afterAutospacing="0"/>
        <w:ind w:firstLine="709"/>
        <w:jc w:val="both"/>
      </w:pPr>
      <w:r w:rsidRPr="00A1696A">
        <w:t>Извършената 2D стратиграфска и структурна интерпретация</w:t>
      </w:r>
      <w:r w:rsidR="0078683E" w:rsidRPr="00A1696A">
        <w:t xml:space="preserve"> и последващите </w:t>
      </w:r>
      <w:r w:rsidRPr="00A1696A">
        <w:t xml:space="preserve">построения представят нови възгледи за структурната и седиментната еволюция на тази част от басейна. Извършените структурни анализи и характеристика на басейновото пространство послужиха за създаването на 2D </w:t>
      </w:r>
      <w:r w:rsidR="008B727F" w:rsidRPr="00A1696A">
        <w:t xml:space="preserve">модели на </w:t>
      </w:r>
      <w:r w:rsidRPr="00A1696A">
        <w:t xml:space="preserve">палео-реконструкция и 3D геоложки модел на площта на изследване. </w:t>
      </w:r>
    </w:p>
    <w:p w14:paraId="357FC69F" w14:textId="2D54F742" w:rsidR="000B2EB2" w:rsidRPr="00A1696A" w:rsidRDefault="000B2EB2" w:rsidP="008B727F">
      <w:pPr>
        <w:pStyle w:val="NormalWeb"/>
        <w:spacing w:before="0" w:beforeAutospacing="0" w:after="0" w:afterAutospacing="0"/>
        <w:ind w:firstLine="709"/>
        <w:jc w:val="both"/>
        <w:rPr>
          <w:b/>
          <w:i/>
        </w:rPr>
      </w:pPr>
      <w:r w:rsidRPr="00A1696A">
        <w:rPr>
          <w:b/>
          <w:i/>
        </w:rPr>
        <w:t>Басейново запълване и геоложко развитие</w:t>
      </w:r>
    </w:p>
    <w:p w14:paraId="187A1EFF" w14:textId="76FE6D3E" w:rsidR="000B2EB2" w:rsidRPr="00A1696A" w:rsidRDefault="000B2EB2" w:rsidP="0047374C">
      <w:pPr>
        <w:pStyle w:val="NormalWeb"/>
        <w:spacing w:before="0" w:beforeAutospacing="0" w:after="0" w:afterAutospacing="0"/>
        <w:ind w:firstLine="709"/>
        <w:jc w:val="both"/>
      </w:pPr>
      <w:r w:rsidRPr="00A1696A">
        <w:t>Палеоцен-</w:t>
      </w:r>
      <w:r w:rsidR="007B0B9C">
        <w:t>ранно</w:t>
      </w:r>
      <w:r w:rsidRPr="00A1696A">
        <w:t xml:space="preserve">-средноеоценската(?) син-рифтова фаза е свързвана с отлагането на първия седиментен комплекс в някои участъци от басейна, включително и в част от района на изследване. Тектонските процеси и морфологията на басейна силно повлияват върху </w:t>
      </w:r>
      <w:r w:rsidR="00BC1F6F" w:rsidRPr="00A1696A">
        <w:t xml:space="preserve">създаването на акомодационни пространства и </w:t>
      </w:r>
      <w:r w:rsidRPr="00A1696A">
        <w:t>отлагането на типична турбидитна система в отделни депоцентрове</w:t>
      </w:r>
      <w:r w:rsidR="007B0B9C">
        <w:t>,</w:t>
      </w:r>
      <w:r w:rsidRPr="00A1696A">
        <w:t xml:space="preserve"> със свои собствени източници и пътища на седиментация, ареал на разпространение и естество на запълващите отложения. Този седиментен комплекс в западната част на района се образува в алувиална и пролувиална обстановка на седиментоотлагане на скалите от Бисерска и Лешниковска свити. На изток</w:t>
      </w:r>
      <w:r w:rsidR="00714684" w:rsidRPr="00A1696A">
        <w:t>,</w:t>
      </w:r>
      <w:r w:rsidRPr="00A1696A">
        <w:t xml:space="preserve"> под силно</w:t>
      </w:r>
      <w:r w:rsidR="00856DEE" w:rsidRPr="00A1696A">
        <w:t xml:space="preserve"> </w:t>
      </w:r>
      <w:r w:rsidR="00714684" w:rsidRPr="00A1696A">
        <w:t xml:space="preserve">изразен </w:t>
      </w:r>
      <w:r w:rsidRPr="00A1696A">
        <w:t>тектонски контрол</w:t>
      </w:r>
      <w:r w:rsidR="00714684" w:rsidRPr="00A1696A">
        <w:t>,</w:t>
      </w:r>
      <w:r w:rsidRPr="00A1696A">
        <w:t xml:space="preserve"> се образуват флувиоделтови</w:t>
      </w:r>
      <w:r w:rsidR="00BC1F6F" w:rsidRPr="00A1696A">
        <w:t xml:space="preserve">, плиткоморски </w:t>
      </w:r>
      <w:r w:rsidRPr="00A1696A">
        <w:t xml:space="preserve">и турбидитни </w:t>
      </w:r>
      <w:r w:rsidRPr="00A1696A">
        <w:lastRenderedPageBreak/>
        <w:t>отложения на корелата на формация Hamitabat.</w:t>
      </w:r>
      <w:r w:rsidR="00BC1F6F" w:rsidRPr="00A1696A">
        <w:t xml:space="preserve"> </w:t>
      </w:r>
      <w:r w:rsidRPr="00A1696A">
        <w:t xml:space="preserve">Следващата син-рифтова фаза през приабонския век се свързва с образуването на различни по форма понижения, в които се натрупва дебел конгломератов хоризонт. </w:t>
      </w:r>
      <w:r w:rsidR="0047374C" w:rsidRPr="00A1696A">
        <w:t>На запад</w:t>
      </w:r>
      <w:r w:rsidRPr="00A1696A">
        <w:t xml:space="preserve"> се осъществява тектонски контролирана делувиално-пролувиална и колувиална континентална седиментация, а </w:t>
      </w:r>
      <w:r w:rsidR="0047374C" w:rsidRPr="00A1696A">
        <w:t>на изток</w:t>
      </w:r>
      <w:r w:rsidRPr="00A1696A">
        <w:t xml:space="preserve"> се налага плиткоморска прибрежна седиментация. Така се формират отложенията на брекчо-конгломератната и брекчоконгломерато-пясъчниковата задруги, приети за аналог на формация Koyunbaba от турската част.</w:t>
      </w:r>
      <w:r w:rsidR="0047374C" w:rsidRPr="00A1696A">
        <w:t xml:space="preserve"> </w:t>
      </w:r>
      <w:r w:rsidRPr="00A1696A">
        <w:t>Чрез палеогеографската реконструкция на края на приабонския век се илюстрира повсеместното налагане на морска обстановка и отлагането на мергели и пясъчници (теригенно</w:t>
      </w:r>
      <w:r w:rsidR="00E30DA6">
        <w:t>-</w:t>
      </w:r>
      <w:r w:rsidRPr="00A1696A">
        <w:t xml:space="preserve">варовиково-мергелна и пирокластично-мергелно-варовиковата задруга, аналог на формация Ceylan), а в окрайните части на басейна - рифови и органогенни варовици (рифогенно-варовикова задруга, аналог на </w:t>
      </w:r>
      <w:r w:rsidR="0015471E" w:rsidRPr="00702DCC">
        <w:t>формация</w:t>
      </w:r>
      <w:r w:rsidR="0015471E">
        <w:t xml:space="preserve"> </w:t>
      </w:r>
      <w:r w:rsidRPr="00A1696A">
        <w:t>Sogukak). Независимо от противоречивите данни относно седиментацията по време на олигоценската епоха</w:t>
      </w:r>
      <w:r w:rsidR="00856DEE" w:rsidRPr="00A1696A">
        <w:t>,</w:t>
      </w:r>
      <w:r w:rsidRPr="00A1696A">
        <w:t xml:space="preserve"> е създадена приблизителна палео-реконструкция на този район. В </w:t>
      </w:r>
      <w:r w:rsidR="0015471E">
        <w:t>запад</w:t>
      </w:r>
      <w:r w:rsidRPr="00A1696A">
        <w:t>-югозападната част се предполага, че са протичали седименто-вулканогенни процеси в плиткоморска обстановка. В хорста</w:t>
      </w:r>
      <w:r w:rsidR="00714684" w:rsidRPr="00A1696A">
        <w:t>, където е разположен</w:t>
      </w:r>
      <w:r w:rsidRPr="00A1696A">
        <w:t xml:space="preserve"> сондаж Р-1 Свиленград</w:t>
      </w:r>
      <w:r w:rsidR="00714684" w:rsidRPr="00A1696A">
        <w:t>,</w:t>
      </w:r>
      <w:r w:rsidRPr="00A1696A">
        <w:t xml:space="preserve"> вероятно се е разполагал залив или устие на палеорека</w:t>
      </w:r>
      <w:r w:rsidR="00714684" w:rsidRPr="00A1696A">
        <w:t xml:space="preserve">. Като доказателство служат </w:t>
      </w:r>
      <w:r w:rsidRPr="00A1696A">
        <w:t>данните</w:t>
      </w:r>
      <w:r w:rsidR="00714684" w:rsidRPr="00A1696A">
        <w:t>, които</w:t>
      </w:r>
      <w:r w:rsidRPr="00A1696A">
        <w:t xml:space="preserve"> показват, че </w:t>
      </w:r>
      <w:r w:rsidR="00714684" w:rsidRPr="00A1696A">
        <w:t>в</w:t>
      </w:r>
      <w:r w:rsidRPr="00A1696A">
        <w:t xml:space="preserve"> долната част на олигоценския разрез се наблюдават типично морски теригенно-карбонатни отложения. През късн</w:t>
      </w:r>
      <w:r w:rsidR="00856DEE" w:rsidRPr="00A1696A">
        <w:t>о-</w:t>
      </w:r>
      <w:r w:rsidRPr="00A1696A">
        <w:t>олигоцен</w:t>
      </w:r>
      <w:r w:rsidR="00856DEE" w:rsidRPr="00A1696A">
        <w:t>ската епоха</w:t>
      </w:r>
      <w:r w:rsidRPr="00A1696A">
        <w:t xml:space="preserve"> басейна започва да губи своята нормална соленост и се образуват бракични наслаги – глини, алевролити, пясъчници и мергели. Най-северната част от площта вероятно съвпада с най-северните брегове на съществуващия сладководен басейн през този период. Всички тези седименти са причислени към глинесто-мергелната задруга, която се приема за аналог на група Muhacir (формации Mezardere, Osmancik и Danismen) от турската част на басейна.</w:t>
      </w:r>
      <w:r w:rsidR="0047374C" w:rsidRPr="00A1696A">
        <w:t xml:space="preserve"> </w:t>
      </w:r>
      <w:r w:rsidRPr="00A1696A">
        <w:t>Както в целия Тракийски басейн, така и в разглеждания участък се наблюдава несъгласно залягане на неогенските алувиално-пролувиални и езерни седименти над палеогенските.</w:t>
      </w:r>
    </w:p>
    <w:p w14:paraId="4C6DC48D" w14:textId="62BF5F55" w:rsidR="000B2EB2" w:rsidRPr="00A1696A" w:rsidRDefault="000B2EB2" w:rsidP="0047374C">
      <w:pPr>
        <w:pStyle w:val="NormalWeb"/>
        <w:spacing w:before="0" w:beforeAutospacing="0" w:after="0" w:afterAutospacing="0"/>
        <w:ind w:left="714"/>
        <w:jc w:val="both"/>
        <w:rPr>
          <w:b/>
          <w:i/>
        </w:rPr>
      </w:pPr>
      <w:bookmarkStart w:id="116" w:name="_Hlk7819304"/>
      <w:bookmarkEnd w:id="115"/>
      <w:r w:rsidRPr="00A1696A">
        <w:rPr>
          <w:b/>
          <w:i/>
        </w:rPr>
        <w:t>3D структурен</w:t>
      </w:r>
      <w:r w:rsidR="00B94225">
        <w:rPr>
          <w:b/>
          <w:i/>
        </w:rPr>
        <w:t>/геоложки</w:t>
      </w:r>
      <w:r w:rsidRPr="00A1696A">
        <w:rPr>
          <w:b/>
          <w:i/>
        </w:rPr>
        <w:t xml:space="preserve"> модел</w:t>
      </w:r>
    </w:p>
    <w:p w14:paraId="4CE4E3F2" w14:textId="105C9602" w:rsidR="000B2EB2" w:rsidRPr="00A1696A" w:rsidRDefault="000B2EB2" w:rsidP="006B6EBF">
      <w:pPr>
        <w:pStyle w:val="NormalWeb"/>
        <w:spacing w:before="0" w:beforeAutospacing="0" w:after="0" w:afterAutospacing="0"/>
        <w:ind w:firstLine="709"/>
        <w:jc w:val="both"/>
      </w:pPr>
      <w:r w:rsidRPr="00A1696A">
        <w:t xml:space="preserve">Създадените триизмерни построения допринасят за по-детайлна характеристика на структурните и тектонските особености на района на изследване. Потвърди се наличието на тектонски нарушения с разседен характер в северната част на този район, </w:t>
      </w:r>
      <w:r w:rsidR="0047374C" w:rsidRPr="00A1696A">
        <w:t>с</w:t>
      </w:r>
      <w:r w:rsidRPr="00A1696A">
        <w:t xml:space="preserve"> посока на разпространение </w:t>
      </w:r>
      <w:r w:rsidR="0047374C" w:rsidRPr="00A1696A">
        <w:t>–</w:t>
      </w:r>
      <w:r w:rsidRPr="00A1696A">
        <w:t xml:space="preserve"> </w:t>
      </w:r>
      <w:r w:rsidR="0047374C" w:rsidRPr="00A1696A">
        <w:t>И-З</w:t>
      </w:r>
      <w:r w:rsidRPr="00A1696A">
        <w:t>, ЮЮИ-ССЗ до ЮИ-СЗ. Основна характерна черта за тези разседи е, че засягат целия палеогенски скален комплекс като образуват грабеновидни и хорстовидни структури с различни размери. Направени са допускания за продължение на основната дясно-отседна разломна зона Terzili и на българска територия</w:t>
      </w:r>
      <w:r w:rsidR="00714684" w:rsidRPr="00A1696A">
        <w:t>,</w:t>
      </w:r>
      <w:r w:rsidRPr="00A1696A">
        <w:t xml:space="preserve"> северно от хорста</w:t>
      </w:r>
      <w:r w:rsidR="00E30DA6">
        <w:t xml:space="preserve">, в който е разположен </w:t>
      </w:r>
      <w:r w:rsidRPr="00A1696A">
        <w:t>сондаж Р-1 Свиленград</w:t>
      </w:r>
      <w:r w:rsidR="00E30DA6">
        <w:t>,</w:t>
      </w:r>
      <w:r w:rsidRPr="00A1696A">
        <w:t xml:space="preserve"> и вероятното</w:t>
      </w:r>
      <w:r w:rsidR="00C232F1" w:rsidRPr="00A1696A">
        <w:t xml:space="preserve"> ѝ </w:t>
      </w:r>
      <w:r w:rsidRPr="00A1696A">
        <w:t>разклоняване на север и на юг от Имбреджекската хорст-атиклинала</w:t>
      </w:r>
      <w:r w:rsidR="00E30DA6">
        <w:t>,</w:t>
      </w:r>
      <w:r w:rsidRPr="00A1696A">
        <w:t xml:space="preserve"> като част от Маришката разломна зона. </w:t>
      </w:r>
      <w:r w:rsidR="0047374C" w:rsidRPr="00A1696A">
        <w:t>Х</w:t>
      </w:r>
      <w:r w:rsidRPr="00A1696A">
        <w:t xml:space="preserve">арактерна особеност на тази разломна зона е, че ограничава на североизток вулканската дейност, посредством сегмент с ЮИ-СЗ направление. Движенията по сегментите на Маришката разломна система са затихвали по различно време и в наши дни няма недвусмислени индикации за нейната съвременна активност. </w:t>
      </w:r>
      <w:r w:rsidR="0047374C" w:rsidRPr="00A1696A">
        <w:t>Въз основа</w:t>
      </w:r>
      <w:r w:rsidRPr="00A1696A">
        <w:t xml:space="preserve"> на моделните построения е изказано предположение за продължение на големия положителен структурен елемент от централната част на басейна (Central Thrace High) и на българска територия, изразяващ се в хорста</w:t>
      </w:r>
      <w:r w:rsidR="00714684" w:rsidRPr="00A1696A">
        <w:t>, където е заложен</w:t>
      </w:r>
      <w:r w:rsidRPr="00A1696A">
        <w:t xml:space="preserve"> сондаж Р-1 Свиленград и Имбрежджекската хорст-антиклинала. </w:t>
      </w:r>
    </w:p>
    <w:p w14:paraId="040993DC" w14:textId="77777777" w:rsidR="000B2EB2" w:rsidRPr="00A1696A" w:rsidRDefault="000B2EB2" w:rsidP="0047374C">
      <w:pPr>
        <w:pStyle w:val="NormalWeb"/>
        <w:spacing w:before="0" w:beforeAutospacing="0" w:after="0" w:afterAutospacing="0"/>
        <w:ind w:firstLine="709"/>
        <w:jc w:val="both"/>
        <w:rPr>
          <w:b/>
          <w:u w:val="single"/>
        </w:rPr>
      </w:pPr>
      <w:r w:rsidRPr="00A1696A">
        <w:rPr>
          <w:b/>
          <w:u w:val="single"/>
        </w:rPr>
        <w:t>Характеристика на природните резервоари</w:t>
      </w:r>
    </w:p>
    <w:p w14:paraId="31601B45" w14:textId="6861FDF1" w:rsidR="0047374C" w:rsidRPr="00A1696A" w:rsidRDefault="000B2EB2" w:rsidP="006B6EBF">
      <w:pPr>
        <w:pStyle w:val="NormalWeb"/>
        <w:spacing w:before="0" w:beforeAutospacing="0" w:after="0" w:afterAutospacing="0"/>
        <w:ind w:firstLine="709"/>
        <w:jc w:val="both"/>
      </w:pPr>
      <w:r w:rsidRPr="00A1696A">
        <w:t xml:space="preserve">Присъствието на разломни нарушения с различна амплитуда и насоченост, е предпоставка за значителни фациални изменения във вертикална и хоризонтална посока. Това създава и сложни пространствени взаимоотношения между колекторните и изолиращите задруги. На тази основа се предполага наличието на сложни резервоарни системи в терциерния разрез на изучавания район. </w:t>
      </w:r>
      <w:r w:rsidR="00E30DA6">
        <w:t>Д</w:t>
      </w:r>
      <w:r w:rsidRPr="00A1696A">
        <w:t xml:space="preserve">ефинирани </w:t>
      </w:r>
      <w:r w:rsidR="00E30DA6" w:rsidRPr="00A1696A">
        <w:t xml:space="preserve">са </w:t>
      </w:r>
      <w:r w:rsidRPr="00A1696A">
        <w:t xml:space="preserve">четири природни резервоара привързани към терциерния разрез на разглеждания район: </w:t>
      </w:r>
    </w:p>
    <w:p w14:paraId="0235507C" w14:textId="6D5AACF6" w:rsidR="0046541F" w:rsidRPr="00A1696A" w:rsidRDefault="00E30DA6" w:rsidP="001D3ADD">
      <w:pPr>
        <w:pStyle w:val="NormalWeb"/>
        <w:numPr>
          <w:ilvl w:val="0"/>
          <w:numId w:val="10"/>
        </w:numPr>
        <w:spacing w:before="0" w:beforeAutospacing="0" w:after="0" w:afterAutospacing="0"/>
        <w:jc w:val="both"/>
      </w:pPr>
      <w:r>
        <w:t xml:space="preserve">Природен резервоар </w:t>
      </w:r>
      <w:r w:rsidR="000B2EB2" w:rsidRPr="00A1696A">
        <w:t>в новоидентифицирания седиментен разрез с палеоцен-долно-средноеоценска възраст(?)</w:t>
      </w:r>
      <w:r w:rsidR="0046541F" w:rsidRPr="00A1696A">
        <w:t xml:space="preserve">, който в турската част на басейна е привързан към турбидитните наслаги на </w:t>
      </w:r>
      <w:r>
        <w:t xml:space="preserve">нефтогазоносната </w:t>
      </w:r>
      <w:r w:rsidR="0046541F" w:rsidRPr="00A1696A">
        <w:t>формация Hamitabat</w:t>
      </w:r>
      <w:r w:rsidR="000B2EB2" w:rsidRPr="00A1696A">
        <w:t xml:space="preserve">; </w:t>
      </w:r>
    </w:p>
    <w:p w14:paraId="41C8D8A2" w14:textId="7D215611" w:rsidR="004A3471" w:rsidRPr="00A1696A" w:rsidRDefault="00B94225" w:rsidP="001D3ADD">
      <w:pPr>
        <w:pStyle w:val="NormalWeb"/>
        <w:numPr>
          <w:ilvl w:val="0"/>
          <w:numId w:val="10"/>
        </w:numPr>
        <w:spacing w:before="0" w:beforeAutospacing="0" w:after="0" w:afterAutospacing="0"/>
        <w:jc w:val="both"/>
      </w:pPr>
      <w:r>
        <w:lastRenderedPageBreak/>
        <w:t>П</w:t>
      </w:r>
      <w:r w:rsidR="0046541F" w:rsidRPr="00A1696A">
        <w:t>рироден резервоар</w:t>
      </w:r>
      <w:r w:rsidR="00135C41" w:rsidRPr="00A1696A">
        <w:t>,</w:t>
      </w:r>
      <w:r w:rsidR="0046541F" w:rsidRPr="00A1696A">
        <w:t xml:space="preserve"> привързан към брекчо-конгломератната и брекчо</w:t>
      </w:r>
      <w:r w:rsidR="00135C41" w:rsidRPr="00A1696A">
        <w:t xml:space="preserve">-конгломерато-пясъчниковата задруга </w:t>
      </w:r>
      <w:r w:rsidR="000B2EB2" w:rsidRPr="00A1696A">
        <w:t xml:space="preserve">с </w:t>
      </w:r>
      <w:r w:rsidR="00035EFF" w:rsidRPr="00A1696A">
        <w:t>къс</w:t>
      </w:r>
      <w:r w:rsidR="000B2EB2" w:rsidRPr="00A1696A">
        <w:t>ноеоценска възраст</w:t>
      </w:r>
      <w:r>
        <w:t>. К</w:t>
      </w:r>
      <w:r w:rsidR="00135C41" w:rsidRPr="00A1696A">
        <w:t>олекторната задруга се характеризира с</w:t>
      </w:r>
      <w:r>
        <w:t>ъс</w:t>
      </w:r>
      <w:r w:rsidR="00135C41" w:rsidRPr="00A1696A">
        <w:t xml:space="preserve"> средни стойности на петрофизичните свойства</w:t>
      </w:r>
      <w:r>
        <w:t>.</w:t>
      </w:r>
      <w:r w:rsidR="00135C41" w:rsidRPr="00A1696A">
        <w:t xml:space="preserve"> </w:t>
      </w:r>
      <w:r>
        <w:t>Г</w:t>
      </w:r>
      <w:r w:rsidR="00135C41" w:rsidRPr="00A1696A">
        <w:t xml:space="preserve">линесто-карбонатните наслаги, залягащи над колекторната </w:t>
      </w:r>
      <w:r w:rsidR="004A3471" w:rsidRPr="00A1696A">
        <w:t>част</w:t>
      </w:r>
      <w:r w:rsidR="00135C41" w:rsidRPr="00A1696A">
        <w:t xml:space="preserve">, </w:t>
      </w:r>
      <w:r w:rsidR="004A3471" w:rsidRPr="00A1696A">
        <w:t xml:space="preserve">биха могли да </w:t>
      </w:r>
      <w:r w:rsidR="00135C41" w:rsidRPr="00A1696A">
        <w:t>играят ролята на изолираща покривка</w:t>
      </w:r>
      <w:r w:rsidR="004A3471" w:rsidRPr="00A1696A">
        <w:t>;</w:t>
      </w:r>
    </w:p>
    <w:p w14:paraId="7E7A0355" w14:textId="6FF93791" w:rsidR="000B2EB2" w:rsidRPr="00A1696A" w:rsidRDefault="00B94225" w:rsidP="001D3ADD">
      <w:pPr>
        <w:pStyle w:val="NormalWeb"/>
        <w:numPr>
          <w:ilvl w:val="0"/>
          <w:numId w:val="10"/>
        </w:numPr>
        <w:spacing w:before="0" w:beforeAutospacing="0" w:after="0" w:afterAutospacing="0"/>
        <w:jc w:val="both"/>
      </w:pPr>
      <w:r>
        <w:t>П</w:t>
      </w:r>
      <w:r w:rsidR="004A3471" w:rsidRPr="00A1696A">
        <w:t>рироден резервоар, привързан към тери</w:t>
      </w:r>
      <w:r w:rsidR="004A3471" w:rsidRPr="00A1696A">
        <w:softHyphen/>
        <w:t>генно-варовиково-мергелната и рифогенно-варовиковата задруги</w:t>
      </w:r>
      <w:r>
        <w:t>.</w:t>
      </w:r>
      <w:r w:rsidR="004A3471" w:rsidRPr="00A1696A">
        <w:t xml:space="preserve"> </w:t>
      </w:r>
      <w:r>
        <w:t>К</w:t>
      </w:r>
      <w:r w:rsidR="004A3471" w:rsidRPr="00A1696A">
        <w:t>олекторната част е със сравнително добри резервоарни свойства</w:t>
      </w:r>
      <w:r w:rsidR="000B2EB2" w:rsidRPr="00A1696A">
        <w:t xml:space="preserve">. </w:t>
      </w:r>
      <w:r w:rsidR="004A3471" w:rsidRPr="00A1696A">
        <w:t>За техни корелати от турската част на басейна са приети формации Ceylan и Sogukak, в които са вместени няколко находища</w:t>
      </w:r>
      <w:r w:rsidR="00B20DF1" w:rsidRPr="00A1696A">
        <w:t>. За изолираща покривка служат пластовете от глини или мергели с еоценска и олигоценска възраст</w:t>
      </w:r>
      <w:r w:rsidR="004A3471" w:rsidRPr="00A1696A">
        <w:t>;</w:t>
      </w:r>
    </w:p>
    <w:p w14:paraId="1FA1E0CD" w14:textId="64E19B9C" w:rsidR="004A3471" w:rsidRPr="00A1696A" w:rsidRDefault="00B94225" w:rsidP="001D3ADD">
      <w:pPr>
        <w:pStyle w:val="NormalWeb"/>
        <w:numPr>
          <w:ilvl w:val="0"/>
          <w:numId w:val="10"/>
        </w:numPr>
        <w:spacing w:before="0" w:beforeAutospacing="0" w:after="0" w:afterAutospacing="0"/>
        <w:jc w:val="both"/>
      </w:pPr>
      <w:r>
        <w:t>П</w:t>
      </w:r>
      <w:r w:rsidR="004A3471" w:rsidRPr="00A1696A">
        <w:t>рироден резервоар в наслагите с олигоценска възраст</w:t>
      </w:r>
      <w:r>
        <w:t>.</w:t>
      </w:r>
      <w:r w:rsidR="004A3471" w:rsidRPr="00A1696A">
        <w:t xml:space="preserve"> </w:t>
      </w:r>
      <w:r>
        <w:t>К</w:t>
      </w:r>
      <w:r w:rsidR="004A3471" w:rsidRPr="00A1696A">
        <w:t>олекторни скали са пясъчниците и алевролитите, характеризиращи се с много добри петрофизични свойства</w:t>
      </w:r>
      <w:r>
        <w:t>.</w:t>
      </w:r>
      <w:r w:rsidR="004A3471" w:rsidRPr="00A1696A">
        <w:t xml:space="preserve"> </w:t>
      </w:r>
      <w:r>
        <w:t>Т</w:t>
      </w:r>
      <w:r w:rsidR="004A3471" w:rsidRPr="00A1696A">
        <w:t>руднопроницаема покривка са глинестите наслаги на глинесто-мергелната задруга.</w:t>
      </w:r>
    </w:p>
    <w:p w14:paraId="5E2761CC" w14:textId="45374D11" w:rsidR="000B2EB2" w:rsidRPr="00A1696A" w:rsidRDefault="006D0B33" w:rsidP="006B6EBF">
      <w:pPr>
        <w:pStyle w:val="NormalWeb"/>
        <w:spacing w:before="0" w:beforeAutospacing="0" w:after="0" w:afterAutospacing="0"/>
        <w:ind w:firstLine="709"/>
        <w:jc w:val="both"/>
      </w:pPr>
      <w:r w:rsidRPr="00A1696A">
        <w:t xml:space="preserve">В тези природни резервоари може да се очакват различни генетични типове капани, които са образувани през различните тектонски фази. </w:t>
      </w:r>
      <w:r w:rsidR="000B2EB2" w:rsidRPr="00A1696A">
        <w:t>Първия</w:t>
      </w:r>
      <w:r w:rsidR="00856DEE" w:rsidRPr="00A1696A">
        <w:t>т</w:t>
      </w:r>
      <w:r w:rsidR="000B2EB2" w:rsidRPr="00A1696A">
        <w:t xml:space="preserve"> период на структурообразуване може да се свърже с Илирските тектонски процеси, свързани с обособяване на хорстове и грабени, което води до формиране на структурни капани. Но като цяло</w:t>
      </w:r>
      <w:r w:rsidR="00856DEE" w:rsidRPr="00A1696A">
        <w:t>,</w:t>
      </w:r>
      <w:r w:rsidR="000B2EB2" w:rsidRPr="00A1696A">
        <w:t xml:space="preserve"> по-голямата част от антиклиналните и разломните капани са се образували през миоценската епоха. В района на изследване се очаква да съществуват и множество стратиграфски капани: органогенни постройки в рифогенно-варовиковата задруга</w:t>
      </w:r>
      <w:r w:rsidR="00B94225">
        <w:t>;</w:t>
      </w:r>
      <w:r w:rsidR="000B2EB2" w:rsidRPr="00A1696A">
        <w:t xml:space="preserve"> литоложки, на изклинване или на фациално заместване в глинесто-мергелната задруга.</w:t>
      </w:r>
    </w:p>
    <w:p w14:paraId="4B0DBC30" w14:textId="77777777" w:rsidR="000B2EB2" w:rsidRPr="00A1696A" w:rsidRDefault="000B2EB2" w:rsidP="006D0B33">
      <w:pPr>
        <w:pStyle w:val="NormalWeb"/>
        <w:spacing w:before="0" w:beforeAutospacing="0" w:after="0" w:afterAutospacing="0"/>
        <w:ind w:firstLine="709"/>
        <w:jc w:val="both"/>
        <w:rPr>
          <w:b/>
          <w:u w:val="single"/>
        </w:rPr>
      </w:pPr>
      <w:bookmarkStart w:id="117" w:name="_Hlk7819801"/>
      <w:bookmarkEnd w:id="116"/>
      <w:r w:rsidRPr="00A1696A">
        <w:rPr>
          <w:b/>
          <w:u w:val="single"/>
        </w:rPr>
        <w:t>Нефто-газогенерационен потенциал</w:t>
      </w:r>
    </w:p>
    <w:p w14:paraId="68F96C1B" w14:textId="07548706" w:rsidR="000B2EB2" w:rsidRPr="00A1696A" w:rsidRDefault="000B2EB2" w:rsidP="006B6EBF">
      <w:pPr>
        <w:pStyle w:val="NormalWeb"/>
        <w:spacing w:before="0" w:beforeAutospacing="0" w:after="0" w:afterAutospacing="0"/>
        <w:ind w:firstLine="709"/>
        <w:jc w:val="both"/>
      </w:pPr>
      <w:r w:rsidRPr="00A1696A">
        <w:t xml:space="preserve">Оценката на въглеводородо-генериращия потенциал на седиментите от терциерния разрез в района на изследване е осъществен посредством съвременни геохимични изследвания и петролно-системни модели и симулации. Това позволи да бъде представена една нова характеристика на потенциално-генериращи седименти, която не е извършвана в този район от страната ни до този момент. Основавайки се на факта, че в централната част на басейна, като скали с доказан нефто-газогенериращ потенциал са формации Hamitabat, Ceylan и Mezardere, техните аналози на българска територия </w:t>
      </w:r>
      <w:r w:rsidR="0097770D" w:rsidRPr="00702DCC">
        <w:t>са</w:t>
      </w:r>
      <w:r w:rsidRPr="00A1696A">
        <w:t xml:space="preserve"> подложени на комплекс от методи за изследване на генериращите им възможности.</w:t>
      </w:r>
    </w:p>
    <w:p w14:paraId="18797C3A" w14:textId="4340C6F3" w:rsidR="000B2EB2" w:rsidRPr="00A1696A" w:rsidRDefault="000B2EB2" w:rsidP="006D0B33">
      <w:pPr>
        <w:pStyle w:val="NormalWeb"/>
        <w:spacing w:before="0" w:beforeAutospacing="0" w:after="0" w:afterAutospacing="0"/>
        <w:ind w:left="714"/>
        <w:jc w:val="both"/>
        <w:rPr>
          <w:b/>
          <w:i/>
        </w:rPr>
      </w:pPr>
      <w:r w:rsidRPr="00A1696A">
        <w:t xml:space="preserve"> </w:t>
      </w:r>
      <w:r w:rsidRPr="00A1696A">
        <w:rPr>
          <w:b/>
          <w:i/>
        </w:rPr>
        <w:t>Потенциални генериращи скали</w:t>
      </w:r>
    </w:p>
    <w:p w14:paraId="079F805C" w14:textId="4C4560FB" w:rsidR="000B2EB2" w:rsidRPr="00A1696A" w:rsidRDefault="006D0B33" w:rsidP="006B6EBF">
      <w:pPr>
        <w:pStyle w:val="NormalWeb"/>
        <w:spacing w:before="0" w:beforeAutospacing="0" w:after="0" w:afterAutospacing="0"/>
        <w:ind w:firstLine="709"/>
        <w:jc w:val="both"/>
      </w:pPr>
      <w:r w:rsidRPr="00A1696A">
        <w:t>С</w:t>
      </w:r>
      <w:r w:rsidR="000B2EB2" w:rsidRPr="00A1696A">
        <w:t>калите от глинесто-мергелната задруга</w:t>
      </w:r>
      <w:r w:rsidR="00B94225">
        <w:t>,</w:t>
      </w:r>
      <w:r w:rsidR="000B2EB2" w:rsidRPr="00A1696A">
        <w:t xml:space="preserve"> в най-източния край от изследвания район</w:t>
      </w:r>
      <w:r w:rsidR="00B94225">
        <w:t>,</w:t>
      </w:r>
      <w:r w:rsidR="000B2EB2" w:rsidRPr="00A1696A">
        <w:t xml:space="preserve"> се характеризират със „задоволителен“ до „добър“ генерационен потенциал, със съдържание на С</w:t>
      </w:r>
      <w:r w:rsidR="000B2EB2" w:rsidRPr="00A1696A">
        <w:rPr>
          <w:vertAlign w:val="subscript"/>
        </w:rPr>
        <w:t>орг</w:t>
      </w:r>
      <w:r w:rsidR="000B2EB2" w:rsidRPr="00A1696A">
        <w:t>&gt;0</w:t>
      </w:r>
      <w:r w:rsidR="00FF4103" w:rsidRPr="00A1696A">
        <w:t>,</w:t>
      </w:r>
      <w:r w:rsidR="000B2EB2" w:rsidRPr="00A1696A">
        <w:t>5</w:t>
      </w:r>
      <w:r w:rsidR="00B94225">
        <w:t xml:space="preserve"> </w:t>
      </w:r>
      <w:bookmarkStart w:id="118" w:name="_Hlk8111471"/>
      <w:r w:rsidR="00B94225">
        <w:t>(от 1,28% до 2,31%)</w:t>
      </w:r>
      <w:bookmarkEnd w:id="118"/>
      <w:r w:rsidR="000B2EB2" w:rsidRPr="00A1696A">
        <w:t>, тип III ОВ, влязло в зоната на ранна зрялост</w:t>
      </w:r>
      <w:r w:rsidR="00B94225">
        <w:t>. П</w:t>
      </w:r>
      <w:r w:rsidR="000B2EB2" w:rsidRPr="00A1696A">
        <w:t>редполага</w:t>
      </w:r>
      <w:r w:rsidR="00B94225">
        <w:t xml:space="preserve"> се</w:t>
      </w:r>
      <w:r w:rsidR="000B2EB2" w:rsidRPr="00A1696A">
        <w:t>, че биха могли да генерират биогенен газ. Интерпретацията и анализа на данните от мас-спектралните изследвания потвърждават, че ОВ е незряло и предимно от тип III. Трябва да се отбележи, че в някои интервали ОВ се допуска да е смесен тип II/III, главно от висши сухоземни растения и отчасти привнесен органичен материал от водорасли и бактерии. Тези предположения се правят на базата на стойностите на някои от индикаторите, които загатват за преотлагане на по-зряло ОВ.</w:t>
      </w:r>
    </w:p>
    <w:p w14:paraId="20988DBA" w14:textId="271D2CE0" w:rsidR="000B2EB2" w:rsidRPr="00A1696A" w:rsidRDefault="000B2EB2" w:rsidP="006D0B33">
      <w:pPr>
        <w:pStyle w:val="NormalWeb"/>
        <w:spacing w:before="0" w:beforeAutospacing="0" w:after="0" w:afterAutospacing="0"/>
        <w:ind w:left="714"/>
        <w:jc w:val="both"/>
        <w:rPr>
          <w:b/>
          <w:i/>
        </w:rPr>
      </w:pPr>
      <w:r w:rsidRPr="00A1696A">
        <w:rPr>
          <w:b/>
          <w:i/>
        </w:rPr>
        <w:t xml:space="preserve"> Моделиране на термичната зрялост</w:t>
      </w:r>
    </w:p>
    <w:p w14:paraId="1781E91F" w14:textId="7E3C6E1C" w:rsidR="000B2EB2" w:rsidRPr="00A1696A" w:rsidRDefault="000B2EB2" w:rsidP="006B6EBF">
      <w:pPr>
        <w:pStyle w:val="NormalWeb"/>
        <w:spacing w:before="0" w:beforeAutospacing="0" w:after="0" w:afterAutospacing="0"/>
        <w:ind w:firstLine="709"/>
        <w:jc w:val="both"/>
      </w:pPr>
      <w:r w:rsidRPr="00A1696A">
        <w:t xml:space="preserve">Извършеното 1D петролно-системно моделиране позволи да се направи оценка на термичната зрялост на потенциалните генериращи наслаги. Потвърдиха се изводите от другите два метода относно зрелостта на седиментите на глинесто-мергелната </w:t>
      </w:r>
      <w:r w:rsidR="00B94225">
        <w:t>задруга</w:t>
      </w:r>
      <w:r w:rsidRPr="00A1696A">
        <w:t>. Резултатите показаха, че седиментите от глинесто-мергелната задруга не са зрели за генериране на нефт и термокаталитичен газ в този участък и биха могли да генерират биогенен газ. Потенциалните генериращи интервали от теригенно-варовиково-мергелната задруга биха могли да генерират нефт</w:t>
      </w:r>
      <w:r w:rsidR="00B94225">
        <w:t>. М</w:t>
      </w:r>
      <w:r w:rsidRPr="00A1696A">
        <w:t>одела показва, че скалите от задругата са навлезли в ранния етап от нефтения прозорец. Модел</w:t>
      </w:r>
      <w:r w:rsidR="00FF4103" w:rsidRPr="00A1696A">
        <w:t>ът</w:t>
      </w:r>
      <w:r w:rsidRPr="00A1696A">
        <w:t xml:space="preserve"> включва</w:t>
      </w:r>
      <w:r w:rsidR="00FF4103" w:rsidRPr="00A1696A">
        <w:t xml:space="preserve"> и</w:t>
      </w:r>
      <w:r w:rsidRPr="00A1696A">
        <w:t xml:space="preserve"> интервала от седиментния разрез, приет за аналог на доказаната генерационна формация Hamitabat. В моделирания участък </w:t>
      </w:r>
      <w:r w:rsidRPr="00A1696A">
        <w:lastRenderedPageBreak/>
        <w:t>тази последователност изцяло е навлязла в зоната на нефтения прозорец и би могла да генерира нефт или в близост до границата</w:t>
      </w:r>
      <w:r w:rsidR="00470A16">
        <w:t>,</w:t>
      </w:r>
      <w:r w:rsidRPr="00A1696A">
        <w:t xml:space="preserve"> в по-дълбоката част на басейна – термокаталитичен газ.</w:t>
      </w:r>
    </w:p>
    <w:p w14:paraId="3A0F1BE0" w14:textId="77777777" w:rsidR="000B2EB2" w:rsidRPr="00A1696A" w:rsidRDefault="000B2EB2" w:rsidP="009C4333">
      <w:pPr>
        <w:pStyle w:val="NormalWeb"/>
        <w:spacing w:before="0" w:beforeAutospacing="0" w:after="0" w:afterAutospacing="0"/>
        <w:ind w:firstLine="709"/>
        <w:jc w:val="both"/>
        <w:rPr>
          <w:b/>
          <w:u w:val="single"/>
        </w:rPr>
      </w:pPr>
      <w:bookmarkStart w:id="119" w:name="_Hlk7820188"/>
      <w:bookmarkEnd w:id="117"/>
      <w:r w:rsidRPr="00A1696A">
        <w:rPr>
          <w:b/>
          <w:u w:val="single"/>
        </w:rPr>
        <w:t>Реконструкция на геотермичната история</w:t>
      </w:r>
    </w:p>
    <w:p w14:paraId="70AD2695" w14:textId="0959F5A1" w:rsidR="000B2EB2" w:rsidRPr="00A1696A" w:rsidRDefault="000B2EB2" w:rsidP="006B6EBF">
      <w:pPr>
        <w:pStyle w:val="NormalWeb"/>
        <w:spacing w:before="0" w:beforeAutospacing="0" w:after="0" w:afterAutospacing="0"/>
        <w:ind w:firstLine="709"/>
        <w:jc w:val="both"/>
      </w:pPr>
      <w:r w:rsidRPr="00A1696A">
        <w:t>Използвайки геоложките и геохимичните данни от сондаж Р-1 Свиленград и последващото им интерполиране в още три участъка (псевдо-сондажи), интерпретираните сеизмични разрези и получените дълбочинни данни от скоростния модел на 3D геоложкия модел, стана възможна реконструкция на геотермичната история на голяма част от района на изследване. Резултатите от това петролно-системно моделиране дават основание да се извършат следните заключения:</w:t>
      </w:r>
    </w:p>
    <w:p w14:paraId="3DAE0389" w14:textId="1F5680BA" w:rsidR="000B2EB2" w:rsidRPr="00A1696A" w:rsidRDefault="000B2EB2" w:rsidP="001D3ADD">
      <w:pPr>
        <w:pStyle w:val="NormalWeb"/>
        <w:numPr>
          <w:ilvl w:val="0"/>
          <w:numId w:val="9"/>
        </w:numPr>
        <w:spacing w:before="0" w:beforeAutospacing="0" w:after="0" w:afterAutospacing="0"/>
        <w:jc w:val="both"/>
      </w:pPr>
      <w:r w:rsidRPr="00A1696A">
        <w:t>Модел</w:t>
      </w:r>
      <w:r w:rsidR="00514EC4" w:rsidRPr="00A1696A">
        <w:t>ът</w:t>
      </w:r>
      <w:r w:rsidRPr="00A1696A">
        <w:t xml:space="preserve"> на историята на потъване на басейна и погребване на терциерните седименти показва, че отлагането на </w:t>
      </w:r>
      <w:r w:rsidR="00470A16">
        <w:t>дебел седиментен комплекс</w:t>
      </w:r>
      <w:r w:rsidRPr="00A1696A">
        <w:t xml:space="preserve"> от еоценската до плиоценската епохи</w:t>
      </w:r>
      <w:r w:rsidR="00470A16">
        <w:t>,</w:t>
      </w:r>
      <w:r w:rsidRPr="00A1696A">
        <w:t xml:space="preserve"> оказва влияние върху съзряването и последвалите го процеси на генерация и миграция на ВВ от потенциалните въглеводородо-генериращи </w:t>
      </w:r>
      <w:r w:rsidR="00470A16">
        <w:t>наслаги</w:t>
      </w:r>
      <w:r w:rsidRPr="00A1696A">
        <w:t>;</w:t>
      </w:r>
    </w:p>
    <w:p w14:paraId="57CA7DB4" w14:textId="425CD95B" w:rsidR="000B2EB2" w:rsidRPr="00A1696A" w:rsidRDefault="000B2EB2" w:rsidP="001D3ADD">
      <w:pPr>
        <w:pStyle w:val="NormalWeb"/>
        <w:numPr>
          <w:ilvl w:val="0"/>
          <w:numId w:val="9"/>
        </w:numPr>
        <w:spacing w:before="0" w:beforeAutospacing="0" w:after="0" w:afterAutospacing="0"/>
        <w:jc w:val="both"/>
      </w:pPr>
      <w:r w:rsidRPr="00A1696A">
        <w:t>Модел</w:t>
      </w:r>
      <w:r w:rsidR="00514EC4" w:rsidRPr="00A1696A">
        <w:t>ът</w:t>
      </w:r>
      <w:r w:rsidRPr="00A1696A">
        <w:t xml:space="preserve"> на топлинния поток, калибриран с получените </w:t>
      </w:r>
      <w:r w:rsidR="00470A16">
        <w:t>данни</w:t>
      </w:r>
      <w:r w:rsidRPr="00A1696A">
        <w:t xml:space="preserve"> </w:t>
      </w:r>
      <w:r w:rsidR="00470A16">
        <w:t>от</w:t>
      </w:r>
      <w:r w:rsidRPr="00A1696A">
        <w:t xml:space="preserve"> температурата при пиролиза, показва най-високи стойности по-време на тектонските процеси/рифтовите фази </w:t>
      </w:r>
      <w:r w:rsidR="00A25989" w:rsidRPr="00A1696A">
        <w:t>при</w:t>
      </w:r>
      <w:r w:rsidRPr="00A1696A">
        <w:t xml:space="preserve"> образуването на басейна. Високите стойности на палеотоплинния поток и палеотемпературата, които са достигнати през миоценската епоха, също имат положителен ефект за термичната зрялост</w:t>
      </w:r>
      <w:r w:rsidR="00A25989" w:rsidRPr="00A1696A">
        <w:t xml:space="preserve"> и</w:t>
      </w:r>
      <w:r w:rsidRPr="00A1696A">
        <w:t xml:space="preserve"> генериране на ВВ от потенциалните </w:t>
      </w:r>
      <w:r w:rsidR="00A25989" w:rsidRPr="00A1696A">
        <w:t>въглеводородо-</w:t>
      </w:r>
      <w:r w:rsidRPr="00A1696A">
        <w:t xml:space="preserve">генериращи </w:t>
      </w:r>
      <w:r w:rsidR="00A25989" w:rsidRPr="00A1696A">
        <w:t>седименти</w:t>
      </w:r>
      <w:r w:rsidRPr="00A1696A">
        <w:t>;</w:t>
      </w:r>
    </w:p>
    <w:p w14:paraId="0E45418E" w14:textId="24AD9FCC" w:rsidR="000B2EB2" w:rsidRPr="00A1696A" w:rsidRDefault="000B2EB2" w:rsidP="001D3ADD">
      <w:pPr>
        <w:pStyle w:val="NormalWeb"/>
        <w:numPr>
          <w:ilvl w:val="0"/>
          <w:numId w:val="9"/>
        </w:numPr>
        <w:spacing w:before="0" w:beforeAutospacing="0" w:after="0" w:afterAutospacing="0"/>
        <w:jc w:val="both"/>
      </w:pPr>
      <w:r w:rsidRPr="00A1696A">
        <w:t>Чрез модел</w:t>
      </w:r>
      <w:r w:rsidR="00470A16">
        <w:t>а</w:t>
      </w:r>
      <w:r w:rsidRPr="00A1696A">
        <w:t xml:space="preserve"> на реконструкция са дефинирани определени седиментни последователности като потенциални генериращи скали</w:t>
      </w:r>
      <w:r w:rsidR="00470A16">
        <w:t>.</w:t>
      </w:r>
    </w:p>
    <w:p w14:paraId="5434C46F" w14:textId="02DD15C9" w:rsidR="000B2EB2" w:rsidRPr="00A1696A" w:rsidRDefault="000B2EB2" w:rsidP="009C4333">
      <w:pPr>
        <w:pStyle w:val="NormalWeb"/>
        <w:spacing w:before="0" w:beforeAutospacing="0" w:after="0" w:afterAutospacing="0"/>
        <w:ind w:firstLine="709"/>
        <w:jc w:val="both"/>
        <w:rPr>
          <w:b/>
          <w:u w:val="single"/>
        </w:rPr>
      </w:pPr>
      <w:r w:rsidRPr="00A1696A">
        <w:rPr>
          <w:u w:val="single"/>
        </w:rPr>
        <w:t xml:space="preserve"> </w:t>
      </w:r>
      <w:r w:rsidRPr="00A1696A">
        <w:rPr>
          <w:b/>
          <w:u w:val="single"/>
        </w:rPr>
        <w:t>Потенциални петролни системи</w:t>
      </w:r>
    </w:p>
    <w:p w14:paraId="0760BF27" w14:textId="70952DF5" w:rsidR="000B2EB2" w:rsidRPr="00A1696A" w:rsidRDefault="000B2EB2" w:rsidP="006B6EBF">
      <w:pPr>
        <w:pStyle w:val="NormalWeb"/>
        <w:spacing w:before="0" w:beforeAutospacing="0" w:after="0" w:afterAutospacing="0"/>
        <w:ind w:firstLine="709"/>
        <w:jc w:val="both"/>
      </w:pPr>
      <w:r w:rsidRPr="00A1696A">
        <w:t xml:space="preserve">Извършените в настоящия дисертационен труд изследвания и анализи позволиха да се предположи съществуването на потенциална терциерна петролна система в района на изследване, в която взаимовръзката между елементите и процесите е в благоприятно съчетание. Всичко това разкрива сравнително нови хоризонти за въглеводородния потенциал на ЮИ част на Горнотракийската низина </w:t>
      </w:r>
      <w:bookmarkStart w:id="120" w:name="_Hlk8111915"/>
      <w:r w:rsidRPr="00A1696A">
        <w:t xml:space="preserve">и </w:t>
      </w:r>
      <w:r w:rsidR="00470A16">
        <w:t>би послужило за бъдещи геолого-проучвателни работи</w:t>
      </w:r>
      <w:r w:rsidRPr="00A1696A">
        <w:t xml:space="preserve"> в Южна България.</w:t>
      </w:r>
      <w:bookmarkEnd w:id="120"/>
    </w:p>
    <w:bookmarkEnd w:id="119"/>
    <w:p w14:paraId="5674C6F6" w14:textId="77777777" w:rsidR="009C4333" w:rsidRPr="00A1696A" w:rsidRDefault="009C4333" w:rsidP="006B6EBF">
      <w:pPr>
        <w:pStyle w:val="NormalWeb"/>
        <w:spacing w:before="0" w:beforeAutospacing="0" w:after="0" w:afterAutospacing="0"/>
        <w:ind w:firstLine="709"/>
        <w:jc w:val="both"/>
      </w:pPr>
    </w:p>
    <w:p w14:paraId="2758D80E" w14:textId="77777777" w:rsidR="00E80887" w:rsidRPr="009C4333" w:rsidRDefault="00E80887" w:rsidP="00E80887">
      <w:pPr>
        <w:pStyle w:val="Style1"/>
        <w:ind w:left="0" w:firstLine="709"/>
        <w:jc w:val="both"/>
        <w:rPr>
          <w:sz w:val="28"/>
          <w:szCs w:val="28"/>
          <w:lang w:val="bg-BG"/>
        </w:rPr>
      </w:pPr>
      <w:bookmarkStart w:id="121" w:name="_Toc7820651"/>
      <w:bookmarkStart w:id="122" w:name="_Toc6921041"/>
      <w:r w:rsidRPr="00C43A23">
        <w:rPr>
          <w:sz w:val="28"/>
          <w:szCs w:val="28"/>
          <w:lang w:val="bg-BG"/>
        </w:rPr>
        <w:t>Основни приноси</w:t>
      </w:r>
      <w:bookmarkEnd w:id="121"/>
      <w:r w:rsidRPr="00C43A23">
        <w:rPr>
          <w:sz w:val="28"/>
          <w:szCs w:val="28"/>
          <w:lang w:val="bg-BG"/>
        </w:rPr>
        <w:t xml:space="preserve"> </w:t>
      </w:r>
      <w:bookmarkEnd w:id="122"/>
    </w:p>
    <w:p w14:paraId="16655845" w14:textId="77777777" w:rsidR="00E80887" w:rsidRPr="00C43A23" w:rsidRDefault="00E80887" w:rsidP="00E80887">
      <w:pPr>
        <w:pStyle w:val="NormalWeb"/>
        <w:spacing w:before="0" w:beforeAutospacing="0" w:after="0" w:afterAutospacing="0"/>
        <w:ind w:firstLine="709"/>
        <w:jc w:val="both"/>
      </w:pPr>
      <w:r>
        <w:t>В</w:t>
      </w:r>
      <w:r w:rsidRPr="00C43A23">
        <w:t>ъз основа на резултатите от проведените интерпретации и анализи на данните от извършените изследвания</w:t>
      </w:r>
      <w:r>
        <w:t xml:space="preserve"> </w:t>
      </w:r>
      <w:bookmarkStart w:id="123" w:name="_Hlk8112043"/>
      <w:r>
        <w:t>са формулирани следните основни приноси</w:t>
      </w:r>
      <w:bookmarkEnd w:id="123"/>
      <w:r w:rsidRPr="00C43A23">
        <w:t>:</w:t>
      </w:r>
    </w:p>
    <w:p w14:paraId="48F817F9" w14:textId="27583DAD" w:rsidR="00E80887" w:rsidRDefault="00E80887" w:rsidP="00E80887">
      <w:pPr>
        <w:pStyle w:val="NormalWeb"/>
        <w:numPr>
          <w:ilvl w:val="0"/>
          <w:numId w:val="8"/>
        </w:numPr>
        <w:spacing w:before="0" w:beforeAutospacing="0" w:after="0" w:afterAutospacing="0"/>
        <w:jc w:val="both"/>
      </w:pPr>
      <w:r>
        <w:t xml:space="preserve">Извършена е детайлна характеристика на геоложкия строеж посредством интерпретация и </w:t>
      </w:r>
      <w:r w:rsidRPr="002545BF">
        <w:t xml:space="preserve">комплексен </w:t>
      </w:r>
      <w:r>
        <w:t xml:space="preserve">анализ на </w:t>
      </w:r>
      <w:r w:rsidRPr="002545BF">
        <w:t xml:space="preserve">геоложки, геофизични, сондажно-геофизични, геохимични и други данни за </w:t>
      </w:r>
      <w:bookmarkStart w:id="124" w:name="_Hlk8112083"/>
      <w:r>
        <w:t xml:space="preserve">района на изследване и около него. Набелязани са общи геоложки белези между ЮИ част на Горнотракийската низина и нефтогазоносния Тракийски басейн, </w:t>
      </w:r>
      <w:r w:rsidRPr="001D2491">
        <w:t xml:space="preserve">разположен на територията на </w:t>
      </w:r>
      <w:r w:rsidR="00470A16">
        <w:t xml:space="preserve">съседна </w:t>
      </w:r>
      <w:r w:rsidRPr="001D2491">
        <w:t>Турция</w:t>
      </w:r>
      <w:bookmarkEnd w:id="124"/>
      <w:r w:rsidRPr="001D2491">
        <w:t>;</w:t>
      </w:r>
    </w:p>
    <w:p w14:paraId="70BC7B2E" w14:textId="77777777" w:rsidR="00E80887" w:rsidRPr="001D2491" w:rsidRDefault="00E80887" w:rsidP="00E80887">
      <w:pPr>
        <w:pStyle w:val="NormalWeb"/>
        <w:numPr>
          <w:ilvl w:val="0"/>
          <w:numId w:val="8"/>
        </w:numPr>
        <w:spacing w:before="0" w:beforeAutospacing="0" w:after="0" w:afterAutospacing="0"/>
        <w:jc w:val="both"/>
      </w:pPr>
      <w:bookmarkStart w:id="125" w:name="_Hlk8112106"/>
      <w:r>
        <w:t>Избран и приложен е подходящ методологичен подход за оценка на нефтогазоносността според спецификата на района на изследване;</w:t>
      </w:r>
      <w:bookmarkEnd w:id="125"/>
    </w:p>
    <w:p w14:paraId="09CE77BE" w14:textId="19B1D0EC" w:rsidR="00E80887" w:rsidRPr="001D2491" w:rsidRDefault="00E80887" w:rsidP="00E80887">
      <w:pPr>
        <w:pStyle w:val="NormalWeb"/>
        <w:numPr>
          <w:ilvl w:val="0"/>
          <w:numId w:val="8"/>
        </w:numPr>
        <w:spacing w:before="0" w:beforeAutospacing="0" w:after="0" w:afterAutospacing="0"/>
        <w:jc w:val="both"/>
      </w:pPr>
      <w:bookmarkStart w:id="126" w:name="_Hlk8112143"/>
      <w:r w:rsidRPr="001D2491">
        <w:t>Създадени са 2</w:t>
      </w:r>
      <w:r w:rsidRPr="001D2491">
        <w:rPr>
          <w:lang w:val="en-US"/>
        </w:rPr>
        <w:t>D</w:t>
      </w:r>
      <w:r w:rsidRPr="001D2491">
        <w:t xml:space="preserve"> модели на палеореконструкция на терциера посредством </w:t>
      </w:r>
      <w:r w:rsidRPr="004C221A">
        <w:t>характеристика и</w:t>
      </w:r>
      <w:r>
        <w:t xml:space="preserve"> анализ </w:t>
      </w:r>
      <w:r w:rsidRPr="004C221A">
        <w:t>на басейновото пространство</w:t>
      </w:r>
      <w:r w:rsidRPr="001D2491">
        <w:t xml:space="preserve"> на изучавания район и анализ на данните в </w:t>
      </w:r>
      <w:r>
        <w:t>турската</w:t>
      </w:r>
      <w:r w:rsidRPr="001D2491">
        <w:t xml:space="preserve"> част на Тракийския басейн</w:t>
      </w:r>
      <w:r>
        <w:t xml:space="preserve">. </w:t>
      </w:r>
      <w:r w:rsidRPr="004C221A">
        <w:t>Това позволи, както да</w:t>
      </w:r>
      <w:r>
        <w:t xml:space="preserve"> се проследят етапите на формиране на басейновата система, така и да се установи общо геоложко развитие на седиментния комплекс на българска и турска територия</w:t>
      </w:r>
      <w:bookmarkEnd w:id="126"/>
      <w:r w:rsidRPr="001D2491">
        <w:t>;</w:t>
      </w:r>
    </w:p>
    <w:p w14:paraId="50D47A61" w14:textId="4334A42A" w:rsidR="00E80887" w:rsidRPr="002545BF" w:rsidRDefault="00E80887" w:rsidP="00E80887">
      <w:pPr>
        <w:pStyle w:val="NormalWeb"/>
        <w:numPr>
          <w:ilvl w:val="0"/>
          <w:numId w:val="8"/>
        </w:numPr>
        <w:spacing w:before="0" w:beforeAutospacing="0" w:after="0" w:afterAutospacing="0"/>
        <w:jc w:val="both"/>
      </w:pPr>
      <w:bookmarkStart w:id="127" w:name="_Hlk8112180"/>
      <w:r>
        <w:t>С</w:t>
      </w:r>
      <w:r w:rsidRPr="00C43A23">
        <w:t>ъздаде</w:t>
      </w:r>
      <w:r>
        <w:t>н</w:t>
      </w:r>
      <w:r w:rsidRPr="00C43A23">
        <w:t xml:space="preserve"> </w:t>
      </w:r>
      <w:r>
        <w:t xml:space="preserve">е </w:t>
      </w:r>
      <w:r w:rsidRPr="00C43A23">
        <w:t xml:space="preserve">3D </w:t>
      </w:r>
      <w:r>
        <w:t>тектонски</w:t>
      </w:r>
      <w:r w:rsidRPr="00C43A23">
        <w:t xml:space="preserve"> модел, </w:t>
      </w:r>
      <w:r>
        <w:t xml:space="preserve">в който са </w:t>
      </w:r>
      <w:r w:rsidRPr="002545BF">
        <w:t xml:space="preserve">детайлизирани и проследени </w:t>
      </w:r>
      <w:r>
        <w:t xml:space="preserve">в геоложкото пространство </w:t>
      </w:r>
      <w:r w:rsidRPr="002545BF">
        <w:t xml:space="preserve">основните тектонски </w:t>
      </w:r>
      <w:r>
        <w:t>нарушения</w:t>
      </w:r>
      <w:r w:rsidRPr="002545BF">
        <w:t>, тяхното взаимоотношение и обвързаност</w:t>
      </w:r>
      <w:r>
        <w:t>. Потвърди се продължение</w:t>
      </w:r>
      <w:r w:rsidR="00470A16">
        <w:t>то</w:t>
      </w:r>
      <w:r>
        <w:t xml:space="preserve"> на разломите с разседен и отседен характер от централната част на басейна и на българска територия, както и тяхната посока на разпространение и влиянието им при формиране на палеогенския скален комплекс</w:t>
      </w:r>
      <w:bookmarkEnd w:id="127"/>
      <w:r w:rsidRPr="002545BF">
        <w:t>;</w:t>
      </w:r>
    </w:p>
    <w:p w14:paraId="0267CA96" w14:textId="383AC594" w:rsidR="00E80887" w:rsidRPr="00C43A23" w:rsidRDefault="00E80887" w:rsidP="00E80887">
      <w:pPr>
        <w:pStyle w:val="NormalWeb"/>
        <w:numPr>
          <w:ilvl w:val="0"/>
          <w:numId w:val="8"/>
        </w:numPr>
        <w:spacing w:before="0" w:beforeAutospacing="0" w:after="0" w:afterAutospacing="0"/>
        <w:jc w:val="both"/>
      </w:pPr>
      <w:bookmarkStart w:id="128" w:name="_Hlk8112235"/>
      <w:r>
        <w:lastRenderedPageBreak/>
        <w:t>С</w:t>
      </w:r>
      <w:r w:rsidRPr="002545BF">
        <w:t>ъздаден</w:t>
      </w:r>
      <w:r>
        <w:t xml:space="preserve"> е</w:t>
      </w:r>
      <w:r w:rsidRPr="002545BF">
        <w:t xml:space="preserve"> 3D </w:t>
      </w:r>
      <w:r>
        <w:t>структурен/геоложки</w:t>
      </w:r>
      <w:r w:rsidRPr="002545BF">
        <w:t xml:space="preserve"> модел</w:t>
      </w:r>
      <w:r>
        <w:t>, в</w:t>
      </w:r>
      <w:r w:rsidRPr="002545BF">
        <w:t xml:space="preserve"> </w:t>
      </w:r>
      <w:r>
        <w:t>който са п</w:t>
      </w:r>
      <w:r w:rsidRPr="002545BF">
        <w:t xml:space="preserve">роследени </w:t>
      </w:r>
      <w:r>
        <w:t xml:space="preserve">основните </w:t>
      </w:r>
      <w:r w:rsidRPr="002545BF">
        <w:t>литолого-стратиграфски единици в района, техните вертикални и латерални пространствени и структурно-тектонски взаимоотношения</w:t>
      </w:r>
      <w:r>
        <w:t xml:space="preserve">. </w:t>
      </w:r>
      <w:r w:rsidR="00C93C19">
        <w:t xml:space="preserve">Допуска </w:t>
      </w:r>
      <w:r w:rsidRPr="00B24B35">
        <w:t>се</w:t>
      </w:r>
      <w:r>
        <w:t xml:space="preserve"> продължение и на българска територия на големи структурни елементи от турската част на басейна (издигания, понижения). </w:t>
      </w:r>
      <w:r w:rsidR="00C93C19">
        <w:t>Ясно се</w:t>
      </w:r>
      <w:r w:rsidRPr="00B24B35">
        <w:t xml:space="preserve"> </w:t>
      </w:r>
      <w:r>
        <w:t xml:space="preserve">проследява разпространението на новоидентифицирания седиментен комплекс в района на изследване. </w:t>
      </w:r>
      <w:r w:rsidRPr="00B24B35">
        <w:t>Този модел даде възможност</w:t>
      </w:r>
      <w:r>
        <w:t xml:space="preserve"> за набелязване в 3</w:t>
      </w:r>
      <w:r>
        <w:rPr>
          <w:lang w:val="en-US"/>
        </w:rPr>
        <w:t>D</w:t>
      </w:r>
      <w:r>
        <w:t xml:space="preserve"> пространството на перспективни в нефтогазоносно отношение обекти/геокапани</w:t>
      </w:r>
      <w:bookmarkEnd w:id="128"/>
      <w:r>
        <w:t xml:space="preserve">; </w:t>
      </w:r>
    </w:p>
    <w:p w14:paraId="62D38CD2" w14:textId="5BA541F2" w:rsidR="00E80887" w:rsidRPr="00C43A23" w:rsidRDefault="00E80887" w:rsidP="00E80887">
      <w:pPr>
        <w:pStyle w:val="NormalWeb"/>
        <w:numPr>
          <w:ilvl w:val="0"/>
          <w:numId w:val="8"/>
        </w:numPr>
        <w:spacing w:before="0" w:beforeAutospacing="0" w:after="0" w:afterAutospacing="0"/>
        <w:jc w:val="both"/>
      </w:pPr>
      <w:bookmarkStart w:id="129" w:name="_Hlk8112282"/>
      <w:r>
        <w:t xml:space="preserve">Отделени са </w:t>
      </w:r>
      <w:r w:rsidRPr="002545BF">
        <w:t xml:space="preserve">разномащабни природни резервоари </w:t>
      </w:r>
      <w:r>
        <w:t>след</w:t>
      </w:r>
      <w:r w:rsidRPr="002545BF">
        <w:t xml:space="preserve"> изясн</w:t>
      </w:r>
      <w:r>
        <w:t>яване на</w:t>
      </w:r>
      <w:r w:rsidRPr="002545BF">
        <w:t xml:space="preserve"> литолого-стратиграфски</w:t>
      </w:r>
      <w:r>
        <w:t>те</w:t>
      </w:r>
      <w:r w:rsidRPr="002545BF">
        <w:t xml:space="preserve"> особености </w:t>
      </w:r>
      <w:r>
        <w:t>и</w:t>
      </w:r>
      <w:r w:rsidRPr="002545BF">
        <w:t xml:space="preserve"> оцен</w:t>
      </w:r>
      <w:r>
        <w:t>ка на</w:t>
      </w:r>
      <w:r w:rsidRPr="002545BF">
        <w:t xml:space="preserve"> вместимостните и филтрационните параметри на скалите</w:t>
      </w:r>
      <w:r w:rsidR="00C93C19">
        <w:t>,</w:t>
      </w:r>
      <w:r>
        <w:t xml:space="preserve"> посредством анализ и качествена и количествена интерпретация на сондажно-геофизични и</w:t>
      </w:r>
      <w:r w:rsidRPr="00B24B35">
        <w:t xml:space="preserve"> </w:t>
      </w:r>
      <w:r>
        <w:t>лабораторни петрофизични данни</w:t>
      </w:r>
      <w:bookmarkEnd w:id="129"/>
      <w:r w:rsidRPr="002545BF">
        <w:t>;</w:t>
      </w:r>
      <w:r>
        <w:t xml:space="preserve"> </w:t>
      </w:r>
    </w:p>
    <w:p w14:paraId="68CE3433" w14:textId="77777777" w:rsidR="00E80887" w:rsidRDefault="00E80887" w:rsidP="00E80887">
      <w:pPr>
        <w:pStyle w:val="NormalWeb"/>
        <w:numPr>
          <w:ilvl w:val="0"/>
          <w:numId w:val="8"/>
        </w:numPr>
        <w:spacing w:before="0" w:beforeAutospacing="0" w:after="0" w:afterAutospacing="0"/>
        <w:jc w:val="both"/>
      </w:pPr>
      <w:bookmarkStart w:id="130" w:name="_Hlk8112315"/>
      <w:r>
        <w:t>За първи път е извършена оценка на</w:t>
      </w:r>
      <w:r w:rsidRPr="00C43A23">
        <w:t xml:space="preserve"> нефтогазогенериращия потенциал на скалите</w:t>
      </w:r>
      <w:r>
        <w:t xml:space="preserve"> в най-югоизточната част на района на изследване</w:t>
      </w:r>
      <w:r w:rsidRPr="00C43A23">
        <w:t xml:space="preserve">, чрез използване на съвременни геохимични методи. </w:t>
      </w:r>
      <w:r w:rsidRPr="007A32C8">
        <w:t xml:space="preserve">Въз основа </w:t>
      </w:r>
      <w:r>
        <w:t xml:space="preserve">на това </w:t>
      </w:r>
      <w:r w:rsidRPr="007A32C8">
        <w:t>са отделени като възможно генериращи скали</w:t>
      </w:r>
      <w:r>
        <w:t>, наслагите</w:t>
      </w:r>
      <w:r w:rsidRPr="007A32C8">
        <w:t xml:space="preserve"> на глинесто-мергелната задруга. </w:t>
      </w:r>
      <w:r>
        <w:t>Тя</w:t>
      </w:r>
      <w:r w:rsidRPr="007A32C8">
        <w:t xml:space="preserve"> е дефинирана като аналог на </w:t>
      </w:r>
      <w:r>
        <w:t xml:space="preserve">доказаната генерираща </w:t>
      </w:r>
      <w:r w:rsidRPr="007A32C8">
        <w:t>формация Mezardere в Турция</w:t>
      </w:r>
      <w:bookmarkEnd w:id="130"/>
      <w:r w:rsidRPr="007A32C8">
        <w:t>;</w:t>
      </w:r>
    </w:p>
    <w:p w14:paraId="49B56630" w14:textId="6DDFC684" w:rsidR="00E80887" w:rsidRDefault="00E80887" w:rsidP="00E80887">
      <w:pPr>
        <w:pStyle w:val="NormalWeb"/>
        <w:numPr>
          <w:ilvl w:val="0"/>
          <w:numId w:val="8"/>
        </w:numPr>
        <w:spacing w:before="0" w:beforeAutospacing="0" w:after="0" w:afterAutospacing="0"/>
        <w:jc w:val="both"/>
      </w:pPr>
      <w:bookmarkStart w:id="131" w:name="_Hlk8112360"/>
      <w:r>
        <w:t>И</w:t>
      </w:r>
      <w:r w:rsidRPr="00C43A23">
        <w:t xml:space="preserve">звършена </w:t>
      </w:r>
      <w:r>
        <w:t xml:space="preserve">е </w:t>
      </w:r>
      <w:r w:rsidRPr="00C43A23">
        <w:t>реконструкция на историята на потъване и геотермичната история на изследваната част от седиментния басейн</w:t>
      </w:r>
      <w:r w:rsidR="00C93C19">
        <w:t>,</w:t>
      </w:r>
      <w:r>
        <w:t xml:space="preserve"> чрез комплексно използване на геоложките, геофизичните и геохимичните данни при</w:t>
      </w:r>
      <w:r w:rsidRPr="00C43A23">
        <w:t xml:space="preserve"> 1D петролно-системно моделиране</w:t>
      </w:r>
      <w:r w:rsidRPr="001B6D1F">
        <w:rPr>
          <w:lang w:val="en-US"/>
        </w:rPr>
        <w:t>.</w:t>
      </w:r>
      <w:r>
        <w:t xml:space="preserve"> В няколко участъка от изследвания район са установени периодите на максимално потъване</w:t>
      </w:r>
      <w:r w:rsidRPr="003D4069">
        <w:t xml:space="preserve"> </w:t>
      </w:r>
      <w:r>
        <w:t>на басейна и периодите на издигане, ерозия и тектонска активност</w:t>
      </w:r>
      <w:bookmarkEnd w:id="131"/>
      <w:r>
        <w:t>;</w:t>
      </w:r>
    </w:p>
    <w:p w14:paraId="4F1E1B39" w14:textId="3AF36984" w:rsidR="00E80887" w:rsidRDefault="00E80887" w:rsidP="00E80887">
      <w:pPr>
        <w:pStyle w:val="NormalWeb"/>
        <w:numPr>
          <w:ilvl w:val="0"/>
          <w:numId w:val="8"/>
        </w:numPr>
        <w:spacing w:before="0" w:beforeAutospacing="0" w:after="0" w:afterAutospacing="0"/>
        <w:jc w:val="both"/>
      </w:pPr>
      <w:bookmarkStart w:id="132" w:name="_Hlk8112376"/>
      <w:r w:rsidRPr="002545BF">
        <w:t>Извършено</w:t>
      </w:r>
      <w:r>
        <w:t xml:space="preserve"> е</w:t>
      </w:r>
      <w:r w:rsidRPr="002545BF">
        <w:t xml:space="preserve"> 1D петролно-системно моделиране на термичната зрялост на потенциалните генериращи наслаги</w:t>
      </w:r>
      <w:r w:rsidRPr="003D4069">
        <w:t xml:space="preserve"> </w:t>
      </w:r>
      <w:r>
        <w:t xml:space="preserve">от терциерния разрез в няколко участъка от изследвания район. </w:t>
      </w:r>
      <w:r w:rsidRPr="00B24B35">
        <w:t>Това показва,</w:t>
      </w:r>
      <w:r>
        <w:t xml:space="preserve"> че различните потенциално-генериращи терциерни седименти са в различни стадии на преобразуваност на органичното вещество в тях за продуциране на биогенен/термокаталитичен газ или нефт</w:t>
      </w:r>
      <w:r w:rsidR="00AC3022">
        <w:t>;</w:t>
      </w:r>
    </w:p>
    <w:p w14:paraId="5107471A" w14:textId="77777777" w:rsidR="00E80887" w:rsidRDefault="00E80887" w:rsidP="00E80887">
      <w:pPr>
        <w:pStyle w:val="NormalWeb"/>
        <w:numPr>
          <w:ilvl w:val="0"/>
          <w:numId w:val="8"/>
        </w:numPr>
        <w:spacing w:before="0" w:beforeAutospacing="0" w:after="0" w:afterAutospacing="0"/>
        <w:jc w:val="both"/>
      </w:pPr>
      <w:bookmarkStart w:id="133" w:name="_Hlk8112426"/>
      <w:bookmarkEnd w:id="132"/>
      <w:r>
        <w:t>В</w:t>
      </w:r>
      <w:r w:rsidRPr="00C43A23">
        <w:t xml:space="preserve"> </w:t>
      </w:r>
      <w:r>
        <w:t>ЮИ част на Горнотракийската низина</w:t>
      </w:r>
      <w:r w:rsidRPr="00C43A23">
        <w:t xml:space="preserve"> е </w:t>
      </w:r>
      <w:r>
        <w:t xml:space="preserve">актуализирана и обобщена </w:t>
      </w:r>
      <w:r w:rsidRPr="00C43A23">
        <w:t>оценка</w:t>
      </w:r>
      <w:r>
        <w:t>та</w:t>
      </w:r>
      <w:r w:rsidRPr="00C43A23">
        <w:t xml:space="preserve"> на въглеводородния потенциал на терциерните наслаги</w:t>
      </w:r>
      <w:r>
        <w:t xml:space="preserve">, чрез използване на съвременни методи на изследване и анализ. Това е предпоставка за </w:t>
      </w:r>
      <w:r w:rsidRPr="001E2A7A">
        <w:t xml:space="preserve">преразглеждане и преоценяване на търсенето и проучването </w:t>
      </w:r>
      <w:r>
        <w:t>з</w:t>
      </w:r>
      <w:r w:rsidRPr="001E2A7A">
        <w:t xml:space="preserve">а нефт и </w:t>
      </w:r>
      <w:r>
        <w:t xml:space="preserve">природен </w:t>
      </w:r>
      <w:r w:rsidRPr="001E2A7A">
        <w:t>газ</w:t>
      </w:r>
      <w:r>
        <w:t xml:space="preserve"> </w:t>
      </w:r>
      <w:r w:rsidRPr="001E2A7A">
        <w:t xml:space="preserve">в </w:t>
      </w:r>
      <w:r>
        <w:t>тази част на</w:t>
      </w:r>
      <w:r w:rsidRPr="001E2A7A">
        <w:t xml:space="preserve"> България</w:t>
      </w:r>
      <w:bookmarkEnd w:id="133"/>
      <w:r>
        <w:t xml:space="preserve">. </w:t>
      </w:r>
      <w:bookmarkStart w:id="134" w:name="_Hlk7772653"/>
    </w:p>
    <w:bookmarkEnd w:id="134"/>
    <w:p w14:paraId="75C8291B" w14:textId="679702F1" w:rsidR="00A84AF0" w:rsidRPr="00A1696A" w:rsidRDefault="00A84AF0" w:rsidP="00E80887">
      <w:pPr>
        <w:pStyle w:val="Style1"/>
        <w:ind w:left="0" w:firstLine="709"/>
        <w:jc w:val="both"/>
        <w:rPr>
          <w:rFonts w:eastAsia="Calibri"/>
        </w:rPr>
      </w:pPr>
    </w:p>
    <w:sectPr w:rsidR="00A84AF0" w:rsidRPr="00A1696A" w:rsidSect="00C62415">
      <w:footerReference w:type="default" r:id="rId53"/>
      <w:pgSz w:w="11907" w:h="16840" w:code="9"/>
      <w:pgMar w:top="1134" w:right="1021" w:bottom="1134" w:left="1418" w:header="709" w:footer="709"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9E2CBD" w14:textId="77777777" w:rsidR="00690422" w:rsidRDefault="00690422" w:rsidP="00D36CE0">
      <w:pPr>
        <w:spacing w:after="0" w:line="240" w:lineRule="auto"/>
      </w:pPr>
      <w:r>
        <w:separator/>
      </w:r>
    </w:p>
  </w:endnote>
  <w:endnote w:type="continuationSeparator" w:id="0">
    <w:p w14:paraId="54E46A3E" w14:textId="77777777" w:rsidR="00690422" w:rsidRDefault="00690422" w:rsidP="00D36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altName w:val="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 New Roman PL">
    <w:altName w:val="Times New Roman"/>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8013317"/>
      <w:docPartObj>
        <w:docPartGallery w:val="Page Numbers (Bottom of Page)"/>
        <w:docPartUnique/>
      </w:docPartObj>
    </w:sdtPr>
    <w:sdtEndPr/>
    <w:sdtContent>
      <w:p w14:paraId="416DC2E3" w14:textId="12DCB825" w:rsidR="009F37D9" w:rsidRDefault="009F37D9">
        <w:pPr>
          <w:pStyle w:val="Footer"/>
          <w:jc w:val="right"/>
        </w:pPr>
        <w:r w:rsidRPr="008E2120">
          <w:rPr>
            <w:rFonts w:ascii="Times New Roman" w:hAnsi="Times New Roman" w:cs="Times New Roman"/>
          </w:rPr>
          <w:fldChar w:fldCharType="begin"/>
        </w:r>
        <w:r w:rsidRPr="008E2120">
          <w:rPr>
            <w:rFonts w:ascii="Times New Roman" w:hAnsi="Times New Roman" w:cs="Times New Roman"/>
          </w:rPr>
          <w:instrText>PAGE   \* MERGEFORMAT</w:instrText>
        </w:r>
        <w:r w:rsidRPr="008E2120">
          <w:rPr>
            <w:rFonts w:ascii="Times New Roman" w:hAnsi="Times New Roman" w:cs="Times New Roman"/>
          </w:rPr>
          <w:fldChar w:fldCharType="separate"/>
        </w:r>
        <w:r w:rsidR="00DE47EB">
          <w:rPr>
            <w:rFonts w:ascii="Times New Roman" w:hAnsi="Times New Roman" w:cs="Times New Roman"/>
            <w:noProof/>
          </w:rPr>
          <w:t>3</w:t>
        </w:r>
        <w:r w:rsidRPr="008E2120">
          <w:rPr>
            <w:rFonts w:ascii="Times New Roman" w:hAnsi="Times New Roman" w:cs="Times New Roman"/>
          </w:rPr>
          <w:fldChar w:fldCharType="end"/>
        </w:r>
      </w:p>
    </w:sdtContent>
  </w:sdt>
  <w:p w14:paraId="0237FE02" w14:textId="77777777" w:rsidR="009F37D9" w:rsidRDefault="009F37D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4719976"/>
      <w:docPartObj>
        <w:docPartGallery w:val="Page Numbers (Bottom of Page)"/>
        <w:docPartUnique/>
      </w:docPartObj>
    </w:sdtPr>
    <w:sdtEndPr/>
    <w:sdtContent>
      <w:p w14:paraId="2F556C16" w14:textId="24A0B6B1" w:rsidR="009F37D9" w:rsidRDefault="009F37D9">
        <w:pPr>
          <w:pStyle w:val="Footer"/>
          <w:jc w:val="right"/>
        </w:pPr>
        <w:r w:rsidRPr="002D3360">
          <w:rPr>
            <w:rFonts w:ascii="Times New Roman" w:hAnsi="Times New Roman" w:cs="Times New Roman"/>
          </w:rPr>
          <w:fldChar w:fldCharType="begin"/>
        </w:r>
        <w:r w:rsidRPr="002D3360">
          <w:rPr>
            <w:rFonts w:ascii="Times New Roman" w:hAnsi="Times New Roman" w:cs="Times New Roman"/>
          </w:rPr>
          <w:instrText>PAGE   \* MERGEFORMAT</w:instrText>
        </w:r>
        <w:r w:rsidRPr="002D3360">
          <w:rPr>
            <w:rFonts w:ascii="Times New Roman" w:hAnsi="Times New Roman" w:cs="Times New Roman"/>
          </w:rPr>
          <w:fldChar w:fldCharType="separate"/>
        </w:r>
        <w:r w:rsidR="00DE47EB">
          <w:rPr>
            <w:rFonts w:ascii="Times New Roman" w:hAnsi="Times New Roman" w:cs="Times New Roman"/>
            <w:noProof/>
          </w:rPr>
          <w:t>44</w:t>
        </w:r>
        <w:r w:rsidRPr="002D3360">
          <w:rPr>
            <w:rFonts w:ascii="Times New Roman" w:hAnsi="Times New Roman" w:cs="Times New Roman"/>
          </w:rPr>
          <w:fldChar w:fldCharType="end"/>
        </w:r>
      </w:p>
    </w:sdtContent>
  </w:sdt>
  <w:p w14:paraId="72449E74" w14:textId="77777777" w:rsidR="009F37D9" w:rsidRDefault="009F37D9" w:rsidP="009B7879">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013545"/>
      <w:docPartObj>
        <w:docPartGallery w:val="Page Numbers (Bottom of Page)"/>
        <w:docPartUnique/>
      </w:docPartObj>
    </w:sdtPr>
    <w:sdtEndPr>
      <w:rPr>
        <w:rFonts w:ascii="Times New Roman" w:hAnsi="Times New Roman" w:cs="Times New Roman"/>
      </w:rPr>
    </w:sdtEndPr>
    <w:sdtContent>
      <w:p w14:paraId="55C7AA54" w14:textId="77777777" w:rsidR="009F37D9" w:rsidRPr="00644170" w:rsidRDefault="009F37D9">
        <w:pPr>
          <w:pStyle w:val="Footer"/>
          <w:jc w:val="right"/>
          <w:rPr>
            <w:rFonts w:ascii="Times New Roman" w:hAnsi="Times New Roman" w:cs="Times New Roman"/>
          </w:rPr>
        </w:pPr>
        <w:r w:rsidRPr="00644170">
          <w:rPr>
            <w:rFonts w:ascii="Times New Roman" w:hAnsi="Times New Roman" w:cs="Times New Roman"/>
            <w:noProof/>
          </w:rPr>
          <w:fldChar w:fldCharType="begin"/>
        </w:r>
        <w:r w:rsidRPr="00644170">
          <w:rPr>
            <w:rFonts w:ascii="Times New Roman" w:hAnsi="Times New Roman" w:cs="Times New Roman"/>
            <w:noProof/>
          </w:rPr>
          <w:instrText xml:space="preserve"> PAGE   \* MERGEFORMAT </w:instrText>
        </w:r>
        <w:r w:rsidRPr="00644170">
          <w:rPr>
            <w:rFonts w:ascii="Times New Roman" w:hAnsi="Times New Roman" w:cs="Times New Roman"/>
            <w:noProof/>
          </w:rPr>
          <w:fldChar w:fldCharType="separate"/>
        </w:r>
        <w:r w:rsidR="00DE47EB">
          <w:rPr>
            <w:rFonts w:ascii="Times New Roman" w:hAnsi="Times New Roman" w:cs="Times New Roman"/>
            <w:noProof/>
          </w:rPr>
          <w:t>22</w:t>
        </w:r>
        <w:r w:rsidRPr="00644170">
          <w:rPr>
            <w:rFonts w:ascii="Times New Roman" w:hAnsi="Times New Roman" w:cs="Times New Roman"/>
            <w:noProof/>
          </w:rPr>
          <w:fldChar w:fldCharType="end"/>
        </w:r>
      </w:p>
    </w:sdtContent>
  </w:sdt>
  <w:p w14:paraId="67DE3B15" w14:textId="77777777" w:rsidR="009F37D9" w:rsidRDefault="009F37D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5673157"/>
      <w:docPartObj>
        <w:docPartGallery w:val="Page Numbers (Bottom of Page)"/>
        <w:docPartUnique/>
      </w:docPartObj>
    </w:sdtPr>
    <w:sdtEndPr>
      <w:rPr>
        <w:rFonts w:ascii="Times New Roman" w:hAnsi="Times New Roman" w:cs="Times New Roman"/>
      </w:rPr>
    </w:sdtEndPr>
    <w:sdtContent>
      <w:p w14:paraId="40A5A593" w14:textId="77777777" w:rsidR="009F37D9" w:rsidRPr="00F23B97" w:rsidRDefault="009F37D9">
        <w:pPr>
          <w:pStyle w:val="Footer"/>
          <w:jc w:val="right"/>
          <w:rPr>
            <w:rFonts w:ascii="Times New Roman" w:hAnsi="Times New Roman" w:cs="Times New Roman"/>
          </w:rPr>
        </w:pPr>
        <w:r w:rsidRPr="00F23B97">
          <w:rPr>
            <w:rFonts w:ascii="Times New Roman" w:hAnsi="Times New Roman" w:cs="Times New Roman"/>
          </w:rPr>
          <w:fldChar w:fldCharType="begin"/>
        </w:r>
        <w:r w:rsidRPr="00F23B97">
          <w:rPr>
            <w:rFonts w:ascii="Times New Roman" w:hAnsi="Times New Roman" w:cs="Times New Roman"/>
          </w:rPr>
          <w:instrText xml:space="preserve"> PAGE   \* MERGEFORMAT </w:instrText>
        </w:r>
        <w:r w:rsidRPr="00F23B97">
          <w:rPr>
            <w:rFonts w:ascii="Times New Roman" w:hAnsi="Times New Roman" w:cs="Times New Roman"/>
          </w:rPr>
          <w:fldChar w:fldCharType="separate"/>
        </w:r>
        <w:r w:rsidR="00DE47EB">
          <w:rPr>
            <w:rFonts w:ascii="Times New Roman" w:hAnsi="Times New Roman" w:cs="Times New Roman"/>
            <w:noProof/>
          </w:rPr>
          <w:t>42</w:t>
        </w:r>
        <w:r w:rsidRPr="00F23B97">
          <w:rPr>
            <w:rFonts w:ascii="Times New Roman" w:hAnsi="Times New Roman" w:cs="Times New Roman"/>
            <w:noProof/>
          </w:rPr>
          <w:fldChar w:fldCharType="end"/>
        </w:r>
      </w:p>
    </w:sdtContent>
  </w:sdt>
  <w:p w14:paraId="2DCDD7DD" w14:textId="77777777" w:rsidR="009F37D9" w:rsidRDefault="009F37D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8838186"/>
      <w:docPartObj>
        <w:docPartGallery w:val="Page Numbers (Bottom of Page)"/>
        <w:docPartUnique/>
      </w:docPartObj>
    </w:sdtPr>
    <w:sdtEndPr>
      <w:rPr>
        <w:rFonts w:ascii="Times New Roman" w:hAnsi="Times New Roman" w:cs="Times New Roman"/>
      </w:rPr>
    </w:sdtEndPr>
    <w:sdtContent>
      <w:p w14:paraId="213BBDB2" w14:textId="77777777" w:rsidR="009F37D9" w:rsidRPr="00F23B97" w:rsidRDefault="009F37D9">
        <w:pPr>
          <w:pStyle w:val="Footer"/>
          <w:jc w:val="right"/>
          <w:rPr>
            <w:rFonts w:ascii="Times New Roman" w:hAnsi="Times New Roman" w:cs="Times New Roman"/>
          </w:rPr>
        </w:pPr>
        <w:r w:rsidRPr="00F23B97">
          <w:rPr>
            <w:rFonts w:ascii="Times New Roman" w:hAnsi="Times New Roman" w:cs="Times New Roman"/>
            <w:noProof/>
          </w:rPr>
          <w:fldChar w:fldCharType="begin"/>
        </w:r>
        <w:r w:rsidRPr="00F23B97">
          <w:rPr>
            <w:rFonts w:ascii="Times New Roman" w:hAnsi="Times New Roman" w:cs="Times New Roman"/>
            <w:noProof/>
          </w:rPr>
          <w:instrText xml:space="preserve"> PAGE   \* MERGEFORMAT </w:instrText>
        </w:r>
        <w:r w:rsidRPr="00F23B97">
          <w:rPr>
            <w:rFonts w:ascii="Times New Roman" w:hAnsi="Times New Roman" w:cs="Times New Roman"/>
            <w:noProof/>
          </w:rPr>
          <w:fldChar w:fldCharType="separate"/>
        </w:r>
        <w:r w:rsidR="00DE47EB">
          <w:rPr>
            <w:rFonts w:ascii="Times New Roman" w:hAnsi="Times New Roman" w:cs="Times New Roman"/>
            <w:noProof/>
          </w:rPr>
          <w:t>49</w:t>
        </w:r>
        <w:r w:rsidRPr="00F23B97">
          <w:rPr>
            <w:rFonts w:ascii="Times New Roman" w:hAnsi="Times New Roman" w:cs="Times New Roman"/>
            <w:noProof/>
          </w:rPr>
          <w:fldChar w:fldCharType="end"/>
        </w:r>
      </w:p>
    </w:sdtContent>
  </w:sdt>
  <w:p w14:paraId="0BE92697" w14:textId="77777777" w:rsidR="009F37D9" w:rsidRDefault="009F37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D5DD8A" w14:textId="77777777" w:rsidR="00690422" w:rsidRDefault="00690422" w:rsidP="00D36CE0">
      <w:pPr>
        <w:spacing w:after="0" w:line="240" w:lineRule="auto"/>
      </w:pPr>
      <w:r>
        <w:separator/>
      </w:r>
    </w:p>
  </w:footnote>
  <w:footnote w:type="continuationSeparator" w:id="0">
    <w:p w14:paraId="449D2532" w14:textId="77777777" w:rsidR="00690422" w:rsidRDefault="00690422" w:rsidP="00D36C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536B7A"/>
    <w:multiLevelType w:val="hybridMultilevel"/>
    <w:tmpl w:val="E7F682B8"/>
    <w:lvl w:ilvl="0" w:tplc="0402000D">
      <w:start w:val="1"/>
      <w:numFmt w:val="bullet"/>
      <w:lvlText w:val=""/>
      <w:lvlJc w:val="left"/>
      <w:pPr>
        <w:ind w:left="1068" w:hanging="360"/>
      </w:pPr>
      <w:rPr>
        <w:rFonts w:ascii="Wingdings" w:hAnsi="Wingdings"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1" w15:restartNumberingAfterBreak="0">
    <w:nsid w:val="0FEE4E9E"/>
    <w:multiLevelType w:val="multilevel"/>
    <w:tmpl w:val="A262F34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 w15:restartNumberingAfterBreak="0">
    <w:nsid w:val="13E33134"/>
    <w:multiLevelType w:val="hybridMultilevel"/>
    <w:tmpl w:val="D5CECA3E"/>
    <w:lvl w:ilvl="0" w:tplc="04020011">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 w15:restartNumberingAfterBreak="0">
    <w:nsid w:val="26496620"/>
    <w:multiLevelType w:val="hybridMultilevel"/>
    <w:tmpl w:val="33D60BA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 w15:restartNumberingAfterBreak="0">
    <w:nsid w:val="2CD64639"/>
    <w:multiLevelType w:val="hybridMultilevel"/>
    <w:tmpl w:val="5D1C4EB2"/>
    <w:lvl w:ilvl="0" w:tplc="0402000B">
      <w:start w:val="1"/>
      <w:numFmt w:val="bullet"/>
      <w:lvlText w:val=""/>
      <w:lvlJc w:val="left"/>
      <w:pPr>
        <w:ind w:left="1068" w:hanging="360"/>
      </w:pPr>
      <w:rPr>
        <w:rFonts w:ascii="Wingdings" w:hAnsi="Wingdings"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5" w15:restartNumberingAfterBreak="0">
    <w:nsid w:val="32440FA1"/>
    <w:multiLevelType w:val="hybridMultilevel"/>
    <w:tmpl w:val="214A7D8E"/>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360F097F"/>
    <w:multiLevelType w:val="hybridMultilevel"/>
    <w:tmpl w:val="4B2E96A0"/>
    <w:lvl w:ilvl="0" w:tplc="47B42E94">
      <w:start w:val="1"/>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7" w15:restartNumberingAfterBreak="0">
    <w:nsid w:val="37FA2D26"/>
    <w:multiLevelType w:val="hybridMultilevel"/>
    <w:tmpl w:val="9E48B6B0"/>
    <w:lvl w:ilvl="0" w:tplc="0392685A">
      <w:numFmt w:val="bullet"/>
      <w:lvlText w:val="-"/>
      <w:lvlJc w:val="left"/>
      <w:pPr>
        <w:ind w:left="1210" w:hanging="360"/>
      </w:pPr>
      <w:rPr>
        <w:rFonts w:ascii="Arial Narrow" w:eastAsia="Times New Roman" w:hAnsi="Arial Narrow" w:cs="Times New Roman" w:hint="default"/>
      </w:rPr>
    </w:lvl>
    <w:lvl w:ilvl="1" w:tplc="04020003" w:tentative="1">
      <w:start w:val="1"/>
      <w:numFmt w:val="bullet"/>
      <w:lvlText w:val="o"/>
      <w:lvlJc w:val="left"/>
      <w:pPr>
        <w:ind w:left="1930" w:hanging="360"/>
      </w:pPr>
      <w:rPr>
        <w:rFonts w:ascii="Courier New" w:hAnsi="Courier New" w:cs="Courier New" w:hint="default"/>
      </w:rPr>
    </w:lvl>
    <w:lvl w:ilvl="2" w:tplc="04020005" w:tentative="1">
      <w:start w:val="1"/>
      <w:numFmt w:val="bullet"/>
      <w:lvlText w:val=""/>
      <w:lvlJc w:val="left"/>
      <w:pPr>
        <w:ind w:left="2650" w:hanging="360"/>
      </w:pPr>
      <w:rPr>
        <w:rFonts w:ascii="Wingdings" w:hAnsi="Wingdings" w:hint="default"/>
      </w:rPr>
    </w:lvl>
    <w:lvl w:ilvl="3" w:tplc="04020001" w:tentative="1">
      <w:start w:val="1"/>
      <w:numFmt w:val="bullet"/>
      <w:lvlText w:val=""/>
      <w:lvlJc w:val="left"/>
      <w:pPr>
        <w:ind w:left="3370" w:hanging="360"/>
      </w:pPr>
      <w:rPr>
        <w:rFonts w:ascii="Symbol" w:hAnsi="Symbol" w:hint="default"/>
      </w:rPr>
    </w:lvl>
    <w:lvl w:ilvl="4" w:tplc="04020003" w:tentative="1">
      <w:start w:val="1"/>
      <w:numFmt w:val="bullet"/>
      <w:lvlText w:val="o"/>
      <w:lvlJc w:val="left"/>
      <w:pPr>
        <w:ind w:left="4090" w:hanging="360"/>
      </w:pPr>
      <w:rPr>
        <w:rFonts w:ascii="Courier New" w:hAnsi="Courier New" w:cs="Courier New" w:hint="default"/>
      </w:rPr>
    </w:lvl>
    <w:lvl w:ilvl="5" w:tplc="04020005" w:tentative="1">
      <w:start w:val="1"/>
      <w:numFmt w:val="bullet"/>
      <w:lvlText w:val=""/>
      <w:lvlJc w:val="left"/>
      <w:pPr>
        <w:ind w:left="4810" w:hanging="360"/>
      </w:pPr>
      <w:rPr>
        <w:rFonts w:ascii="Wingdings" w:hAnsi="Wingdings" w:hint="default"/>
      </w:rPr>
    </w:lvl>
    <w:lvl w:ilvl="6" w:tplc="04020001" w:tentative="1">
      <w:start w:val="1"/>
      <w:numFmt w:val="bullet"/>
      <w:lvlText w:val=""/>
      <w:lvlJc w:val="left"/>
      <w:pPr>
        <w:ind w:left="5530" w:hanging="360"/>
      </w:pPr>
      <w:rPr>
        <w:rFonts w:ascii="Symbol" w:hAnsi="Symbol" w:hint="default"/>
      </w:rPr>
    </w:lvl>
    <w:lvl w:ilvl="7" w:tplc="04020003" w:tentative="1">
      <w:start w:val="1"/>
      <w:numFmt w:val="bullet"/>
      <w:lvlText w:val="o"/>
      <w:lvlJc w:val="left"/>
      <w:pPr>
        <w:ind w:left="6250" w:hanging="360"/>
      </w:pPr>
      <w:rPr>
        <w:rFonts w:ascii="Courier New" w:hAnsi="Courier New" w:cs="Courier New" w:hint="default"/>
      </w:rPr>
    </w:lvl>
    <w:lvl w:ilvl="8" w:tplc="04020005" w:tentative="1">
      <w:start w:val="1"/>
      <w:numFmt w:val="bullet"/>
      <w:lvlText w:val=""/>
      <w:lvlJc w:val="left"/>
      <w:pPr>
        <w:ind w:left="6970" w:hanging="360"/>
      </w:pPr>
      <w:rPr>
        <w:rFonts w:ascii="Wingdings" w:hAnsi="Wingdings" w:hint="default"/>
      </w:rPr>
    </w:lvl>
  </w:abstractNum>
  <w:abstractNum w:abstractNumId="8" w15:restartNumberingAfterBreak="0">
    <w:nsid w:val="4A322F96"/>
    <w:multiLevelType w:val="hybridMultilevel"/>
    <w:tmpl w:val="A12ED2A4"/>
    <w:lvl w:ilvl="0" w:tplc="04020001">
      <w:start w:val="1"/>
      <w:numFmt w:val="bullet"/>
      <w:lvlText w:val=""/>
      <w:lvlJc w:val="left"/>
      <w:pPr>
        <w:ind w:left="501" w:hanging="360"/>
      </w:pPr>
      <w:rPr>
        <w:rFonts w:ascii="Symbol" w:hAnsi="Symbol" w:hint="default"/>
      </w:rPr>
    </w:lvl>
    <w:lvl w:ilvl="1" w:tplc="04020003" w:tentative="1">
      <w:start w:val="1"/>
      <w:numFmt w:val="bullet"/>
      <w:lvlText w:val="o"/>
      <w:lvlJc w:val="left"/>
      <w:pPr>
        <w:ind w:left="1221" w:hanging="360"/>
      </w:pPr>
      <w:rPr>
        <w:rFonts w:ascii="Courier New" w:hAnsi="Courier New" w:cs="Courier New" w:hint="default"/>
      </w:rPr>
    </w:lvl>
    <w:lvl w:ilvl="2" w:tplc="04020005" w:tentative="1">
      <w:start w:val="1"/>
      <w:numFmt w:val="bullet"/>
      <w:lvlText w:val=""/>
      <w:lvlJc w:val="left"/>
      <w:pPr>
        <w:ind w:left="1941" w:hanging="360"/>
      </w:pPr>
      <w:rPr>
        <w:rFonts w:ascii="Wingdings" w:hAnsi="Wingdings" w:hint="default"/>
      </w:rPr>
    </w:lvl>
    <w:lvl w:ilvl="3" w:tplc="04020001" w:tentative="1">
      <w:start w:val="1"/>
      <w:numFmt w:val="bullet"/>
      <w:lvlText w:val=""/>
      <w:lvlJc w:val="left"/>
      <w:pPr>
        <w:ind w:left="2661" w:hanging="360"/>
      </w:pPr>
      <w:rPr>
        <w:rFonts w:ascii="Symbol" w:hAnsi="Symbol" w:hint="default"/>
      </w:rPr>
    </w:lvl>
    <w:lvl w:ilvl="4" w:tplc="04020003" w:tentative="1">
      <w:start w:val="1"/>
      <w:numFmt w:val="bullet"/>
      <w:lvlText w:val="o"/>
      <w:lvlJc w:val="left"/>
      <w:pPr>
        <w:ind w:left="3381" w:hanging="360"/>
      </w:pPr>
      <w:rPr>
        <w:rFonts w:ascii="Courier New" w:hAnsi="Courier New" w:cs="Courier New" w:hint="default"/>
      </w:rPr>
    </w:lvl>
    <w:lvl w:ilvl="5" w:tplc="04020005" w:tentative="1">
      <w:start w:val="1"/>
      <w:numFmt w:val="bullet"/>
      <w:lvlText w:val=""/>
      <w:lvlJc w:val="left"/>
      <w:pPr>
        <w:ind w:left="4101" w:hanging="360"/>
      </w:pPr>
      <w:rPr>
        <w:rFonts w:ascii="Wingdings" w:hAnsi="Wingdings" w:hint="default"/>
      </w:rPr>
    </w:lvl>
    <w:lvl w:ilvl="6" w:tplc="04020001" w:tentative="1">
      <w:start w:val="1"/>
      <w:numFmt w:val="bullet"/>
      <w:lvlText w:val=""/>
      <w:lvlJc w:val="left"/>
      <w:pPr>
        <w:ind w:left="4821" w:hanging="360"/>
      </w:pPr>
      <w:rPr>
        <w:rFonts w:ascii="Symbol" w:hAnsi="Symbol" w:hint="default"/>
      </w:rPr>
    </w:lvl>
    <w:lvl w:ilvl="7" w:tplc="04020003" w:tentative="1">
      <w:start w:val="1"/>
      <w:numFmt w:val="bullet"/>
      <w:lvlText w:val="o"/>
      <w:lvlJc w:val="left"/>
      <w:pPr>
        <w:ind w:left="5541" w:hanging="360"/>
      </w:pPr>
      <w:rPr>
        <w:rFonts w:ascii="Courier New" w:hAnsi="Courier New" w:cs="Courier New" w:hint="default"/>
      </w:rPr>
    </w:lvl>
    <w:lvl w:ilvl="8" w:tplc="04020005" w:tentative="1">
      <w:start w:val="1"/>
      <w:numFmt w:val="bullet"/>
      <w:lvlText w:val=""/>
      <w:lvlJc w:val="left"/>
      <w:pPr>
        <w:ind w:left="6261" w:hanging="360"/>
      </w:pPr>
      <w:rPr>
        <w:rFonts w:ascii="Wingdings" w:hAnsi="Wingdings" w:hint="default"/>
      </w:rPr>
    </w:lvl>
  </w:abstractNum>
  <w:abstractNum w:abstractNumId="9" w15:restartNumberingAfterBreak="0">
    <w:nsid w:val="56442685"/>
    <w:multiLevelType w:val="hybridMultilevel"/>
    <w:tmpl w:val="E8D6F596"/>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570826A2"/>
    <w:multiLevelType w:val="hybridMultilevel"/>
    <w:tmpl w:val="06BA597E"/>
    <w:lvl w:ilvl="0" w:tplc="0402000B">
      <w:start w:val="1"/>
      <w:numFmt w:val="bullet"/>
      <w:lvlText w:val=""/>
      <w:lvlJc w:val="left"/>
      <w:pPr>
        <w:ind w:left="1428" w:hanging="360"/>
      </w:pPr>
      <w:rPr>
        <w:rFonts w:ascii="Wingdings" w:hAnsi="Wingdings" w:hint="default"/>
      </w:rPr>
    </w:lvl>
    <w:lvl w:ilvl="1" w:tplc="04020003" w:tentative="1">
      <w:start w:val="1"/>
      <w:numFmt w:val="bullet"/>
      <w:lvlText w:val="o"/>
      <w:lvlJc w:val="left"/>
      <w:pPr>
        <w:ind w:left="2148" w:hanging="360"/>
      </w:pPr>
      <w:rPr>
        <w:rFonts w:ascii="Courier New" w:hAnsi="Courier New" w:cs="Courier New" w:hint="default"/>
      </w:rPr>
    </w:lvl>
    <w:lvl w:ilvl="2" w:tplc="04020005" w:tentative="1">
      <w:start w:val="1"/>
      <w:numFmt w:val="bullet"/>
      <w:lvlText w:val=""/>
      <w:lvlJc w:val="left"/>
      <w:pPr>
        <w:ind w:left="2868" w:hanging="360"/>
      </w:pPr>
      <w:rPr>
        <w:rFonts w:ascii="Wingdings" w:hAnsi="Wingdings" w:hint="default"/>
      </w:rPr>
    </w:lvl>
    <w:lvl w:ilvl="3" w:tplc="04020001" w:tentative="1">
      <w:start w:val="1"/>
      <w:numFmt w:val="bullet"/>
      <w:lvlText w:val=""/>
      <w:lvlJc w:val="left"/>
      <w:pPr>
        <w:ind w:left="3588" w:hanging="360"/>
      </w:pPr>
      <w:rPr>
        <w:rFonts w:ascii="Symbol" w:hAnsi="Symbol" w:hint="default"/>
      </w:rPr>
    </w:lvl>
    <w:lvl w:ilvl="4" w:tplc="04020003" w:tentative="1">
      <w:start w:val="1"/>
      <w:numFmt w:val="bullet"/>
      <w:lvlText w:val="o"/>
      <w:lvlJc w:val="left"/>
      <w:pPr>
        <w:ind w:left="4308" w:hanging="360"/>
      </w:pPr>
      <w:rPr>
        <w:rFonts w:ascii="Courier New" w:hAnsi="Courier New" w:cs="Courier New" w:hint="default"/>
      </w:rPr>
    </w:lvl>
    <w:lvl w:ilvl="5" w:tplc="04020005" w:tentative="1">
      <w:start w:val="1"/>
      <w:numFmt w:val="bullet"/>
      <w:lvlText w:val=""/>
      <w:lvlJc w:val="left"/>
      <w:pPr>
        <w:ind w:left="5028" w:hanging="360"/>
      </w:pPr>
      <w:rPr>
        <w:rFonts w:ascii="Wingdings" w:hAnsi="Wingdings" w:hint="default"/>
      </w:rPr>
    </w:lvl>
    <w:lvl w:ilvl="6" w:tplc="04020001" w:tentative="1">
      <w:start w:val="1"/>
      <w:numFmt w:val="bullet"/>
      <w:lvlText w:val=""/>
      <w:lvlJc w:val="left"/>
      <w:pPr>
        <w:ind w:left="5748" w:hanging="360"/>
      </w:pPr>
      <w:rPr>
        <w:rFonts w:ascii="Symbol" w:hAnsi="Symbol" w:hint="default"/>
      </w:rPr>
    </w:lvl>
    <w:lvl w:ilvl="7" w:tplc="04020003" w:tentative="1">
      <w:start w:val="1"/>
      <w:numFmt w:val="bullet"/>
      <w:lvlText w:val="o"/>
      <w:lvlJc w:val="left"/>
      <w:pPr>
        <w:ind w:left="6468" w:hanging="360"/>
      </w:pPr>
      <w:rPr>
        <w:rFonts w:ascii="Courier New" w:hAnsi="Courier New" w:cs="Courier New" w:hint="default"/>
      </w:rPr>
    </w:lvl>
    <w:lvl w:ilvl="8" w:tplc="04020005" w:tentative="1">
      <w:start w:val="1"/>
      <w:numFmt w:val="bullet"/>
      <w:lvlText w:val=""/>
      <w:lvlJc w:val="left"/>
      <w:pPr>
        <w:ind w:left="7188" w:hanging="360"/>
      </w:pPr>
      <w:rPr>
        <w:rFonts w:ascii="Wingdings" w:hAnsi="Wingdings" w:hint="default"/>
      </w:rPr>
    </w:lvl>
  </w:abstractNum>
  <w:abstractNum w:abstractNumId="11" w15:restartNumberingAfterBreak="0">
    <w:nsid w:val="71D705F1"/>
    <w:multiLevelType w:val="hybridMultilevel"/>
    <w:tmpl w:val="A15CAE5A"/>
    <w:lvl w:ilvl="0" w:tplc="04020001">
      <w:start w:val="1"/>
      <w:numFmt w:val="bullet"/>
      <w:lvlText w:val=""/>
      <w:lvlJc w:val="left"/>
      <w:pPr>
        <w:ind w:left="501" w:hanging="360"/>
      </w:pPr>
      <w:rPr>
        <w:rFonts w:ascii="Symbol" w:hAnsi="Symbol" w:hint="default"/>
        <w:b/>
        <w:i w:val="0"/>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2" w15:restartNumberingAfterBreak="0">
    <w:nsid w:val="72F14AF0"/>
    <w:multiLevelType w:val="hybridMultilevel"/>
    <w:tmpl w:val="4FFCF23A"/>
    <w:lvl w:ilvl="0" w:tplc="0402000B">
      <w:start w:val="1"/>
      <w:numFmt w:val="bullet"/>
      <w:lvlText w:val=""/>
      <w:lvlJc w:val="left"/>
      <w:pPr>
        <w:ind w:left="785" w:hanging="360"/>
      </w:pPr>
      <w:rPr>
        <w:rFonts w:ascii="Wingdings" w:hAnsi="Wingdings" w:hint="default"/>
      </w:rPr>
    </w:lvl>
    <w:lvl w:ilvl="1" w:tplc="04020003" w:tentative="1">
      <w:start w:val="1"/>
      <w:numFmt w:val="bullet"/>
      <w:lvlText w:val="o"/>
      <w:lvlJc w:val="left"/>
      <w:pPr>
        <w:ind w:left="1505" w:hanging="360"/>
      </w:pPr>
      <w:rPr>
        <w:rFonts w:ascii="Courier New" w:hAnsi="Courier New" w:cs="Courier New" w:hint="default"/>
      </w:rPr>
    </w:lvl>
    <w:lvl w:ilvl="2" w:tplc="04020005" w:tentative="1">
      <w:start w:val="1"/>
      <w:numFmt w:val="bullet"/>
      <w:lvlText w:val=""/>
      <w:lvlJc w:val="left"/>
      <w:pPr>
        <w:ind w:left="2225" w:hanging="360"/>
      </w:pPr>
      <w:rPr>
        <w:rFonts w:ascii="Wingdings" w:hAnsi="Wingdings" w:hint="default"/>
      </w:rPr>
    </w:lvl>
    <w:lvl w:ilvl="3" w:tplc="04020001" w:tentative="1">
      <w:start w:val="1"/>
      <w:numFmt w:val="bullet"/>
      <w:lvlText w:val=""/>
      <w:lvlJc w:val="left"/>
      <w:pPr>
        <w:ind w:left="2945" w:hanging="360"/>
      </w:pPr>
      <w:rPr>
        <w:rFonts w:ascii="Symbol" w:hAnsi="Symbol" w:hint="default"/>
      </w:rPr>
    </w:lvl>
    <w:lvl w:ilvl="4" w:tplc="04020003" w:tentative="1">
      <w:start w:val="1"/>
      <w:numFmt w:val="bullet"/>
      <w:lvlText w:val="o"/>
      <w:lvlJc w:val="left"/>
      <w:pPr>
        <w:ind w:left="3665" w:hanging="360"/>
      </w:pPr>
      <w:rPr>
        <w:rFonts w:ascii="Courier New" w:hAnsi="Courier New" w:cs="Courier New" w:hint="default"/>
      </w:rPr>
    </w:lvl>
    <w:lvl w:ilvl="5" w:tplc="04020005" w:tentative="1">
      <w:start w:val="1"/>
      <w:numFmt w:val="bullet"/>
      <w:lvlText w:val=""/>
      <w:lvlJc w:val="left"/>
      <w:pPr>
        <w:ind w:left="4385" w:hanging="360"/>
      </w:pPr>
      <w:rPr>
        <w:rFonts w:ascii="Wingdings" w:hAnsi="Wingdings" w:hint="default"/>
      </w:rPr>
    </w:lvl>
    <w:lvl w:ilvl="6" w:tplc="04020001" w:tentative="1">
      <w:start w:val="1"/>
      <w:numFmt w:val="bullet"/>
      <w:lvlText w:val=""/>
      <w:lvlJc w:val="left"/>
      <w:pPr>
        <w:ind w:left="5105" w:hanging="360"/>
      </w:pPr>
      <w:rPr>
        <w:rFonts w:ascii="Symbol" w:hAnsi="Symbol" w:hint="default"/>
      </w:rPr>
    </w:lvl>
    <w:lvl w:ilvl="7" w:tplc="04020003" w:tentative="1">
      <w:start w:val="1"/>
      <w:numFmt w:val="bullet"/>
      <w:lvlText w:val="o"/>
      <w:lvlJc w:val="left"/>
      <w:pPr>
        <w:ind w:left="5825" w:hanging="360"/>
      </w:pPr>
      <w:rPr>
        <w:rFonts w:ascii="Courier New" w:hAnsi="Courier New" w:cs="Courier New" w:hint="default"/>
      </w:rPr>
    </w:lvl>
    <w:lvl w:ilvl="8" w:tplc="04020005" w:tentative="1">
      <w:start w:val="1"/>
      <w:numFmt w:val="bullet"/>
      <w:lvlText w:val=""/>
      <w:lvlJc w:val="left"/>
      <w:pPr>
        <w:ind w:left="6545" w:hanging="360"/>
      </w:pPr>
      <w:rPr>
        <w:rFonts w:ascii="Wingdings" w:hAnsi="Wingdings" w:hint="default"/>
      </w:rPr>
    </w:lvl>
  </w:abstractNum>
  <w:num w:numId="1">
    <w:abstractNumId w:val="3"/>
  </w:num>
  <w:num w:numId="2">
    <w:abstractNumId w:val="5"/>
  </w:num>
  <w:num w:numId="3">
    <w:abstractNumId w:val="2"/>
  </w:num>
  <w:num w:numId="4">
    <w:abstractNumId w:val="11"/>
  </w:num>
  <w:num w:numId="5">
    <w:abstractNumId w:val="0"/>
  </w:num>
  <w:num w:numId="6">
    <w:abstractNumId w:val="10"/>
  </w:num>
  <w:num w:numId="7">
    <w:abstractNumId w:val="4"/>
  </w:num>
  <w:num w:numId="8">
    <w:abstractNumId w:val="9"/>
  </w:num>
  <w:num w:numId="9">
    <w:abstractNumId w:val="6"/>
  </w:num>
  <w:num w:numId="10">
    <w:abstractNumId w:val="7"/>
  </w:num>
  <w:num w:numId="11">
    <w:abstractNumId w:val="8"/>
  </w:num>
  <w:num w:numId="12">
    <w:abstractNumId w:val="12"/>
  </w:num>
  <w:num w:numId="1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146A"/>
    <w:rsid w:val="000035A4"/>
    <w:rsid w:val="00007212"/>
    <w:rsid w:val="000102FA"/>
    <w:rsid w:val="0001080D"/>
    <w:rsid w:val="00014FB0"/>
    <w:rsid w:val="00016462"/>
    <w:rsid w:val="00017715"/>
    <w:rsid w:val="00020359"/>
    <w:rsid w:val="000224E8"/>
    <w:rsid w:val="00022E74"/>
    <w:rsid w:val="000233E5"/>
    <w:rsid w:val="000249BE"/>
    <w:rsid w:val="000266D8"/>
    <w:rsid w:val="000306F7"/>
    <w:rsid w:val="0003236E"/>
    <w:rsid w:val="0003250B"/>
    <w:rsid w:val="000328CB"/>
    <w:rsid w:val="00034625"/>
    <w:rsid w:val="00035EFF"/>
    <w:rsid w:val="00040D5D"/>
    <w:rsid w:val="00041E82"/>
    <w:rsid w:val="00043A1E"/>
    <w:rsid w:val="00043FA0"/>
    <w:rsid w:val="00044013"/>
    <w:rsid w:val="00045A69"/>
    <w:rsid w:val="00045C99"/>
    <w:rsid w:val="00047563"/>
    <w:rsid w:val="0004763E"/>
    <w:rsid w:val="00050203"/>
    <w:rsid w:val="000537AE"/>
    <w:rsid w:val="00055C1B"/>
    <w:rsid w:val="00057643"/>
    <w:rsid w:val="0005767B"/>
    <w:rsid w:val="00057B3A"/>
    <w:rsid w:val="00062B65"/>
    <w:rsid w:val="000632E3"/>
    <w:rsid w:val="0006360E"/>
    <w:rsid w:val="000671CF"/>
    <w:rsid w:val="0006742C"/>
    <w:rsid w:val="000678C8"/>
    <w:rsid w:val="0007130C"/>
    <w:rsid w:val="00071612"/>
    <w:rsid w:val="000743EC"/>
    <w:rsid w:val="0007513E"/>
    <w:rsid w:val="00081CD0"/>
    <w:rsid w:val="0008665E"/>
    <w:rsid w:val="0009138B"/>
    <w:rsid w:val="000918CD"/>
    <w:rsid w:val="000962B5"/>
    <w:rsid w:val="00097621"/>
    <w:rsid w:val="000A0A9A"/>
    <w:rsid w:val="000A49B7"/>
    <w:rsid w:val="000B0EEB"/>
    <w:rsid w:val="000B1434"/>
    <w:rsid w:val="000B2EB2"/>
    <w:rsid w:val="000B4048"/>
    <w:rsid w:val="000B45DC"/>
    <w:rsid w:val="000B6B8D"/>
    <w:rsid w:val="000B70D3"/>
    <w:rsid w:val="000C2761"/>
    <w:rsid w:val="000C2E74"/>
    <w:rsid w:val="000C75E4"/>
    <w:rsid w:val="000C79C7"/>
    <w:rsid w:val="000D0477"/>
    <w:rsid w:val="000D11AF"/>
    <w:rsid w:val="000D1E90"/>
    <w:rsid w:val="000D27F6"/>
    <w:rsid w:val="000D61B6"/>
    <w:rsid w:val="000D68CC"/>
    <w:rsid w:val="000D708E"/>
    <w:rsid w:val="000E1AA7"/>
    <w:rsid w:val="000E24DF"/>
    <w:rsid w:val="000E33A4"/>
    <w:rsid w:val="000E34B5"/>
    <w:rsid w:val="000E3A16"/>
    <w:rsid w:val="000E705B"/>
    <w:rsid w:val="000E7635"/>
    <w:rsid w:val="000F145B"/>
    <w:rsid w:val="000F633B"/>
    <w:rsid w:val="00100A13"/>
    <w:rsid w:val="00102B11"/>
    <w:rsid w:val="00103EDE"/>
    <w:rsid w:val="00105937"/>
    <w:rsid w:val="001067DD"/>
    <w:rsid w:val="0011039D"/>
    <w:rsid w:val="001118B3"/>
    <w:rsid w:val="00113650"/>
    <w:rsid w:val="00114B0C"/>
    <w:rsid w:val="00121BA9"/>
    <w:rsid w:val="00122897"/>
    <w:rsid w:val="00123A09"/>
    <w:rsid w:val="00135C41"/>
    <w:rsid w:val="00136500"/>
    <w:rsid w:val="0013788E"/>
    <w:rsid w:val="001416AF"/>
    <w:rsid w:val="00143528"/>
    <w:rsid w:val="00152EB2"/>
    <w:rsid w:val="0015471E"/>
    <w:rsid w:val="00155D06"/>
    <w:rsid w:val="00157368"/>
    <w:rsid w:val="00157966"/>
    <w:rsid w:val="00161921"/>
    <w:rsid w:val="00161FAD"/>
    <w:rsid w:val="001642C5"/>
    <w:rsid w:val="0016583A"/>
    <w:rsid w:val="00170C9D"/>
    <w:rsid w:val="00172487"/>
    <w:rsid w:val="001753E5"/>
    <w:rsid w:val="00175E4A"/>
    <w:rsid w:val="00182820"/>
    <w:rsid w:val="001846B3"/>
    <w:rsid w:val="0018482B"/>
    <w:rsid w:val="00184F33"/>
    <w:rsid w:val="001852E8"/>
    <w:rsid w:val="001916E7"/>
    <w:rsid w:val="00191B4F"/>
    <w:rsid w:val="001932D3"/>
    <w:rsid w:val="00193396"/>
    <w:rsid w:val="001936A9"/>
    <w:rsid w:val="001950E7"/>
    <w:rsid w:val="00196062"/>
    <w:rsid w:val="001A4178"/>
    <w:rsid w:val="001A429A"/>
    <w:rsid w:val="001A47EB"/>
    <w:rsid w:val="001A5C52"/>
    <w:rsid w:val="001B111A"/>
    <w:rsid w:val="001B12B4"/>
    <w:rsid w:val="001B222B"/>
    <w:rsid w:val="001B4C89"/>
    <w:rsid w:val="001B52FE"/>
    <w:rsid w:val="001B7E0D"/>
    <w:rsid w:val="001C1099"/>
    <w:rsid w:val="001C2902"/>
    <w:rsid w:val="001C3FB0"/>
    <w:rsid w:val="001C6340"/>
    <w:rsid w:val="001C66EA"/>
    <w:rsid w:val="001C6FF3"/>
    <w:rsid w:val="001D01C5"/>
    <w:rsid w:val="001D1714"/>
    <w:rsid w:val="001D21F3"/>
    <w:rsid w:val="001D282A"/>
    <w:rsid w:val="001D3579"/>
    <w:rsid w:val="001D3ADD"/>
    <w:rsid w:val="001D6434"/>
    <w:rsid w:val="001D69D6"/>
    <w:rsid w:val="001E238A"/>
    <w:rsid w:val="001E26C0"/>
    <w:rsid w:val="001E32DC"/>
    <w:rsid w:val="001E3869"/>
    <w:rsid w:val="001E4E58"/>
    <w:rsid w:val="001E76AC"/>
    <w:rsid w:val="001F0341"/>
    <w:rsid w:val="001F0BFE"/>
    <w:rsid w:val="001F1466"/>
    <w:rsid w:val="001F3014"/>
    <w:rsid w:val="001F468B"/>
    <w:rsid w:val="001F7FBC"/>
    <w:rsid w:val="00202233"/>
    <w:rsid w:val="002026CE"/>
    <w:rsid w:val="00205DC9"/>
    <w:rsid w:val="002102B4"/>
    <w:rsid w:val="00211005"/>
    <w:rsid w:val="00215C10"/>
    <w:rsid w:val="00222143"/>
    <w:rsid w:val="0022524B"/>
    <w:rsid w:val="00225419"/>
    <w:rsid w:val="002266BF"/>
    <w:rsid w:val="00234290"/>
    <w:rsid w:val="00234F42"/>
    <w:rsid w:val="00236269"/>
    <w:rsid w:val="00236877"/>
    <w:rsid w:val="00240FE4"/>
    <w:rsid w:val="00241B02"/>
    <w:rsid w:val="00241DE1"/>
    <w:rsid w:val="002420DC"/>
    <w:rsid w:val="002443AB"/>
    <w:rsid w:val="00244A32"/>
    <w:rsid w:val="00246DE8"/>
    <w:rsid w:val="00247886"/>
    <w:rsid w:val="00247991"/>
    <w:rsid w:val="00250D82"/>
    <w:rsid w:val="00251325"/>
    <w:rsid w:val="002514F5"/>
    <w:rsid w:val="00251983"/>
    <w:rsid w:val="002545BF"/>
    <w:rsid w:val="002556A4"/>
    <w:rsid w:val="00255BEA"/>
    <w:rsid w:val="00262008"/>
    <w:rsid w:val="002639A1"/>
    <w:rsid w:val="00263E7E"/>
    <w:rsid w:val="00272522"/>
    <w:rsid w:val="00272590"/>
    <w:rsid w:val="00282292"/>
    <w:rsid w:val="0028428A"/>
    <w:rsid w:val="002906E1"/>
    <w:rsid w:val="00291126"/>
    <w:rsid w:val="002911CD"/>
    <w:rsid w:val="002A0513"/>
    <w:rsid w:val="002B2F9D"/>
    <w:rsid w:val="002B62B5"/>
    <w:rsid w:val="002B7B0F"/>
    <w:rsid w:val="002C192E"/>
    <w:rsid w:val="002C1D76"/>
    <w:rsid w:val="002C2AFB"/>
    <w:rsid w:val="002C6DAC"/>
    <w:rsid w:val="002C6E8A"/>
    <w:rsid w:val="002D082E"/>
    <w:rsid w:val="002D1602"/>
    <w:rsid w:val="002D3360"/>
    <w:rsid w:val="002D4715"/>
    <w:rsid w:val="002D5678"/>
    <w:rsid w:val="002D5F9E"/>
    <w:rsid w:val="002E469C"/>
    <w:rsid w:val="002E4C45"/>
    <w:rsid w:val="002E62F9"/>
    <w:rsid w:val="002E6789"/>
    <w:rsid w:val="002E7D91"/>
    <w:rsid w:val="002F24D9"/>
    <w:rsid w:val="002F3524"/>
    <w:rsid w:val="002F3CB4"/>
    <w:rsid w:val="003004BA"/>
    <w:rsid w:val="00301236"/>
    <w:rsid w:val="003012C8"/>
    <w:rsid w:val="00302FF8"/>
    <w:rsid w:val="003056D9"/>
    <w:rsid w:val="003108E8"/>
    <w:rsid w:val="0031146A"/>
    <w:rsid w:val="0031398D"/>
    <w:rsid w:val="0031408A"/>
    <w:rsid w:val="00316B55"/>
    <w:rsid w:val="00325FDC"/>
    <w:rsid w:val="00326D6C"/>
    <w:rsid w:val="00336DAA"/>
    <w:rsid w:val="00351AD7"/>
    <w:rsid w:val="00351C56"/>
    <w:rsid w:val="00353086"/>
    <w:rsid w:val="00354A9A"/>
    <w:rsid w:val="003556AD"/>
    <w:rsid w:val="0035590E"/>
    <w:rsid w:val="00357A48"/>
    <w:rsid w:val="0036621A"/>
    <w:rsid w:val="00367986"/>
    <w:rsid w:val="00370A23"/>
    <w:rsid w:val="00370A3F"/>
    <w:rsid w:val="00373989"/>
    <w:rsid w:val="00374109"/>
    <w:rsid w:val="0037554B"/>
    <w:rsid w:val="0037719B"/>
    <w:rsid w:val="00380A93"/>
    <w:rsid w:val="00385007"/>
    <w:rsid w:val="0038584E"/>
    <w:rsid w:val="00385C01"/>
    <w:rsid w:val="003875C0"/>
    <w:rsid w:val="00393B98"/>
    <w:rsid w:val="003959C1"/>
    <w:rsid w:val="003965FD"/>
    <w:rsid w:val="003A1DBE"/>
    <w:rsid w:val="003A375D"/>
    <w:rsid w:val="003A60F5"/>
    <w:rsid w:val="003A6D54"/>
    <w:rsid w:val="003A6DDA"/>
    <w:rsid w:val="003A7035"/>
    <w:rsid w:val="003A786E"/>
    <w:rsid w:val="003B420B"/>
    <w:rsid w:val="003B482A"/>
    <w:rsid w:val="003B4B0C"/>
    <w:rsid w:val="003B5480"/>
    <w:rsid w:val="003B57C3"/>
    <w:rsid w:val="003B5A5B"/>
    <w:rsid w:val="003C09A9"/>
    <w:rsid w:val="003C0D39"/>
    <w:rsid w:val="003C2763"/>
    <w:rsid w:val="003C3463"/>
    <w:rsid w:val="003C46E3"/>
    <w:rsid w:val="003C507B"/>
    <w:rsid w:val="003C5417"/>
    <w:rsid w:val="003C643F"/>
    <w:rsid w:val="003D50D3"/>
    <w:rsid w:val="003D7CE3"/>
    <w:rsid w:val="003E0129"/>
    <w:rsid w:val="003E106A"/>
    <w:rsid w:val="003E2031"/>
    <w:rsid w:val="003E3223"/>
    <w:rsid w:val="003F18C5"/>
    <w:rsid w:val="003F213C"/>
    <w:rsid w:val="003F3A2F"/>
    <w:rsid w:val="003F55C9"/>
    <w:rsid w:val="004026C7"/>
    <w:rsid w:val="00405E29"/>
    <w:rsid w:val="0040682B"/>
    <w:rsid w:val="00411D7F"/>
    <w:rsid w:val="0041546F"/>
    <w:rsid w:val="0041631D"/>
    <w:rsid w:val="00416440"/>
    <w:rsid w:val="0042080A"/>
    <w:rsid w:val="00421E8B"/>
    <w:rsid w:val="00424350"/>
    <w:rsid w:val="004247B5"/>
    <w:rsid w:val="004255AF"/>
    <w:rsid w:val="004270E8"/>
    <w:rsid w:val="004277CE"/>
    <w:rsid w:val="004325C2"/>
    <w:rsid w:val="004336BA"/>
    <w:rsid w:val="0044082D"/>
    <w:rsid w:val="0044129F"/>
    <w:rsid w:val="004424FA"/>
    <w:rsid w:val="0044388F"/>
    <w:rsid w:val="0044618F"/>
    <w:rsid w:val="004461EF"/>
    <w:rsid w:val="00450CD2"/>
    <w:rsid w:val="00451707"/>
    <w:rsid w:val="00451A86"/>
    <w:rsid w:val="00452385"/>
    <w:rsid w:val="00452C51"/>
    <w:rsid w:val="004539AB"/>
    <w:rsid w:val="00455780"/>
    <w:rsid w:val="004618B8"/>
    <w:rsid w:val="0046541F"/>
    <w:rsid w:val="00470A16"/>
    <w:rsid w:val="00471F2F"/>
    <w:rsid w:val="0047374C"/>
    <w:rsid w:val="004738A8"/>
    <w:rsid w:val="004738BF"/>
    <w:rsid w:val="00474C90"/>
    <w:rsid w:val="00481384"/>
    <w:rsid w:val="00482CA0"/>
    <w:rsid w:val="004832C9"/>
    <w:rsid w:val="00484F8F"/>
    <w:rsid w:val="0048689C"/>
    <w:rsid w:val="004914D5"/>
    <w:rsid w:val="004914E0"/>
    <w:rsid w:val="00492E8E"/>
    <w:rsid w:val="0049312A"/>
    <w:rsid w:val="00493B3E"/>
    <w:rsid w:val="00496DB7"/>
    <w:rsid w:val="00497AE9"/>
    <w:rsid w:val="004A002A"/>
    <w:rsid w:val="004A0939"/>
    <w:rsid w:val="004A26D0"/>
    <w:rsid w:val="004A3471"/>
    <w:rsid w:val="004A4DE8"/>
    <w:rsid w:val="004A65AF"/>
    <w:rsid w:val="004A6ACC"/>
    <w:rsid w:val="004A74B0"/>
    <w:rsid w:val="004B0402"/>
    <w:rsid w:val="004B058F"/>
    <w:rsid w:val="004B2753"/>
    <w:rsid w:val="004B389A"/>
    <w:rsid w:val="004D0FD2"/>
    <w:rsid w:val="004D3AC7"/>
    <w:rsid w:val="004D44A0"/>
    <w:rsid w:val="004D45E8"/>
    <w:rsid w:val="004E1FF3"/>
    <w:rsid w:val="004E2E1C"/>
    <w:rsid w:val="004E38A7"/>
    <w:rsid w:val="004E716C"/>
    <w:rsid w:val="004F320B"/>
    <w:rsid w:val="004F5F55"/>
    <w:rsid w:val="004F68A2"/>
    <w:rsid w:val="004F6DFB"/>
    <w:rsid w:val="0050049F"/>
    <w:rsid w:val="00501A7D"/>
    <w:rsid w:val="005021FE"/>
    <w:rsid w:val="005024B9"/>
    <w:rsid w:val="0051145C"/>
    <w:rsid w:val="00513A69"/>
    <w:rsid w:val="00514EC4"/>
    <w:rsid w:val="00516AD1"/>
    <w:rsid w:val="00517224"/>
    <w:rsid w:val="005172D2"/>
    <w:rsid w:val="00520C13"/>
    <w:rsid w:val="00521394"/>
    <w:rsid w:val="0052360D"/>
    <w:rsid w:val="00524232"/>
    <w:rsid w:val="005265C5"/>
    <w:rsid w:val="00530163"/>
    <w:rsid w:val="00531C56"/>
    <w:rsid w:val="00533F16"/>
    <w:rsid w:val="005379BD"/>
    <w:rsid w:val="00537B13"/>
    <w:rsid w:val="00537D28"/>
    <w:rsid w:val="0054063D"/>
    <w:rsid w:val="00541998"/>
    <w:rsid w:val="005429E9"/>
    <w:rsid w:val="005447B0"/>
    <w:rsid w:val="00545A99"/>
    <w:rsid w:val="0055191F"/>
    <w:rsid w:val="00552D80"/>
    <w:rsid w:val="0055322A"/>
    <w:rsid w:val="00553D55"/>
    <w:rsid w:val="00553E9E"/>
    <w:rsid w:val="00556369"/>
    <w:rsid w:val="00557859"/>
    <w:rsid w:val="00560343"/>
    <w:rsid w:val="00561258"/>
    <w:rsid w:val="00561944"/>
    <w:rsid w:val="00561EDF"/>
    <w:rsid w:val="00563D59"/>
    <w:rsid w:val="00565E39"/>
    <w:rsid w:val="00566482"/>
    <w:rsid w:val="00567915"/>
    <w:rsid w:val="0057038C"/>
    <w:rsid w:val="00573036"/>
    <w:rsid w:val="005816DB"/>
    <w:rsid w:val="0058170E"/>
    <w:rsid w:val="00583290"/>
    <w:rsid w:val="005905ED"/>
    <w:rsid w:val="005A0AAB"/>
    <w:rsid w:val="005A0AD7"/>
    <w:rsid w:val="005A356E"/>
    <w:rsid w:val="005B0543"/>
    <w:rsid w:val="005B06EC"/>
    <w:rsid w:val="005B07E9"/>
    <w:rsid w:val="005B081D"/>
    <w:rsid w:val="005B79F1"/>
    <w:rsid w:val="005C48DF"/>
    <w:rsid w:val="005C4E48"/>
    <w:rsid w:val="005C6C21"/>
    <w:rsid w:val="005D0DA0"/>
    <w:rsid w:val="005E53B8"/>
    <w:rsid w:val="005E5934"/>
    <w:rsid w:val="005E6BE9"/>
    <w:rsid w:val="005E6C63"/>
    <w:rsid w:val="005F08DC"/>
    <w:rsid w:val="005F4C63"/>
    <w:rsid w:val="00600D5C"/>
    <w:rsid w:val="00601283"/>
    <w:rsid w:val="00602A10"/>
    <w:rsid w:val="00602FE3"/>
    <w:rsid w:val="006033E2"/>
    <w:rsid w:val="00606177"/>
    <w:rsid w:val="006061A6"/>
    <w:rsid w:val="00607023"/>
    <w:rsid w:val="00610112"/>
    <w:rsid w:val="006115DE"/>
    <w:rsid w:val="00611A55"/>
    <w:rsid w:val="00614132"/>
    <w:rsid w:val="00615C53"/>
    <w:rsid w:val="006206CB"/>
    <w:rsid w:val="00620D53"/>
    <w:rsid w:val="0062125A"/>
    <w:rsid w:val="00623217"/>
    <w:rsid w:val="00623292"/>
    <w:rsid w:val="00625172"/>
    <w:rsid w:val="00626906"/>
    <w:rsid w:val="00626E34"/>
    <w:rsid w:val="00630EAF"/>
    <w:rsid w:val="00632DCB"/>
    <w:rsid w:val="0063354A"/>
    <w:rsid w:val="0063395D"/>
    <w:rsid w:val="00635D5B"/>
    <w:rsid w:val="006400E5"/>
    <w:rsid w:val="00643EEB"/>
    <w:rsid w:val="00644170"/>
    <w:rsid w:val="00647949"/>
    <w:rsid w:val="00651B22"/>
    <w:rsid w:val="00651B49"/>
    <w:rsid w:val="00652538"/>
    <w:rsid w:val="006537C9"/>
    <w:rsid w:val="0065445D"/>
    <w:rsid w:val="00654DE3"/>
    <w:rsid w:val="00660EA1"/>
    <w:rsid w:val="006633ED"/>
    <w:rsid w:val="006641DB"/>
    <w:rsid w:val="0067104E"/>
    <w:rsid w:val="0067209B"/>
    <w:rsid w:val="00673301"/>
    <w:rsid w:val="006741D4"/>
    <w:rsid w:val="00674470"/>
    <w:rsid w:val="0067449F"/>
    <w:rsid w:val="0068031F"/>
    <w:rsid w:val="006814F2"/>
    <w:rsid w:val="0068180B"/>
    <w:rsid w:val="00682648"/>
    <w:rsid w:val="0068626A"/>
    <w:rsid w:val="00687019"/>
    <w:rsid w:val="00687990"/>
    <w:rsid w:val="00690168"/>
    <w:rsid w:val="00690422"/>
    <w:rsid w:val="00697E4D"/>
    <w:rsid w:val="006A1B96"/>
    <w:rsid w:val="006A2D72"/>
    <w:rsid w:val="006A6E88"/>
    <w:rsid w:val="006A72D2"/>
    <w:rsid w:val="006A7F85"/>
    <w:rsid w:val="006B080C"/>
    <w:rsid w:val="006B2F04"/>
    <w:rsid w:val="006B3A65"/>
    <w:rsid w:val="006B402A"/>
    <w:rsid w:val="006B469B"/>
    <w:rsid w:val="006B69B6"/>
    <w:rsid w:val="006B6EBF"/>
    <w:rsid w:val="006C28AD"/>
    <w:rsid w:val="006C5EA1"/>
    <w:rsid w:val="006C6A76"/>
    <w:rsid w:val="006D0920"/>
    <w:rsid w:val="006D0B33"/>
    <w:rsid w:val="006D15E1"/>
    <w:rsid w:val="006D1AF7"/>
    <w:rsid w:val="006D5B77"/>
    <w:rsid w:val="006D6DC1"/>
    <w:rsid w:val="006E73DE"/>
    <w:rsid w:val="006F1D3F"/>
    <w:rsid w:val="006F63B9"/>
    <w:rsid w:val="00702DCC"/>
    <w:rsid w:val="007034A6"/>
    <w:rsid w:val="007050D4"/>
    <w:rsid w:val="00711568"/>
    <w:rsid w:val="00712572"/>
    <w:rsid w:val="00714684"/>
    <w:rsid w:val="0071667E"/>
    <w:rsid w:val="00720CA1"/>
    <w:rsid w:val="00721CDD"/>
    <w:rsid w:val="00725A42"/>
    <w:rsid w:val="00726807"/>
    <w:rsid w:val="00732C21"/>
    <w:rsid w:val="00733AA5"/>
    <w:rsid w:val="00734AB9"/>
    <w:rsid w:val="00743674"/>
    <w:rsid w:val="007441C2"/>
    <w:rsid w:val="00744319"/>
    <w:rsid w:val="00747532"/>
    <w:rsid w:val="007529F5"/>
    <w:rsid w:val="007541A3"/>
    <w:rsid w:val="00755624"/>
    <w:rsid w:val="00756080"/>
    <w:rsid w:val="007572EA"/>
    <w:rsid w:val="00762F83"/>
    <w:rsid w:val="00763EFF"/>
    <w:rsid w:val="00764A73"/>
    <w:rsid w:val="00764B4B"/>
    <w:rsid w:val="007679A9"/>
    <w:rsid w:val="0077013C"/>
    <w:rsid w:val="00770392"/>
    <w:rsid w:val="00776560"/>
    <w:rsid w:val="00776A8C"/>
    <w:rsid w:val="00776F80"/>
    <w:rsid w:val="00777938"/>
    <w:rsid w:val="00780C84"/>
    <w:rsid w:val="007823D4"/>
    <w:rsid w:val="00783866"/>
    <w:rsid w:val="00786589"/>
    <w:rsid w:val="0078683E"/>
    <w:rsid w:val="00790595"/>
    <w:rsid w:val="007A3B94"/>
    <w:rsid w:val="007A53C0"/>
    <w:rsid w:val="007A548A"/>
    <w:rsid w:val="007B0B9C"/>
    <w:rsid w:val="007B1A4B"/>
    <w:rsid w:val="007B1E83"/>
    <w:rsid w:val="007B66E9"/>
    <w:rsid w:val="007B7965"/>
    <w:rsid w:val="007C0077"/>
    <w:rsid w:val="007C25C5"/>
    <w:rsid w:val="007C4F91"/>
    <w:rsid w:val="007C652B"/>
    <w:rsid w:val="007D09BE"/>
    <w:rsid w:val="007D117C"/>
    <w:rsid w:val="007D1D90"/>
    <w:rsid w:val="007D2BF5"/>
    <w:rsid w:val="007D61E7"/>
    <w:rsid w:val="007D776E"/>
    <w:rsid w:val="007E0E92"/>
    <w:rsid w:val="007E2EC8"/>
    <w:rsid w:val="007E3134"/>
    <w:rsid w:val="007E6D89"/>
    <w:rsid w:val="007F1FCC"/>
    <w:rsid w:val="007F33B0"/>
    <w:rsid w:val="007F48A3"/>
    <w:rsid w:val="00801FAC"/>
    <w:rsid w:val="008020F1"/>
    <w:rsid w:val="00802C83"/>
    <w:rsid w:val="00803F2F"/>
    <w:rsid w:val="008054F1"/>
    <w:rsid w:val="00806EE4"/>
    <w:rsid w:val="0081037E"/>
    <w:rsid w:val="00813CF3"/>
    <w:rsid w:val="0082355B"/>
    <w:rsid w:val="0082401F"/>
    <w:rsid w:val="00825412"/>
    <w:rsid w:val="008311E9"/>
    <w:rsid w:val="008358B6"/>
    <w:rsid w:val="008376E2"/>
    <w:rsid w:val="00840C42"/>
    <w:rsid w:val="008422D7"/>
    <w:rsid w:val="00847524"/>
    <w:rsid w:val="00847A25"/>
    <w:rsid w:val="00851080"/>
    <w:rsid w:val="00852222"/>
    <w:rsid w:val="0085344E"/>
    <w:rsid w:val="008559F2"/>
    <w:rsid w:val="00856DEE"/>
    <w:rsid w:val="008576E9"/>
    <w:rsid w:val="008600F4"/>
    <w:rsid w:val="0086126C"/>
    <w:rsid w:val="008625BF"/>
    <w:rsid w:val="00865B27"/>
    <w:rsid w:val="00866D96"/>
    <w:rsid w:val="00871352"/>
    <w:rsid w:val="00871E04"/>
    <w:rsid w:val="00874A64"/>
    <w:rsid w:val="00875186"/>
    <w:rsid w:val="008756B3"/>
    <w:rsid w:val="00880D8C"/>
    <w:rsid w:val="008817B0"/>
    <w:rsid w:val="0088315B"/>
    <w:rsid w:val="0088487E"/>
    <w:rsid w:val="00886C66"/>
    <w:rsid w:val="00891798"/>
    <w:rsid w:val="00895F40"/>
    <w:rsid w:val="00897528"/>
    <w:rsid w:val="0089792F"/>
    <w:rsid w:val="008A0657"/>
    <w:rsid w:val="008A0AC2"/>
    <w:rsid w:val="008A174E"/>
    <w:rsid w:val="008A17D0"/>
    <w:rsid w:val="008A4E02"/>
    <w:rsid w:val="008A56E7"/>
    <w:rsid w:val="008A5BA3"/>
    <w:rsid w:val="008B147C"/>
    <w:rsid w:val="008B1ACD"/>
    <w:rsid w:val="008B271A"/>
    <w:rsid w:val="008B54EC"/>
    <w:rsid w:val="008B579D"/>
    <w:rsid w:val="008B5B1B"/>
    <w:rsid w:val="008B637E"/>
    <w:rsid w:val="008B727F"/>
    <w:rsid w:val="008B7448"/>
    <w:rsid w:val="008C03CC"/>
    <w:rsid w:val="008C0A54"/>
    <w:rsid w:val="008C21B7"/>
    <w:rsid w:val="008C2ECD"/>
    <w:rsid w:val="008C5B5D"/>
    <w:rsid w:val="008C6E49"/>
    <w:rsid w:val="008C7752"/>
    <w:rsid w:val="008C7F1F"/>
    <w:rsid w:val="008D3800"/>
    <w:rsid w:val="008D3AC9"/>
    <w:rsid w:val="008D6812"/>
    <w:rsid w:val="008E0C03"/>
    <w:rsid w:val="008E2120"/>
    <w:rsid w:val="008E2513"/>
    <w:rsid w:val="008E3BD7"/>
    <w:rsid w:val="008E4D21"/>
    <w:rsid w:val="008E58C4"/>
    <w:rsid w:val="008E59A6"/>
    <w:rsid w:val="008F3D2C"/>
    <w:rsid w:val="008F3FAE"/>
    <w:rsid w:val="008F599D"/>
    <w:rsid w:val="008F6905"/>
    <w:rsid w:val="008F6CA4"/>
    <w:rsid w:val="008F7BA5"/>
    <w:rsid w:val="00903AF9"/>
    <w:rsid w:val="00905648"/>
    <w:rsid w:val="00907178"/>
    <w:rsid w:val="009072B8"/>
    <w:rsid w:val="00907BAD"/>
    <w:rsid w:val="00912110"/>
    <w:rsid w:val="00913C86"/>
    <w:rsid w:val="00915E2C"/>
    <w:rsid w:val="0092161B"/>
    <w:rsid w:val="0092228E"/>
    <w:rsid w:val="009230A7"/>
    <w:rsid w:val="00923364"/>
    <w:rsid w:val="00926831"/>
    <w:rsid w:val="0093072D"/>
    <w:rsid w:val="00932443"/>
    <w:rsid w:val="00935A16"/>
    <w:rsid w:val="0093757E"/>
    <w:rsid w:val="00937F38"/>
    <w:rsid w:val="009412EC"/>
    <w:rsid w:val="00944F6E"/>
    <w:rsid w:val="00946557"/>
    <w:rsid w:val="00953278"/>
    <w:rsid w:val="00953D08"/>
    <w:rsid w:val="0095529E"/>
    <w:rsid w:val="00955BC6"/>
    <w:rsid w:val="00955E73"/>
    <w:rsid w:val="009620B6"/>
    <w:rsid w:val="0096493B"/>
    <w:rsid w:val="00964DB4"/>
    <w:rsid w:val="0096560D"/>
    <w:rsid w:val="0096616A"/>
    <w:rsid w:val="009677CA"/>
    <w:rsid w:val="00971AAF"/>
    <w:rsid w:val="009730B0"/>
    <w:rsid w:val="0097312C"/>
    <w:rsid w:val="00976202"/>
    <w:rsid w:val="0097770D"/>
    <w:rsid w:val="009803ED"/>
    <w:rsid w:val="00981BD8"/>
    <w:rsid w:val="009838E1"/>
    <w:rsid w:val="009840C6"/>
    <w:rsid w:val="00984489"/>
    <w:rsid w:val="00984551"/>
    <w:rsid w:val="009863E0"/>
    <w:rsid w:val="0098720C"/>
    <w:rsid w:val="00987375"/>
    <w:rsid w:val="00990BE7"/>
    <w:rsid w:val="009911D9"/>
    <w:rsid w:val="00991AE0"/>
    <w:rsid w:val="00993E66"/>
    <w:rsid w:val="00997F1F"/>
    <w:rsid w:val="009A0ABE"/>
    <w:rsid w:val="009A0E75"/>
    <w:rsid w:val="009A179E"/>
    <w:rsid w:val="009A261F"/>
    <w:rsid w:val="009A4355"/>
    <w:rsid w:val="009B0BBC"/>
    <w:rsid w:val="009B1195"/>
    <w:rsid w:val="009B3167"/>
    <w:rsid w:val="009B706F"/>
    <w:rsid w:val="009B741F"/>
    <w:rsid w:val="009B7879"/>
    <w:rsid w:val="009C11FD"/>
    <w:rsid w:val="009C1E6B"/>
    <w:rsid w:val="009C4333"/>
    <w:rsid w:val="009C5FF4"/>
    <w:rsid w:val="009C7608"/>
    <w:rsid w:val="009C7FDB"/>
    <w:rsid w:val="009D19F1"/>
    <w:rsid w:val="009D3495"/>
    <w:rsid w:val="009D42D5"/>
    <w:rsid w:val="009D5E35"/>
    <w:rsid w:val="009D604D"/>
    <w:rsid w:val="009D7B0F"/>
    <w:rsid w:val="009E052F"/>
    <w:rsid w:val="009E06AD"/>
    <w:rsid w:val="009E2348"/>
    <w:rsid w:val="009E4919"/>
    <w:rsid w:val="009E4A82"/>
    <w:rsid w:val="009E4AB5"/>
    <w:rsid w:val="009E4BA8"/>
    <w:rsid w:val="009F1951"/>
    <w:rsid w:val="009F1BAB"/>
    <w:rsid w:val="009F2CAC"/>
    <w:rsid w:val="009F37D9"/>
    <w:rsid w:val="009F3F8E"/>
    <w:rsid w:val="009F4F24"/>
    <w:rsid w:val="00A008C5"/>
    <w:rsid w:val="00A00BE8"/>
    <w:rsid w:val="00A01D23"/>
    <w:rsid w:val="00A023DB"/>
    <w:rsid w:val="00A04141"/>
    <w:rsid w:val="00A044A5"/>
    <w:rsid w:val="00A0604D"/>
    <w:rsid w:val="00A06D48"/>
    <w:rsid w:val="00A10ADA"/>
    <w:rsid w:val="00A118CA"/>
    <w:rsid w:val="00A11C1A"/>
    <w:rsid w:val="00A11EEC"/>
    <w:rsid w:val="00A12218"/>
    <w:rsid w:val="00A12E1F"/>
    <w:rsid w:val="00A14A03"/>
    <w:rsid w:val="00A14AE6"/>
    <w:rsid w:val="00A15DBA"/>
    <w:rsid w:val="00A1696A"/>
    <w:rsid w:val="00A175BD"/>
    <w:rsid w:val="00A17921"/>
    <w:rsid w:val="00A20769"/>
    <w:rsid w:val="00A212B0"/>
    <w:rsid w:val="00A22BF8"/>
    <w:rsid w:val="00A2361B"/>
    <w:rsid w:val="00A25989"/>
    <w:rsid w:val="00A25E08"/>
    <w:rsid w:val="00A27430"/>
    <w:rsid w:val="00A27F54"/>
    <w:rsid w:val="00A32604"/>
    <w:rsid w:val="00A32705"/>
    <w:rsid w:val="00A342AE"/>
    <w:rsid w:val="00A353C2"/>
    <w:rsid w:val="00A36405"/>
    <w:rsid w:val="00A3670B"/>
    <w:rsid w:val="00A36AAB"/>
    <w:rsid w:val="00A41692"/>
    <w:rsid w:val="00A41817"/>
    <w:rsid w:val="00A42791"/>
    <w:rsid w:val="00A440B1"/>
    <w:rsid w:val="00A4493E"/>
    <w:rsid w:val="00A44E65"/>
    <w:rsid w:val="00A50697"/>
    <w:rsid w:val="00A50AD1"/>
    <w:rsid w:val="00A54DBC"/>
    <w:rsid w:val="00A639A4"/>
    <w:rsid w:val="00A6511F"/>
    <w:rsid w:val="00A7033D"/>
    <w:rsid w:val="00A71296"/>
    <w:rsid w:val="00A727B2"/>
    <w:rsid w:val="00A72FEB"/>
    <w:rsid w:val="00A7476B"/>
    <w:rsid w:val="00A74B6D"/>
    <w:rsid w:val="00A76344"/>
    <w:rsid w:val="00A77593"/>
    <w:rsid w:val="00A80E94"/>
    <w:rsid w:val="00A81284"/>
    <w:rsid w:val="00A81B5E"/>
    <w:rsid w:val="00A845DA"/>
    <w:rsid w:val="00A84AF0"/>
    <w:rsid w:val="00A85209"/>
    <w:rsid w:val="00A8547C"/>
    <w:rsid w:val="00A90CDF"/>
    <w:rsid w:val="00A91A84"/>
    <w:rsid w:val="00A93C2C"/>
    <w:rsid w:val="00A95ADA"/>
    <w:rsid w:val="00A95B81"/>
    <w:rsid w:val="00A97C36"/>
    <w:rsid w:val="00AA016D"/>
    <w:rsid w:val="00AA2FC6"/>
    <w:rsid w:val="00AA3543"/>
    <w:rsid w:val="00AA6A25"/>
    <w:rsid w:val="00AA7D97"/>
    <w:rsid w:val="00AB1885"/>
    <w:rsid w:val="00AB4BD0"/>
    <w:rsid w:val="00AB71DF"/>
    <w:rsid w:val="00AC0865"/>
    <w:rsid w:val="00AC21E3"/>
    <w:rsid w:val="00AC2C0A"/>
    <w:rsid w:val="00AC2C25"/>
    <w:rsid w:val="00AC3022"/>
    <w:rsid w:val="00AC646A"/>
    <w:rsid w:val="00AD2B35"/>
    <w:rsid w:val="00AD3557"/>
    <w:rsid w:val="00AD6573"/>
    <w:rsid w:val="00AD78F2"/>
    <w:rsid w:val="00AE0FE0"/>
    <w:rsid w:val="00AE11E8"/>
    <w:rsid w:val="00AE34E3"/>
    <w:rsid w:val="00AE400E"/>
    <w:rsid w:val="00AE4724"/>
    <w:rsid w:val="00AF21B7"/>
    <w:rsid w:val="00AF3E2F"/>
    <w:rsid w:val="00AF5341"/>
    <w:rsid w:val="00AF56C5"/>
    <w:rsid w:val="00AF7A0E"/>
    <w:rsid w:val="00AF7E6E"/>
    <w:rsid w:val="00B03AAE"/>
    <w:rsid w:val="00B07811"/>
    <w:rsid w:val="00B07832"/>
    <w:rsid w:val="00B10731"/>
    <w:rsid w:val="00B12456"/>
    <w:rsid w:val="00B15486"/>
    <w:rsid w:val="00B15753"/>
    <w:rsid w:val="00B16103"/>
    <w:rsid w:val="00B17D4F"/>
    <w:rsid w:val="00B20DF1"/>
    <w:rsid w:val="00B22408"/>
    <w:rsid w:val="00B238BF"/>
    <w:rsid w:val="00B26B7C"/>
    <w:rsid w:val="00B271C4"/>
    <w:rsid w:val="00B33E10"/>
    <w:rsid w:val="00B36D76"/>
    <w:rsid w:val="00B41484"/>
    <w:rsid w:val="00B44806"/>
    <w:rsid w:val="00B4554E"/>
    <w:rsid w:val="00B459D7"/>
    <w:rsid w:val="00B46DB9"/>
    <w:rsid w:val="00B52F35"/>
    <w:rsid w:val="00B53CD0"/>
    <w:rsid w:val="00B57219"/>
    <w:rsid w:val="00B57E76"/>
    <w:rsid w:val="00B62BDA"/>
    <w:rsid w:val="00B67776"/>
    <w:rsid w:val="00B70591"/>
    <w:rsid w:val="00B72988"/>
    <w:rsid w:val="00B72C6B"/>
    <w:rsid w:val="00B73128"/>
    <w:rsid w:val="00B760DB"/>
    <w:rsid w:val="00B7612E"/>
    <w:rsid w:val="00B76CA1"/>
    <w:rsid w:val="00B77D38"/>
    <w:rsid w:val="00B8323B"/>
    <w:rsid w:val="00B84FD7"/>
    <w:rsid w:val="00B85C13"/>
    <w:rsid w:val="00B916D3"/>
    <w:rsid w:val="00B93263"/>
    <w:rsid w:val="00B937F2"/>
    <w:rsid w:val="00B94225"/>
    <w:rsid w:val="00BA2D5A"/>
    <w:rsid w:val="00BA2F10"/>
    <w:rsid w:val="00BA314A"/>
    <w:rsid w:val="00BB0235"/>
    <w:rsid w:val="00BB05CA"/>
    <w:rsid w:val="00BB0EFB"/>
    <w:rsid w:val="00BB1D13"/>
    <w:rsid w:val="00BC1F6F"/>
    <w:rsid w:val="00BC3C69"/>
    <w:rsid w:val="00BC436B"/>
    <w:rsid w:val="00BC6F4A"/>
    <w:rsid w:val="00BD4F1E"/>
    <w:rsid w:val="00BD5321"/>
    <w:rsid w:val="00BE0249"/>
    <w:rsid w:val="00BE3573"/>
    <w:rsid w:val="00BE50C4"/>
    <w:rsid w:val="00BE6532"/>
    <w:rsid w:val="00BE7D49"/>
    <w:rsid w:val="00BF0F3F"/>
    <w:rsid w:val="00BF1AC9"/>
    <w:rsid w:val="00BF2C54"/>
    <w:rsid w:val="00BF3F48"/>
    <w:rsid w:val="00BF5BBD"/>
    <w:rsid w:val="00C04452"/>
    <w:rsid w:val="00C10F89"/>
    <w:rsid w:val="00C12996"/>
    <w:rsid w:val="00C12E1A"/>
    <w:rsid w:val="00C1563D"/>
    <w:rsid w:val="00C20094"/>
    <w:rsid w:val="00C20A28"/>
    <w:rsid w:val="00C227A9"/>
    <w:rsid w:val="00C232F1"/>
    <w:rsid w:val="00C26F2E"/>
    <w:rsid w:val="00C304F5"/>
    <w:rsid w:val="00C3052F"/>
    <w:rsid w:val="00C31111"/>
    <w:rsid w:val="00C32177"/>
    <w:rsid w:val="00C34847"/>
    <w:rsid w:val="00C37D5F"/>
    <w:rsid w:val="00C43023"/>
    <w:rsid w:val="00C43A23"/>
    <w:rsid w:val="00C44425"/>
    <w:rsid w:val="00C451B1"/>
    <w:rsid w:val="00C464C7"/>
    <w:rsid w:val="00C47670"/>
    <w:rsid w:val="00C50DC6"/>
    <w:rsid w:val="00C51B46"/>
    <w:rsid w:val="00C523F1"/>
    <w:rsid w:val="00C52796"/>
    <w:rsid w:val="00C53830"/>
    <w:rsid w:val="00C54F82"/>
    <w:rsid w:val="00C60C4F"/>
    <w:rsid w:val="00C62415"/>
    <w:rsid w:val="00C62456"/>
    <w:rsid w:val="00C62E63"/>
    <w:rsid w:val="00C70D9E"/>
    <w:rsid w:val="00C717DF"/>
    <w:rsid w:val="00C71A40"/>
    <w:rsid w:val="00C74F74"/>
    <w:rsid w:val="00C758AC"/>
    <w:rsid w:val="00C83C73"/>
    <w:rsid w:val="00C847B7"/>
    <w:rsid w:val="00C9070A"/>
    <w:rsid w:val="00C92AB5"/>
    <w:rsid w:val="00C92C2A"/>
    <w:rsid w:val="00C93C19"/>
    <w:rsid w:val="00C97C71"/>
    <w:rsid w:val="00C97D54"/>
    <w:rsid w:val="00CA306B"/>
    <w:rsid w:val="00CA4080"/>
    <w:rsid w:val="00CA792A"/>
    <w:rsid w:val="00CB25C8"/>
    <w:rsid w:val="00CB60F0"/>
    <w:rsid w:val="00CC0151"/>
    <w:rsid w:val="00CC05C0"/>
    <w:rsid w:val="00CC0DDF"/>
    <w:rsid w:val="00CC2395"/>
    <w:rsid w:val="00CC3497"/>
    <w:rsid w:val="00CC5FFC"/>
    <w:rsid w:val="00CC61B9"/>
    <w:rsid w:val="00CD14E4"/>
    <w:rsid w:val="00CD21F3"/>
    <w:rsid w:val="00CD5A2E"/>
    <w:rsid w:val="00CE17D1"/>
    <w:rsid w:val="00CE2DE5"/>
    <w:rsid w:val="00CE3094"/>
    <w:rsid w:val="00CF1FA4"/>
    <w:rsid w:val="00CF4055"/>
    <w:rsid w:val="00CF57E0"/>
    <w:rsid w:val="00CF72FF"/>
    <w:rsid w:val="00D01849"/>
    <w:rsid w:val="00D024EB"/>
    <w:rsid w:val="00D044DB"/>
    <w:rsid w:val="00D05662"/>
    <w:rsid w:val="00D06A02"/>
    <w:rsid w:val="00D06F04"/>
    <w:rsid w:val="00D12797"/>
    <w:rsid w:val="00D12F3C"/>
    <w:rsid w:val="00D17DAC"/>
    <w:rsid w:val="00D23120"/>
    <w:rsid w:val="00D25735"/>
    <w:rsid w:val="00D25ACD"/>
    <w:rsid w:val="00D2690B"/>
    <w:rsid w:val="00D27D88"/>
    <w:rsid w:val="00D27FD2"/>
    <w:rsid w:val="00D3152F"/>
    <w:rsid w:val="00D33B6D"/>
    <w:rsid w:val="00D36CE0"/>
    <w:rsid w:val="00D41DA3"/>
    <w:rsid w:val="00D45A5C"/>
    <w:rsid w:val="00D46FC1"/>
    <w:rsid w:val="00D517A4"/>
    <w:rsid w:val="00D6100D"/>
    <w:rsid w:val="00D63B70"/>
    <w:rsid w:val="00D649D4"/>
    <w:rsid w:val="00D65902"/>
    <w:rsid w:val="00D66CC1"/>
    <w:rsid w:val="00D67153"/>
    <w:rsid w:val="00D71E77"/>
    <w:rsid w:val="00D72375"/>
    <w:rsid w:val="00D72971"/>
    <w:rsid w:val="00D73214"/>
    <w:rsid w:val="00D83CE9"/>
    <w:rsid w:val="00D84D3A"/>
    <w:rsid w:val="00D85738"/>
    <w:rsid w:val="00D87E0C"/>
    <w:rsid w:val="00D922F2"/>
    <w:rsid w:val="00D92CCD"/>
    <w:rsid w:val="00D9572A"/>
    <w:rsid w:val="00D9580A"/>
    <w:rsid w:val="00D95B49"/>
    <w:rsid w:val="00D96A14"/>
    <w:rsid w:val="00D96A7B"/>
    <w:rsid w:val="00D96E63"/>
    <w:rsid w:val="00D97492"/>
    <w:rsid w:val="00DA3214"/>
    <w:rsid w:val="00DA5655"/>
    <w:rsid w:val="00DA5950"/>
    <w:rsid w:val="00DA5D81"/>
    <w:rsid w:val="00DA5E84"/>
    <w:rsid w:val="00DA68ED"/>
    <w:rsid w:val="00DA6E8E"/>
    <w:rsid w:val="00DA7E40"/>
    <w:rsid w:val="00DA7F44"/>
    <w:rsid w:val="00DB1B69"/>
    <w:rsid w:val="00DB2114"/>
    <w:rsid w:val="00DB4258"/>
    <w:rsid w:val="00DB4B01"/>
    <w:rsid w:val="00DB529F"/>
    <w:rsid w:val="00DB7A2C"/>
    <w:rsid w:val="00DB7F50"/>
    <w:rsid w:val="00DC18A7"/>
    <w:rsid w:val="00DC2563"/>
    <w:rsid w:val="00DC2AF1"/>
    <w:rsid w:val="00DC2C50"/>
    <w:rsid w:val="00DC320D"/>
    <w:rsid w:val="00DC58F2"/>
    <w:rsid w:val="00DC5F45"/>
    <w:rsid w:val="00DD34E5"/>
    <w:rsid w:val="00DD7F0C"/>
    <w:rsid w:val="00DE071D"/>
    <w:rsid w:val="00DE0BC1"/>
    <w:rsid w:val="00DE37FD"/>
    <w:rsid w:val="00DE47EB"/>
    <w:rsid w:val="00DE7397"/>
    <w:rsid w:val="00DE7D78"/>
    <w:rsid w:val="00DF0685"/>
    <w:rsid w:val="00DF1467"/>
    <w:rsid w:val="00E00BAF"/>
    <w:rsid w:val="00E021EC"/>
    <w:rsid w:val="00E03859"/>
    <w:rsid w:val="00E04A27"/>
    <w:rsid w:val="00E06AEE"/>
    <w:rsid w:val="00E07B8E"/>
    <w:rsid w:val="00E16038"/>
    <w:rsid w:val="00E20CED"/>
    <w:rsid w:val="00E21325"/>
    <w:rsid w:val="00E23B58"/>
    <w:rsid w:val="00E244AA"/>
    <w:rsid w:val="00E246C6"/>
    <w:rsid w:val="00E24CE1"/>
    <w:rsid w:val="00E256CA"/>
    <w:rsid w:val="00E27E51"/>
    <w:rsid w:val="00E3082F"/>
    <w:rsid w:val="00E30DA6"/>
    <w:rsid w:val="00E30FB3"/>
    <w:rsid w:val="00E326BA"/>
    <w:rsid w:val="00E34CA2"/>
    <w:rsid w:val="00E37C9C"/>
    <w:rsid w:val="00E403F9"/>
    <w:rsid w:val="00E42153"/>
    <w:rsid w:val="00E46584"/>
    <w:rsid w:val="00E474EA"/>
    <w:rsid w:val="00E4796F"/>
    <w:rsid w:val="00E5074F"/>
    <w:rsid w:val="00E51014"/>
    <w:rsid w:val="00E51BBD"/>
    <w:rsid w:val="00E51CD4"/>
    <w:rsid w:val="00E560D6"/>
    <w:rsid w:val="00E60AFB"/>
    <w:rsid w:val="00E60FB4"/>
    <w:rsid w:val="00E627C9"/>
    <w:rsid w:val="00E66A46"/>
    <w:rsid w:val="00E66A4B"/>
    <w:rsid w:val="00E67086"/>
    <w:rsid w:val="00E714CF"/>
    <w:rsid w:val="00E736C2"/>
    <w:rsid w:val="00E74BC3"/>
    <w:rsid w:val="00E75769"/>
    <w:rsid w:val="00E75C7A"/>
    <w:rsid w:val="00E80887"/>
    <w:rsid w:val="00E83EEA"/>
    <w:rsid w:val="00E85907"/>
    <w:rsid w:val="00E86F06"/>
    <w:rsid w:val="00E872D1"/>
    <w:rsid w:val="00E874E2"/>
    <w:rsid w:val="00E87922"/>
    <w:rsid w:val="00E92466"/>
    <w:rsid w:val="00E92785"/>
    <w:rsid w:val="00E94842"/>
    <w:rsid w:val="00E94AD0"/>
    <w:rsid w:val="00E96498"/>
    <w:rsid w:val="00E97B62"/>
    <w:rsid w:val="00EA0858"/>
    <w:rsid w:val="00EA6F84"/>
    <w:rsid w:val="00EB18C0"/>
    <w:rsid w:val="00EB1D27"/>
    <w:rsid w:val="00EB22AF"/>
    <w:rsid w:val="00EB45E0"/>
    <w:rsid w:val="00EC0889"/>
    <w:rsid w:val="00EC0DBE"/>
    <w:rsid w:val="00EC2730"/>
    <w:rsid w:val="00EC3B17"/>
    <w:rsid w:val="00ED1225"/>
    <w:rsid w:val="00ED25A7"/>
    <w:rsid w:val="00ED2B2B"/>
    <w:rsid w:val="00ED2B4A"/>
    <w:rsid w:val="00ED458D"/>
    <w:rsid w:val="00EE1716"/>
    <w:rsid w:val="00EE1E19"/>
    <w:rsid w:val="00EE22B7"/>
    <w:rsid w:val="00EE278C"/>
    <w:rsid w:val="00EE2E76"/>
    <w:rsid w:val="00EE398C"/>
    <w:rsid w:val="00EE4DA2"/>
    <w:rsid w:val="00EE5BDD"/>
    <w:rsid w:val="00EF223D"/>
    <w:rsid w:val="00EF2A1E"/>
    <w:rsid w:val="00EF39B4"/>
    <w:rsid w:val="00EF5DE5"/>
    <w:rsid w:val="00EF62B0"/>
    <w:rsid w:val="00EF657D"/>
    <w:rsid w:val="00EF6920"/>
    <w:rsid w:val="00EF7F69"/>
    <w:rsid w:val="00F00A5D"/>
    <w:rsid w:val="00F038F6"/>
    <w:rsid w:val="00F05B68"/>
    <w:rsid w:val="00F104E3"/>
    <w:rsid w:val="00F104FE"/>
    <w:rsid w:val="00F12597"/>
    <w:rsid w:val="00F142B1"/>
    <w:rsid w:val="00F143D6"/>
    <w:rsid w:val="00F1456B"/>
    <w:rsid w:val="00F17317"/>
    <w:rsid w:val="00F17E5A"/>
    <w:rsid w:val="00F17F2A"/>
    <w:rsid w:val="00F208A4"/>
    <w:rsid w:val="00F21A0A"/>
    <w:rsid w:val="00F22E42"/>
    <w:rsid w:val="00F23B97"/>
    <w:rsid w:val="00F262D1"/>
    <w:rsid w:val="00F2654B"/>
    <w:rsid w:val="00F271D2"/>
    <w:rsid w:val="00F33602"/>
    <w:rsid w:val="00F362B8"/>
    <w:rsid w:val="00F36A20"/>
    <w:rsid w:val="00F3724B"/>
    <w:rsid w:val="00F37316"/>
    <w:rsid w:val="00F37392"/>
    <w:rsid w:val="00F37C25"/>
    <w:rsid w:val="00F411D5"/>
    <w:rsid w:val="00F428D7"/>
    <w:rsid w:val="00F46434"/>
    <w:rsid w:val="00F46EC0"/>
    <w:rsid w:val="00F50DCB"/>
    <w:rsid w:val="00F5177F"/>
    <w:rsid w:val="00F527A4"/>
    <w:rsid w:val="00F530C4"/>
    <w:rsid w:val="00F54974"/>
    <w:rsid w:val="00F559F1"/>
    <w:rsid w:val="00F55FEB"/>
    <w:rsid w:val="00F57630"/>
    <w:rsid w:val="00F579E9"/>
    <w:rsid w:val="00F57F09"/>
    <w:rsid w:val="00F61A4B"/>
    <w:rsid w:val="00F6401C"/>
    <w:rsid w:val="00F658C4"/>
    <w:rsid w:val="00F661B6"/>
    <w:rsid w:val="00F6737A"/>
    <w:rsid w:val="00F70026"/>
    <w:rsid w:val="00F708B9"/>
    <w:rsid w:val="00F7107D"/>
    <w:rsid w:val="00F71147"/>
    <w:rsid w:val="00F72D25"/>
    <w:rsid w:val="00F73594"/>
    <w:rsid w:val="00F74D9E"/>
    <w:rsid w:val="00F759F0"/>
    <w:rsid w:val="00F81648"/>
    <w:rsid w:val="00F83BB6"/>
    <w:rsid w:val="00F83E63"/>
    <w:rsid w:val="00F8426F"/>
    <w:rsid w:val="00F9317D"/>
    <w:rsid w:val="00F9416E"/>
    <w:rsid w:val="00F959AC"/>
    <w:rsid w:val="00F97381"/>
    <w:rsid w:val="00FA081B"/>
    <w:rsid w:val="00FA375A"/>
    <w:rsid w:val="00FA3D3D"/>
    <w:rsid w:val="00FA4AAD"/>
    <w:rsid w:val="00FA6046"/>
    <w:rsid w:val="00FA66BE"/>
    <w:rsid w:val="00FB5876"/>
    <w:rsid w:val="00FC1D46"/>
    <w:rsid w:val="00FC2961"/>
    <w:rsid w:val="00FC3CA0"/>
    <w:rsid w:val="00FC5599"/>
    <w:rsid w:val="00FD013C"/>
    <w:rsid w:val="00FD083D"/>
    <w:rsid w:val="00FD216A"/>
    <w:rsid w:val="00FD48D0"/>
    <w:rsid w:val="00FD4A25"/>
    <w:rsid w:val="00FD4C81"/>
    <w:rsid w:val="00FD7236"/>
    <w:rsid w:val="00FE1B2A"/>
    <w:rsid w:val="00FE29BF"/>
    <w:rsid w:val="00FE7253"/>
    <w:rsid w:val="00FF4103"/>
    <w:rsid w:val="00FF5664"/>
    <w:rsid w:val="00FF64A5"/>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726CA884"/>
  <w15:docId w15:val="{1F3200A9-F3D1-46D6-8CF9-4604D84BA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bg-BG"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128"/>
  </w:style>
  <w:style w:type="paragraph" w:styleId="Heading1">
    <w:name w:val="heading 1"/>
    <w:basedOn w:val="Normal"/>
    <w:next w:val="Normal"/>
    <w:link w:val="Heading1Char"/>
    <w:uiPriority w:val="9"/>
    <w:qFormat/>
    <w:rsid w:val="00BC43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436B"/>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E20CED"/>
    <w:pPr>
      <w:ind w:left="720"/>
      <w:contextualSpacing/>
    </w:pPr>
  </w:style>
  <w:style w:type="paragraph" w:styleId="BalloonText">
    <w:name w:val="Balloon Text"/>
    <w:basedOn w:val="Normal"/>
    <w:link w:val="BalloonTextChar"/>
    <w:uiPriority w:val="99"/>
    <w:semiHidden/>
    <w:unhideWhenUsed/>
    <w:rsid w:val="005519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191F"/>
    <w:rPr>
      <w:rFonts w:ascii="Tahoma" w:hAnsi="Tahoma" w:cs="Tahoma"/>
      <w:sz w:val="16"/>
      <w:szCs w:val="16"/>
    </w:rPr>
  </w:style>
  <w:style w:type="character" w:styleId="CommentReference">
    <w:name w:val="annotation reference"/>
    <w:basedOn w:val="DefaultParagraphFont"/>
    <w:uiPriority w:val="99"/>
    <w:semiHidden/>
    <w:unhideWhenUsed/>
    <w:rsid w:val="00635D5B"/>
    <w:rPr>
      <w:sz w:val="16"/>
      <w:szCs w:val="16"/>
    </w:rPr>
  </w:style>
  <w:style w:type="paragraph" w:styleId="CommentText">
    <w:name w:val="annotation text"/>
    <w:basedOn w:val="Normal"/>
    <w:link w:val="CommentTextChar"/>
    <w:uiPriority w:val="99"/>
    <w:semiHidden/>
    <w:unhideWhenUsed/>
    <w:rsid w:val="00635D5B"/>
    <w:pPr>
      <w:spacing w:line="240" w:lineRule="auto"/>
    </w:pPr>
    <w:rPr>
      <w:sz w:val="20"/>
      <w:szCs w:val="20"/>
    </w:rPr>
  </w:style>
  <w:style w:type="character" w:customStyle="1" w:styleId="CommentTextChar">
    <w:name w:val="Comment Text Char"/>
    <w:basedOn w:val="DefaultParagraphFont"/>
    <w:link w:val="CommentText"/>
    <w:uiPriority w:val="99"/>
    <w:semiHidden/>
    <w:rsid w:val="00635D5B"/>
    <w:rPr>
      <w:sz w:val="20"/>
      <w:szCs w:val="20"/>
    </w:rPr>
  </w:style>
  <w:style w:type="paragraph" w:styleId="CommentSubject">
    <w:name w:val="annotation subject"/>
    <w:basedOn w:val="CommentText"/>
    <w:next w:val="CommentText"/>
    <w:link w:val="CommentSubjectChar"/>
    <w:uiPriority w:val="99"/>
    <w:semiHidden/>
    <w:unhideWhenUsed/>
    <w:rsid w:val="00635D5B"/>
    <w:rPr>
      <w:b/>
      <w:bCs/>
    </w:rPr>
  </w:style>
  <w:style w:type="character" w:customStyle="1" w:styleId="CommentSubjectChar">
    <w:name w:val="Comment Subject Char"/>
    <w:basedOn w:val="CommentTextChar"/>
    <w:link w:val="CommentSubject"/>
    <w:uiPriority w:val="99"/>
    <w:semiHidden/>
    <w:rsid w:val="00635D5B"/>
    <w:rPr>
      <w:b/>
      <w:bCs/>
      <w:sz w:val="20"/>
      <w:szCs w:val="20"/>
    </w:rPr>
  </w:style>
  <w:style w:type="paragraph" w:styleId="Header">
    <w:name w:val="header"/>
    <w:basedOn w:val="Normal"/>
    <w:link w:val="HeaderChar"/>
    <w:uiPriority w:val="99"/>
    <w:unhideWhenUsed/>
    <w:rsid w:val="00D36CE0"/>
    <w:pPr>
      <w:tabs>
        <w:tab w:val="center" w:pos="4536"/>
        <w:tab w:val="right" w:pos="9072"/>
      </w:tabs>
      <w:spacing w:after="0" w:line="240" w:lineRule="auto"/>
    </w:pPr>
  </w:style>
  <w:style w:type="character" w:customStyle="1" w:styleId="HeaderChar">
    <w:name w:val="Header Char"/>
    <w:basedOn w:val="DefaultParagraphFont"/>
    <w:link w:val="Header"/>
    <w:uiPriority w:val="99"/>
    <w:rsid w:val="00D36CE0"/>
  </w:style>
  <w:style w:type="paragraph" w:styleId="Footer">
    <w:name w:val="footer"/>
    <w:basedOn w:val="Normal"/>
    <w:link w:val="FooterChar"/>
    <w:uiPriority w:val="99"/>
    <w:unhideWhenUsed/>
    <w:rsid w:val="00D36CE0"/>
    <w:pPr>
      <w:tabs>
        <w:tab w:val="center" w:pos="4536"/>
        <w:tab w:val="right" w:pos="9072"/>
      </w:tabs>
      <w:spacing w:after="0" w:line="240" w:lineRule="auto"/>
    </w:pPr>
  </w:style>
  <w:style w:type="character" w:customStyle="1" w:styleId="FooterChar">
    <w:name w:val="Footer Char"/>
    <w:basedOn w:val="DefaultParagraphFont"/>
    <w:link w:val="Footer"/>
    <w:uiPriority w:val="99"/>
    <w:rsid w:val="00D36CE0"/>
  </w:style>
  <w:style w:type="paragraph" w:styleId="TOC1">
    <w:name w:val="toc 1"/>
    <w:basedOn w:val="Normal"/>
    <w:next w:val="Normal"/>
    <w:autoRedefine/>
    <w:uiPriority w:val="39"/>
    <w:rsid w:val="00EC3B17"/>
    <w:pPr>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styleId="Hyperlink">
    <w:name w:val="Hyperlink"/>
    <w:uiPriority w:val="99"/>
    <w:rsid w:val="00EC3B17"/>
    <w:rPr>
      <w:color w:val="0000FF"/>
      <w:u w:val="single"/>
    </w:rPr>
  </w:style>
  <w:style w:type="paragraph" w:styleId="NormalWeb">
    <w:name w:val="Normal (Web)"/>
    <w:basedOn w:val="Normal"/>
    <w:rsid w:val="00BC436B"/>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Style1">
    <w:name w:val="Style1"/>
    <w:basedOn w:val="Heading1"/>
    <w:rsid w:val="00BC436B"/>
    <w:pPr>
      <w:keepLines w:val="0"/>
      <w:spacing w:before="0" w:line="240" w:lineRule="auto"/>
      <w:ind w:left="709"/>
    </w:pPr>
    <w:rPr>
      <w:rFonts w:ascii="Times New Roman" w:eastAsia="Arial Unicode MS" w:hAnsi="Times New Roman" w:cs="Times New Roman"/>
      <w:b/>
      <w:bCs/>
      <w:color w:val="auto"/>
      <w:sz w:val="24"/>
      <w:szCs w:val="24"/>
      <w:lang w:val="en-US" w:eastAsia="ru-RU"/>
    </w:rPr>
  </w:style>
  <w:style w:type="paragraph" w:customStyle="1" w:styleId="Default">
    <w:name w:val="Default"/>
    <w:rsid w:val="00BC436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ps">
    <w:name w:val="hps"/>
    <w:basedOn w:val="DefaultParagraphFont"/>
    <w:rsid w:val="00BC436B"/>
  </w:style>
  <w:style w:type="paragraph" w:styleId="BodyText">
    <w:name w:val="Body Text"/>
    <w:aliases w:val="Основной текст1"/>
    <w:basedOn w:val="Normal"/>
    <w:link w:val="BodyTextChar"/>
    <w:rsid w:val="00EB1D27"/>
    <w:pPr>
      <w:tabs>
        <w:tab w:val="left" w:pos="9355"/>
      </w:tabs>
      <w:spacing w:after="0" w:line="240" w:lineRule="auto"/>
      <w:ind w:right="283"/>
      <w:jc w:val="center"/>
    </w:pPr>
    <w:rPr>
      <w:rFonts w:ascii="Times New Roman" w:eastAsia="Times New Roman" w:hAnsi="Times New Roman" w:cs="Times New Roman"/>
      <w:b/>
      <w:sz w:val="28"/>
      <w:szCs w:val="24"/>
      <w:lang w:val="ru-RU" w:eastAsia="ru-RU"/>
    </w:rPr>
  </w:style>
  <w:style w:type="character" w:customStyle="1" w:styleId="BodyTextChar">
    <w:name w:val="Body Text Char"/>
    <w:aliases w:val="Основной текст1 Char"/>
    <w:basedOn w:val="DefaultParagraphFont"/>
    <w:link w:val="BodyText"/>
    <w:rsid w:val="00EB1D27"/>
    <w:rPr>
      <w:rFonts w:ascii="Times New Roman" w:eastAsia="Times New Roman" w:hAnsi="Times New Roman" w:cs="Times New Roman"/>
      <w:b/>
      <w:sz w:val="28"/>
      <w:szCs w:val="24"/>
      <w:lang w:val="ru-RU" w:eastAsia="ru-RU"/>
    </w:rPr>
  </w:style>
  <w:style w:type="paragraph" w:customStyle="1" w:styleId="StyleNormalArialNarrow12pt">
    <w:name w:val="Style Normal + Arial Narrow 12 pt"/>
    <w:basedOn w:val="Normal"/>
    <w:rsid w:val="00654DE3"/>
    <w:pPr>
      <w:autoSpaceDN w:val="0"/>
      <w:spacing w:after="0" w:line="240" w:lineRule="auto"/>
      <w:ind w:left="101" w:firstLine="403"/>
      <w:jc w:val="both"/>
    </w:pPr>
    <w:rPr>
      <w:rFonts w:ascii="Arial Narrow" w:eastAsia="Times New Roman" w:hAnsi="Arial Narrow" w:cs="Times New Roman"/>
      <w:spacing w:val="-4"/>
      <w:sz w:val="24"/>
      <w:szCs w:val="20"/>
      <w:lang w:val="en-US"/>
    </w:rPr>
  </w:style>
  <w:style w:type="paragraph" w:customStyle="1" w:styleId="Tekst">
    <w:name w:val="Tekst"/>
    <w:basedOn w:val="Normal"/>
    <w:rsid w:val="00513A69"/>
    <w:pPr>
      <w:spacing w:after="0" w:line="240" w:lineRule="auto"/>
      <w:ind w:firstLine="170"/>
      <w:jc w:val="both"/>
    </w:pPr>
    <w:rPr>
      <w:rFonts w:ascii="Times New Roman" w:eastAsia="Times New Roman" w:hAnsi="Times New Roman" w:cs="Times New Roman"/>
      <w:sz w:val="20"/>
      <w:szCs w:val="20"/>
      <w:lang w:val="en-US"/>
    </w:rPr>
  </w:style>
  <w:style w:type="paragraph" w:customStyle="1" w:styleId="tytultabeli">
    <w:name w:val="tytul tabeli"/>
    <w:basedOn w:val="Tekst"/>
    <w:rsid w:val="00513A69"/>
    <w:pPr>
      <w:ind w:firstLine="0"/>
    </w:pPr>
  </w:style>
  <w:style w:type="paragraph" w:customStyle="1" w:styleId="blank">
    <w:name w:val="blank"/>
    <w:basedOn w:val="Normal"/>
    <w:rsid w:val="00513A69"/>
    <w:pPr>
      <w:tabs>
        <w:tab w:val="left" w:pos="0"/>
        <w:tab w:val="right" w:pos="8953"/>
      </w:tabs>
      <w:spacing w:after="0" w:line="240" w:lineRule="atLeast"/>
      <w:jc w:val="center"/>
    </w:pPr>
    <w:rPr>
      <w:rFonts w:ascii="Times New Roman PL" w:eastAsia="Times New Roman" w:hAnsi="Times New Roman PL" w:cs="Times New Roman"/>
      <w:i/>
      <w:sz w:val="20"/>
      <w:szCs w:val="20"/>
      <w:lang w:val="en-GB"/>
    </w:rPr>
  </w:style>
  <w:style w:type="paragraph" w:customStyle="1" w:styleId="Nagl">
    <w:name w:val="Nagl"/>
    <w:basedOn w:val="Tekst"/>
    <w:rsid w:val="00513A69"/>
    <w:pPr>
      <w:ind w:firstLine="0"/>
      <w:jc w:val="center"/>
    </w:pPr>
    <w:rPr>
      <w:caps/>
    </w:rPr>
  </w:style>
  <w:style w:type="paragraph" w:customStyle="1" w:styleId="podpisrysunku">
    <w:name w:val="podpis rysunku"/>
    <w:basedOn w:val="Tekst"/>
    <w:rsid w:val="00513A69"/>
    <w:pPr>
      <w:jc w:val="center"/>
    </w:pPr>
    <w:rPr>
      <w:i/>
    </w:rPr>
  </w:style>
  <w:style w:type="table" w:styleId="TableGrid">
    <w:name w:val="Table Grid"/>
    <w:basedOn w:val="TableNormal"/>
    <w:uiPriority w:val="59"/>
    <w:rsid w:val="00716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C62456"/>
    <w:pPr>
      <w:spacing w:after="120"/>
      <w:ind w:left="283"/>
    </w:pPr>
  </w:style>
  <w:style w:type="character" w:customStyle="1" w:styleId="BodyTextIndentChar">
    <w:name w:val="Body Text Indent Char"/>
    <w:basedOn w:val="DefaultParagraphFont"/>
    <w:link w:val="BodyTextIndent"/>
    <w:uiPriority w:val="99"/>
    <w:rsid w:val="00C624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812388">
      <w:bodyDiv w:val="1"/>
      <w:marLeft w:val="0"/>
      <w:marRight w:val="0"/>
      <w:marTop w:val="0"/>
      <w:marBottom w:val="0"/>
      <w:divBdr>
        <w:top w:val="none" w:sz="0" w:space="0" w:color="auto"/>
        <w:left w:val="none" w:sz="0" w:space="0" w:color="auto"/>
        <w:bottom w:val="none" w:sz="0" w:space="0" w:color="auto"/>
        <w:right w:val="none" w:sz="0" w:space="0" w:color="auto"/>
      </w:divBdr>
    </w:div>
    <w:div w:id="805247090">
      <w:bodyDiv w:val="1"/>
      <w:marLeft w:val="0"/>
      <w:marRight w:val="0"/>
      <w:marTop w:val="0"/>
      <w:marBottom w:val="0"/>
      <w:divBdr>
        <w:top w:val="none" w:sz="0" w:space="0" w:color="auto"/>
        <w:left w:val="none" w:sz="0" w:space="0" w:color="auto"/>
        <w:bottom w:val="none" w:sz="0" w:space="0" w:color="auto"/>
        <w:right w:val="none" w:sz="0" w:space="0" w:color="auto"/>
      </w:divBdr>
    </w:div>
    <w:div w:id="1483811096">
      <w:bodyDiv w:val="1"/>
      <w:marLeft w:val="0"/>
      <w:marRight w:val="0"/>
      <w:marTop w:val="0"/>
      <w:marBottom w:val="0"/>
      <w:divBdr>
        <w:top w:val="none" w:sz="0" w:space="0" w:color="auto"/>
        <w:left w:val="none" w:sz="0" w:space="0" w:color="auto"/>
        <w:bottom w:val="none" w:sz="0" w:space="0" w:color="auto"/>
        <w:right w:val="none" w:sz="0" w:space="0" w:color="auto"/>
      </w:divBdr>
    </w:div>
    <w:div w:id="1751153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footer" Target="footer4.xml"/><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5.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image" Target="media/image33.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image" Target="media/image1.emf"/><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gif"/><Relationship Id="rId25" Type="http://schemas.openxmlformats.org/officeDocument/2006/relationships/image" Target="media/image15.png"/><Relationship Id="rId33" Type="http://schemas.openxmlformats.org/officeDocument/2006/relationships/footer" Target="footer3.xml"/><Relationship Id="rId38" Type="http://schemas.openxmlformats.org/officeDocument/2006/relationships/image" Target="media/image27.emf"/><Relationship Id="rId46" Type="http://schemas.openxmlformats.org/officeDocument/2006/relationships/image" Target="media/image35.png"/><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2431AC-6E35-4129-A4DD-7C94F9E60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3344</TotalTime>
  <Pages>1</Pages>
  <Words>18400</Words>
  <Characters>104886</Characters>
  <Application>Microsoft Office Word</Application>
  <DocSecurity>0</DocSecurity>
  <Lines>874</Lines>
  <Paragraphs>246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123040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Lachezar</dc:creator>
  <cp:keywords/>
  <dc:description/>
  <cp:lastModifiedBy>Zoya</cp:lastModifiedBy>
  <cp:revision>98</cp:revision>
  <cp:lastPrinted>2019-05-07T18:57:00Z</cp:lastPrinted>
  <dcterms:created xsi:type="dcterms:W3CDTF">2019-04-24T09:12:00Z</dcterms:created>
  <dcterms:modified xsi:type="dcterms:W3CDTF">2019-05-10T11:47:00Z</dcterms:modified>
</cp:coreProperties>
</file>